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2557"/>
      </w:pPr>
      <w:r>
        <w:rPr/>
        <w:drawing>
          <wp:anchor distT="0" distB="0" distL="0" distR="0" allowOverlap="1" layoutInCell="1" locked="0" behindDoc="0" simplePos="0" relativeHeight="0">
            <wp:simplePos x="0" y="0"/>
            <wp:positionH relativeFrom="page">
              <wp:posOffset>3086100</wp:posOffset>
            </wp:positionH>
            <wp:positionV relativeFrom="paragraph">
              <wp:posOffset>298372</wp:posOffset>
            </wp:positionV>
            <wp:extent cx="1364729" cy="58521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64729" cy="585216"/>
                    </a:xfrm>
                    <a:prstGeom prst="rect">
                      <a:avLst/>
                    </a:prstGeom>
                  </pic:spPr>
                </pic:pic>
              </a:graphicData>
            </a:graphic>
          </wp:anchor>
        </w:drawing>
      </w:r>
      <w:r>
        <w:rPr>
          <w:color w:val="231F20"/>
        </w:rPr>
        <w:t>SOUTHWEST AIRLINES CO.</w:t>
      </w:r>
    </w:p>
    <w:p>
      <w:pPr>
        <w:pStyle w:val="BodyText"/>
        <w:spacing w:before="1"/>
        <w:rPr>
          <w:rFonts w:ascii="Arial"/>
          <w:b/>
          <w:sz w:val="22"/>
        </w:rPr>
      </w:pPr>
    </w:p>
    <w:p>
      <w:pPr>
        <w:spacing w:before="0"/>
        <w:ind w:left="2560" w:right="2539" w:firstLine="0"/>
        <w:jc w:val="center"/>
        <w:rPr>
          <w:rFonts w:ascii="Arial"/>
          <w:b/>
          <w:sz w:val="24"/>
        </w:rPr>
      </w:pPr>
      <w:r>
        <w:rPr>
          <w:rFonts w:ascii="Arial"/>
          <w:b/>
          <w:color w:val="231F20"/>
          <w:sz w:val="24"/>
        </w:rPr>
        <w:t>2013 ANNUAL REPORT TO SHAREHOLDERS</w:t>
      </w:r>
    </w:p>
    <w:p>
      <w:pPr>
        <w:pStyle w:val="BodyText"/>
        <w:spacing w:before="3"/>
        <w:rPr>
          <w:rFonts w:ascii="Arial"/>
          <w:b/>
          <w:sz w:val="23"/>
        </w:rPr>
      </w:pPr>
    </w:p>
    <w:p>
      <w:pPr>
        <w:spacing w:before="0"/>
        <w:ind w:left="120" w:right="0" w:firstLine="0"/>
        <w:jc w:val="left"/>
        <w:rPr>
          <w:rFonts w:ascii="Arial"/>
          <w:sz w:val="24"/>
        </w:rPr>
      </w:pPr>
      <w:r>
        <w:rPr>
          <w:rFonts w:ascii="Arial"/>
          <w:color w:val="231F20"/>
          <w:sz w:val="24"/>
        </w:rPr>
        <w:t>To our Shareholders:</w:t>
      </w:r>
    </w:p>
    <w:p>
      <w:pPr>
        <w:spacing w:line="242" w:lineRule="auto" w:before="180"/>
        <w:ind w:left="120" w:right="366" w:firstLine="480"/>
        <w:jc w:val="left"/>
        <w:rPr>
          <w:rFonts w:ascii="Arial"/>
          <w:sz w:val="24"/>
        </w:rPr>
      </w:pPr>
      <w:r>
        <w:rPr>
          <w:rFonts w:ascii="Arial"/>
          <w:color w:val="231F20"/>
          <w:sz w:val="24"/>
        </w:rPr>
        <w:t>Our goals for 2013 were ambitious. We wanted to stay on track with our five Strategic Initiatives described below. We wanted to maintain our strong Brand, unique Culture, and award-winning Customer Service. We wanted to sustain our strong ontime performance and baggage handling. Finally, we wanted to improve our cost performance, achieve our profit requirement, and return value to our Shareholders. Just like in 2011 and 2012, an enormous amount was accomplished in 2013. As a result, we produced stellar results.</w:t>
      </w:r>
    </w:p>
    <w:p>
      <w:pPr>
        <w:spacing w:line="242" w:lineRule="auto" w:before="177"/>
        <w:ind w:left="119" w:right="106" w:firstLine="480"/>
        <w:jc w:val="left"/>
        <w:rPr>
          <w:rFonts w:ascii="Arial" w:hAnsi="Arial"/>
          <w:sz w:val="24"/>
        </w:rPr>
      </w:pPr>
      <w:r>
        <w:rPr>
          <w:rFonts w:ascii="Arial" w:hAnsi="Arial"/>
          <w:color w:val="231F20"/>
          <w:sz w:val="24"/>
        </w:rPr>
        <w:t>Our 2013 net income was a record $754 million, or $1.05 per diluted share, including special items (primarily noncash, mark-to-market, and other items required for a portion of the Company’s fuel hedge portfolio, as well as costs associated with the acquisition and</w:t>
      </w:r>
      <w:r>
        <w:rPr>
          <w:rFonts w:ascii="Arial" w:hAnsi="Arial"/>
          <w:color w:val="231F20"/>
          <w:spacing w:val="-20"/>
          <w:sz w:val="24"/>
        </w:rPr>
        <w:t> </w:t>
      </w:r>
      <w:r>
        <w:rPr>
          <w:rFonts w:ascii="Arial" w:hAnsi="Arial"/>
          <w:color w:val="231F20"/>
          <w:sz w:val="24"/>
        </w:rPr>
        <w:t>integration of AirTran). Excluding special items</w:t>
      </w:r>
      <w:r>
        <w:rPr>
          <w:rFonts w:ascii="Arial" w:hAnsi="Arial"/>
          <w:color w:val="231F20"/>
          <w:position w:val="6"/>
          <w:sz w:val="15"/>
        </w:rPr>
        <w:t>1</w:t>
      </w:r>
      <w:r>
        <w:rPr>
          <w:rFonts w:ascii="Arial" w:hAnsi="Arial"/>
          <w:color w:val="231F20"/>
          <w:sz w:val="24"/>
        </w:rPr>
        <w:t>, our 2013 profits were also a record, increasing 93 percent year-over-year to $805 million, or $1.12 per diluted share. Our annual pre-tax return on invested capital, excluding special items (ROIC), was 13.1 percent, nearly doubling 2012’s performance.</w:t>
      </w:r>
    </w:p>
    <w:p>
      <w:pPr>
        <w:spacing w:line="242" w:lineRule="auto" w:before="177"/>
        <w:ind w:left="119" w:right="121" w:firstLine="480"/>
        <w:jc w:val="left"/>
        <w:rPr>
          <w:rFonts w:ascii="Arial"/>
          <w:sz w:val="24"/>
        </w:rPr>
      </w:pPr>
      <w:r>
        <w:rPr>
          <w:rFonts w:ascii="Arial"/>
          <w:color w:val="231F20"/>
          <w:sz w:val="24"/>
        </w:rPr>
        <w:t>Total operating revenues were a record $17.7 billion, boosted by strong yields and an</w:t>
      </w:r>
      <w:r>
        <w:rPr>
          <w:rFonts w:ascii="Arial"/>
          <w:color w:val="231F20"/>
          <w:spacing w:val="-23"/>
          <w:sz w:val="24"/>
        </w:rPr>
        <w:t> </w:t>
      </w:r>
      <w:r>
        <w:rPr>
          <w:rFonts w:ascii="Arial"/>
          <w:color w:val="231F20"/>
          <w:sz w:val="24"/>
        </w:rPr>
        <w:t>80.1 percent load factor. Through the combination of stable fuel prices and rigorous cost control efforts, we met our goal to improve our cost performance. Despite a roller coaster economy, we achieved record earnings; and, while just short of our 15 percent ROIC target, we</w:t>
      </w:r>
      <w:r>
        <w:rPr>
          <w:rFonts w:ascii="Arial"/>
          <w:color w:val="231F20"/>
          <w:spacing w:val="-20"/>
          <w:sz w:val="24"/>
        </w:rPr>
        <w:t> </w:t>
      </w:r>
      <w:r>
        <w:rPr>
          <w:rFonts w:ascii="Arial"/>
          <w:color w:val="231F20"/>
          <w:sz w:val="24"/>
        </w:rPr>
        <w:t>produced the best ROIC since 2000. Our stock price rose 84 percent in 2013 and reached an all-time high, split-adjusted, closing price of $23.98 a share on March 17 of this year. I applaud the outstanding People of Southwest and AirTran for these strong results, which earned them a record $228 million contribution to the ProfitSharing Plan for the year</w:t>
      </w:r>
      <w:r>
        <w:rPr>
          <w:rFonts w:ascii="Arial"/>
          <w:color w:val="231F20"/>
          <w:spacing w:val="-16"/>
          <w:sz w:val="24"/>
        </w:rPr>
        <w:t> </w:t>
      </w:r>
      <w:r>
        <w:rPr>
          <w:rFonts w:ascii="Arial"/>
          <w:color w:val="231F20"/>
          <w:sz w:val="24"/>
        </w:rPr>
        <w:t>2013.</w:t>
      </w:r>
    </w:p>
    <w:p>
      <w:pPr>
        <w:spacing w:line="242" w:lineRule="auto" w:before="177"/>
        <w:ind w:left="119" w:right="127" w:firstLine="480"/>
        <w:jc w:val="left"/>
        <w:rPr>
          <w:rFonts w:ascii="Arial"/>
          <w:sz w:val="24"/>
        </w:rPr>
      </w:pPr>
      <w:r>
        <w:rPr/>
        <w:pict>
          <v:line style="position:absolute;mso-position-horizontal-relative:page;mso-position-vertical-relative:paragraph;z-index:1048;mso-wrap-distance-left:0;mso-wrap-distance-right:0" from="45pt,167.815857pt" to="93pt,167.815857pt" stroked="true" strokeweight=".5pt" strokecolor="#231f20">
            <v:stroke dashstyle="solid"/>
            <w10:wrap type="topAndBottom"/>
          </v:line>
        </w:pict>
      </w:r>
      <w:r>
        <w:rPr>
          <w:rFonts w:ascii="Arial"/>
          <w:color w:val="231F20"/>
          <w:sz w:val="24"/>
        </w:rPr>
        <w:t>We preserved our financial strength and returned value to our Shareholders, as planned. As of December 31, 2013, our cash and short-term investments were a strong $3.2 billion, with a fully-available $1 billion bank line-of-credit. In May 2013, our Board of Directors authorized an increase in our previous share repurchase authorization to $1.5 billion, and quadrupled our quarterly dividend. These actions, coupled with the generation of a healthy $1.03 billion in free cash flow</w:t>
      </w:r>
      <w:r>
        <w:rPr>
          <w:rFonts w:ascii="Arial"/>
          <w:color w:val="231F20"/>
          <w:position w:val="6"/>
          <w:sz w:val="15"/>
        </w:rPr>
        <w:t>2 </w:t>
      </w:r>
      <w:r>
        <w:rPr>
          <w:rFonts w:ascii="Arial"/>
          <w:color w:val="231F20"/>
          <w:sz w:val="24"/>
        </w:rPr>
        <w:t>during 2013, enabled us to return $611 million to Shareholders through repurchases of $540 million of common stock (38 million shares) and distribution of $71 million in dividends. We repaid $313 million in debt and capital lease obligations during 2013. As a result, our debt- to-total capital ratio (including aircraft leases) declined to approximately 38 percent at yearend. All told, our invested capital base was reduced by approximately $1 billion during 2013. We remain the only investment grade-rated U.S.</w:t>
      </w:r>
      <w:r>
        <w:rPr>
          <w:rFonts w:ascii="Arial"/>
          <w:color w:val="231F20"/>
          <w:spacing w:val="-10"/>
          <w:sz w:val="24"/>
        </w:rPr>
        <w:t> </w:t>
      </w:r>
      <w:r>
        <w:rPr>
          <w:rFonts w:ascii="Arial"/>
          <w:color w:val="231F20"/>
          <w:sz w:val="24"/>
        </w:rPr>
        <w:t>airline.</w:t>
      </w:r>
    </w:p>
    <w:p>
      <w:pPr>
        <w:spacing w:line="254" w:lineRule="auto" w:before="22"/>
        <w:ind w:left="119" w:right="0" w:firstLine="0"/>
        <w:jc w:val="left"/>
        <w:rPr>
          <w:rFonts w:ascii="Arial"/>
          <w:sz w:val="18"/>
        </w:rPr>
      </w:pPr>
      <w:r>
        <w:rPr>
          <w:rFonts w:ascii="Arial"/>
          <w:color w:val="231F20"/>
          <w:position w:val="4"/>
          <w:sz w:val="11"/>
        </w:rPr>
        <w:t>1 </w:t>
      </w:r>
      <w:r>
        <w:rPr>
          <w:rFonts w:ascii="Arial"/>
          <w:color w:val="231F20"/>
          <w:sz w:val="18"/>
        </w:rPr>
        <w:t>Additional information regarding non-GAAP financial measures is included in the accompanying Form 10-K for the fiscal year ended December 31, 2013.</w:t>
      </w:r>
    </w:p>
    <w:p>
      <w:pPr>
        <w:spacing w:before="89"/>
        <w:ind w:left="120" w:right="0" w:firstLine="0"/>
        <w:jc w:val="left"/>
        <w:rPr>
          <w:rFonts w:ascii="Arial"/>
          <w:sz w:val="18"/>
        </w:rPr>
      </w:pPr>
      <w:r>
        <w:rPr>
          <w:rFonts w:ascii="Arial"/>
          <w:color w:val="231F20"/>
          <w:position w:val="4"/>
          <w:sz w:val="11"/>
        </w:rPr>
        <w:t>2 </w:t>
      </w:r>
      <w:r>
        <w:rPr>
          <w:rFonts w:ascii="Arial"/>
          <w:color w:val="231F20"/>
          <w:sz w:val="18"/>
        </w:rPr>
        <w:t>Free cash flow is calculated as operating cash flows of $2.48 billion less capital expenditures of $1.45 billion.</w:t>
      </w:r>
    </w:p>
    <w:p>
      <w:pPr>
        <w:spacing w:after="0"/>
        <w:jc w:val="left"/>
        <w:rPr>
          <w:rFonts w:ascii="Arial"/>
          <w:sz w:val="18"/>
        </w:rPr>
        <w:sectPr>
          <w:type w:val="continuous"/>
          <w:pgSz w:w="11880" w:h="15480"/>
          <w:pgMar w:top="1200" w:bottom="280" w:left="780" w:right="800"/>
        </w:sectPr>
      </w:pPr>
    </w:p>
    <w:p>
      <w:pPr>
        <w:spacing w:line="242" w:lineRule="auto" w:before="75"/>
        <w:ind w:left="119" w:right="127" w:firstLine="480"/>
        <w:jc w:val="left"/>
        <w:rPr>
          <w:rFonts w:ascii="Arial" w:hAnsi="Arial"/>
          <w:sz w:val="24"/>
        </w:rPr>
      </w:pPr>
      <w:r>
        <w:rPr>
          <w:rFonts w:ascii="Arial" w:hAnsi="Arial"/>
          <w:color w:val="231F20"/>
          <w:sz w:val="24"/>
        </w:rPr>
        <w:t>While we did not achieve our ontime performance and baggage handling goals in 2013, we did not lose focus on providing best-in-class Customer Service, once again, leading the domestic airline industry in Customer Satisfaction in 2013</w:t>
      </w:r>
      <w:r>
        <w:rPr>
          <w:rFonts w:ascii="Arial" w:hAnsi="Arial"/>
          <w:color w:val="231F20"/>
          <w:position w:val="6"/>
          <w:sz w:val="15"/>
        </w:rPr>
        <w:t>3</w:t>
      </w:r>
      <w:r>
        <w:rPr>
          <w:rFonts w:ascii="Arial" w:hAnsi="Arial"/>
          <w:color w:val="231F20"/>
          <w:sz w:val="24"/>
        </w:rPr>
        <w:t>. Southwest received numerous other awards and recognitions during 2013, including Best Domestic Airline for Customer Service by </w:t>
      </w:r>
      <w:r>
        <w:rPr>
          <w:rFonts w:ascii="Arial" w:hAnsi="Arial"/>
          <w:i/>
          <w:color w:val="231F20"/>
          <w:sz w:val="24"/>
        </w:rPr>
        <w:t>Executive Travel Magazine’s </w:t>
      </w:r>
      <w:r>
        <w:rPr>
          <w:rFonts w:ascii="Arial" w:hAnsi="Arial"/>
          <w:color w:val="231F20"/>
          <w:sz w:val="24"/>
        </w:rPr>
        <w:t>Leading Edge Awards, Brand of the Year in the Value Airline Category by the Harris Poll, and the top ranking by </w:t>
      </w:r>
      <w:r>
        <w:rPr>
          <w:rFonts w:ascii="Arial" w:hAnsi="Arial"/>
          <w:i/>
          <w:color w:val="231F20"/>
          <w:sz w:val="24"/>
        </w:rPr>
        <w:t>InsideFlyer Magazine </w:t>
      </w:r>
      <w:r>
        <w:rPr>
          <w:rFonts w:ascii="Arial" w:hAnsi="Arial"/>
          <w:color w:val="231F20"/>
          <w:sz w:val="24"/>
        </w:rPr>
        <w:t>for Best Customer Service and Best Loyalty Credit Card.</w:t>
      </w:r>
    </w:p>
    <w:p>
      <w:pPr>
        <w:pStyle w:val="BodyText"/>
        <w:rPr>
          <w:rFonts w:ascii="Arial"/>
          <w:sz w:val="21"/>
        </w:rPr>
      </w:pPr>
    </w:p>
    <w:p>
      <w:pPr>
        <w:spacing w:line="242" w:lineRule="auto" w:before="0"/>
        <w:ind w:left="120" w:right="0" w:firstLine="480"/>
        <w:jc w:val="left"/>
        <w:rPr>
          <w:rFonts w:ascii="Arial" w:hAnsi="Arial"/>
          <w:sz w:val="24"/>
        </w:rPr>
      </w:pPr>
      <w:r>
        <w:rPr>
          <w:rFonts w:ascii="Arial" w:hAnsi="Arial"/>
          <w:color w:val="231F20"/>
          <w:sz w:val="24"/>
        </w:rPr>
        <w:t>We are now in the fourth year of a bold five-year strategic plan that began in 2011. We believe our five Strategic Initiatives are transformative with the potential to drive more revenue, reduce unit costs, and make Southwest more competitive. The world has changed dramatically since 2000. Our competitors took draconian measures, including massive layoffs and pay cuts, to adjust to today’s economic realities and have been given new life through the use of federal bankruptcy laws. Thanks to the hard work and extraordinary efforts of our Southwest Warriors, Southwest has adjusted through incredible Teamwork and unwavering resolve to execute our strategic plan. We have survived the onslaught of challenges to remain profitable for 41 consecutive years, remain the nation’s largest airline in terms of domestic originating passengers boarded</w:t>
      </w:r>
      <w:r>
        <w:rPr>
          <w:rFonts w:ascii="Arial" w:hAnsi="Arial"/>
          <w:color w:val="231F20"/>
          <w:position w:val="6"/>
          <w:sz w:val="15"/>
        </w:rPr>
        <w:t>4</w:t>
      </w:r>
      <w:r>
        <w:rPr>
          <w:rFonts w:ascii="Arial" w:hAnsi="Arial"/>
          <w:color w:val="231F20"/>
          <w:sz w:val="24"/>
        </w:rPr>
        <w:t>, and operate the largest Boeing fleet in the world. The transformation hasn’t been easy, but it was necessary, and we made significant and successful progress in 2013:</w:t>
      </w:r>
    </w:p>
    <w:p>
      <w:pPr>
        <w:pStyle w:val="BodyText"/>
        <w:spacing w:before="11"/>
        <w:rPr>
          <w:rFonts w:ascii="Arial"/>
        </w:rPr>
      </w:pPr>
    </w:p>
    <w:p>
      <w:pPr>
        <w:spacing w:line="242" w:lineRule="auto" w:before="0"/>
        <w:ind w:left="119" w:right="87" w:firstLine="0"/>
        <w:jc w:val="left"/>
        <w:rPr>
          <w:rFonts w:ascii="Arial" w:hAnsi="Arial"/>
          <w:sz w:val="24"/>
        </w:rPr>
      </w:pPr>
      <w:r>
        <w:rPr>
          <w:rFonts w:ascii="Arial" w:hAnsi="Arial"/>
          <w:b/>
          <w:color w:val="231F20"/>
          <w:sz w:val="24"/>
        </w:rPr>
        <w:t>AirTran Integration: </w:t>
      </w:r>
      <w:r>
        <w:rPr>
          <w:rFonts w:ascii="Arial" w:hAnsi="Arial"/>
          <w:color w:val="231F20"/>
          <w:sz w:val="24"/>
        </w:rPr>
        <w:t>We achieved approximately $400 million in annual net pre-tax synergies in 2013 (excluding acquisition and integration expenses), as planned. Since 2011, we have converted 17 of the 52 AirTran Boeing 737-700s to the Southwest </w:t>
      </w:r>
      <w:r>
        <w:rPr>
          <w:rFonts w:ascii="Arial" w:hAnsi="Arial"/>
          <w:i/>
          <w:color w:val="231F20"/>
          <w:sz w:val="24"/>
        </w:rPr>
        <w:t>Evolve </w:t>
      </w:r>
      <w:r>
        <w:rPr>
          <w:rFonts w:ascii="Arial" w:hAnsi="Arial"/>
          <w:color w:val="231F20"/>
          <w:sz w:val="24"/>
        </w:rPr>
        <w:t>configuration, and the remaining are scheduled to be converted this year. During 2013, we converted 12 AirTran stations to Southwest operations, and by yearend, introduced Southwest service in all remaining domestic AirTran markets. We continued to optimize the combined Southwest and AirTran networks, enabled by connecting the networks in April 2013. With our international reservation system launched in January 2014, we remain on track to convert AirTran’s seven international markets, along with its remaining domestic markets, by the end of this year. As planned, this will allow us to complete the AirTran integration and retire the brand by the end of 2014.</w:t>
      </w:r>
    </w:p>
    <w:p>
      <w:pPr>
        <w:pStyle w:val="BodyText"/>
        <w:spacing w:before="11"/>
        <w:rPr>
          <w:rFonts w:ascii="Arial"/>
        </w:rPr>
      </w:pPr>
    </w:p>
    <w:p>
      <w:pPr>
        <w:spacing w:line="242" w:lineRule="auto" w:before="0"/>
        <w:ind w:left="119" w:right="87" w:firstLine="0"/>
        <w:jc w:val="left"/>
        <w:rPr>
          <w:rFonts w:ascii="Arial"/>
          <w:sz w:val="24"/>
        </w:rPr>
      </w:pPr>
      <w:r>
        <w:rPr>
          <w:rFonts w:ascii="Arial"/>
          <w:b/>
          <w:color w:val="231F20"/>
          <w:sz w:val="24"/>
        </w:rPr>
        <w:t>Fleet Modernization: </w:t>
      </w:r>
      <w:r>
        <w:rPr>
          <w:rFonts w:ascii="Arial"/>
          <w:color w:val="231F20"/>
          <w:sz w:val="24"/>
        </w:rPr>
        <w:t>We completed the 143-seat </w:t>
      </w:r>
      <w:r>
        <w:rPr>
          <w:rFonts w:ascii="Arial"/>
          <w:i/>
          <w:color w:val="231F20"/>
          <w:sz w:val="24"/>
        </w:rPr>
        <w:t>Evolve </w:t>
      </w:r>
      <w:r>
        <w:rPr>
          <w:rFonts w:ascii="Arial"/>
          <w:color w:val="231F20"/>
          <w:sz w:val="24"/>
        </w:rPr>
        <w:t>retrofit of 372 Boeing 737-700 aircraft and 78 Boeing 737-300 aircraft in the Southwest fleet. All Southwest -700s and -800s are now equipped with Row 44 technology, enabling access to satellite-based WiFi, and we became the first and only carrier to offer gate-to-gate connectivity. We also launched free live TV through 2014, compliments of DISH; movies and television on demand; a new WiFi portal; and an iMessaging feature for iOS users. We transitioned 13 of the 88 AirTran Boeing 717- 200s to Delta, and we replaced the flying with Boeing 737 aircraft, which are larger gauge and cost approximately the same amount to fly on a per-trip basis as the smaller Boeing 717 aircraft. The remaining Boeing 717s are scheduled to be removed from the AirTran network by the end of 2014 and transitioned to Delta through 2015. In order to manage our fleet needs as</w:t>
      </w:r>
    </w:p>
    <w:p>
      <w:pPr>
        <w:pStyle w:val="BodyText"/>
        <w:spacing w:before="6"/>
        <w:rPr>
          <w:rFonts w:ascii="Arial"/>
          <w:sz w:val="13"/>
        </w:rPr>
      </w:pPr>
      <w:r>
        <w:rPr/>
        <w:pict>
          <v:line style="position:absolute;mso-position-horizontal-relative:page;mso-position-vertical-relative:paragraph;z-index:1072;mso-wrap-distance-left:0;mso-wrap-distance-right:0" from="45pt,9.977943pt" to="93pt,9.977943pt" stroked="true" strokeweight=".5pt" strokecolor="#231f20">
            <v:stroke dashstyle="solid"/>
            <w10:wrap type="topAndBottom"/>
          </v:line>
        </w:pict>
      </w:r>
    </w:p>
    <w:p>
      <w:pPr>
        <w:spacing w:before="22"/>
        <w:ind w:left="120" w:right="0" w:firstLine="0"/>
        <w:jc w:val="left"/>
        <w:rPr>
          <w:rFonts w:ascii="Arial"/>
          <w:sz w:val="18"/>
        </w:rPr>
      </w:pPr>
      <w:r>
        <w:rPr>
          <w:rFonts w:ascii="Arial"/>
          <w:color w:val="231F20"/>
          <w:position w:val="4"/>
          <w:sz w:val="11"/>
        </w:rPr>
        <w:t>3 </w:t>
      </w:r>
      <w:r>
        <w:rPr>
          <w:rFonts w:ascii="Arial"/>
          <w:color w:val="231F20"/>
          <w:sz w:val="18"/>
        </w:rPr>
        <w:t>From the 2013 yearend DOT Air Travel Consumer Report issued February 2014. Top ranking is for Southwest Airlines only.</w:t>
      </w:r>
    </w:p>
    <w:p>
      <w:pPr>
        <w:spacing w:line="254" w:lineRule="auto" w:before="133"/>
        <w:ind w:left="119" w:right="127" w:firstLine="0"/>
        <w:jc w:val="left"/>
        <w:rPr>
          <w:rFonts w:ascii="Arial"/>
          <w:sz w:val="18"/>
        </w:rPr>
      </w:pPr>
      <w:r>
        <w:rPr>
          <w:rFonts w:ascii="Arial"/>
          <w:color w:val="231F20"/>
          <w:position w:val="4"/>
          <w:sz w:val="11"/>
        </w:rPr>
        <w:t>4 </w:t>
      </w:r>
      <w:r>
        <w:rPr>
          <w:rFonts w:ascii="Arial"/>
          <w:color w:val="231F20"/>
          <w:sz w:val="18"/>
        </w:rPr>
        <w:t>As measured by the number of originating domestic passengers boarded and based on data available from the U.S. Department of Transportation (DOT), as of September 30, 2013.</w:t>
      </w:r>
    </w:p>
    <w:p>
      <w:pPr>
        <w:spacing w:after="0" w:line="254" w:lineRule="auto"/>
        <w:jc w:val="left"/>
        <w:rPr>
          <w:rFonts w:ascii="Arial"/>
          <w:sz w:val="18"/>
        </w:rPr>
        <w:sectPr>
          <w:pgSz w:w="11880" w:h="15480"/>
          <w:pgMar w:top="1240" w:bottom="280" w:left="780" w:right="820"/>
        </w:sectPr>
      </w:pPr>
    </w:p>
    <w:p>
      <w:pPr>
        <w:spacing w:line="242" w:lineRule="auto" w:before="75"/>
        <w:ind w:left="100" w:right="127" w:firstLine="0"/>
        <w:jc w:val="left"/>
        <w:rPr>
          <w:rFonts w:ascii="Arial"/>
          <w:sz w:val="24"/>
        </w:rPr>
      </w:pPr>
      <w:r>
        <w:rPr>
          <w:rFonts w:ascii="Arial"/>
          <w:color w:val="231F20"/>
          <w:sz w:val="24"/>
        </w:rPr>
        <w:t>we transition the Boeing 717 fleet to Delta and retire Classic Boeing 737 aircraft, we revised our future Boeing delivery schedule and augmented our Boeing deliveries with pre-owned aircraft.</w:t>
      </w:r>
    </w:p>
    <w:p>
      <w:pPr>
        <w:spacing w:line="242" w:lineRule="auto" w:before="230"/>
        <w:ind w:left="100" w:right="268" w:firstLine="480"/>
        <w:jc w:val="both"/>
        <w:rPr>
          <w:rFonts w:ascii="Arial"/>
          <w:sz w:val="24"/>
        </w:rPr>
      </w:pPr>
      <w:r>
        <w:rPr>
          <w:rFonts w:ascii="Arial"/>
          <w:color w:val="231F20"/>
          <w:sz w:val="24"/>
        </w:rPr>
        <w:t>We also announced that Southwest will be the launch customer for the Boeing 737 MAX 7 series, with deliveries beginning in 2019, following the expected delivery of the Boeing 737 MAX 8 beginning in 2017. We believe the Boeing 737 MAX will have the lowest operating</w:t>
      </w:r>
      <w:r>
        <w:rPr>
          <w:rFonts w:ascii="Arial"/>
          <w:color w:val="231F20"/>
          <w:spacing w:val="-24"/>
          <w:sz w:val="24"/>
        </w:rPr>
        <w:t> </w:t>
      </w:r>
      <w:r>
        <w:rPr>
          <w:rFonts w:ascii="Arial"/>
          <w:color w:val="231F20"/>
          <w:sz w:val="24"/>
        </w:rPr>
        <w:t>unit</w:t>
      </w:r>
    </w:p>
    <w:p>
      <w:pPr>
        <w:spacing w:line="242" w:lineRule="auto" w:before="1"/>
        <w:ind w:left="100" w:right="74" w:firstLine="0"/>
        <w:jc w:val="left"/>
        <w:rPr>
          <w:rFonts w:ascii="Arial"/>
          <w:sz w:val="24"/>
        </w:rPr>
      </w:pPr>
      <w:r>
        <w:rPr>
          <w:rFonts w:ascii="Arial"/>
          <w:color w:val="231F20"/>
          <w:sz w:val="24"/>
        </w:rPr>
        <w:t>costs in the single-aisle segment and provide benefits with an engine/airframe combination that is uniquely designed to optimize operating performance. With intentional focus on careful capital management, our restructured delivery schedule deferred $1 billion in aircraft capital spending over the next five years to beyond 2018.</w:t>
      </w:r>
    </w:p>
    <w:p>
      <w:pPr>
        <w:spacing w:line="242" w:lineRule="auto" w:before="230"/>
        <w:ind w:left="100" w:right="0" w:firstLine="0"/>
        <w:jc w:val="left"/>
        <w:rPr>
          <w:rFonts w:ascii="Arial"/>
          <w:sz w:val="24"/>
        </w:rPr>
      </w:pPr>
      <w:r>
        <w:rPr>
          <w:rFonts w:ascii="Arial"/>
          <w:b/>
          <w:color w:val="231F20"/>
          <w:sz w:val="24"/>
        </w:rPr>
        <w:t>Boeing 737-800s: </w:t>
      </w:r>
      <w:r>
        <w:rPr>
          <w:rFonts w:ascii="Arial"/>
          <w:color w:val="231F20"/>
          <w:sz w:val="24"/>
        </w:rPr>
        <w:t>We ended 2013 with 52 Boeing 737-800s in our fleet, and have 52 more on order for 2014 and 2015, combined. We have 170 Boeing 737 MAX 8 scheduled for delivery in 2017 through 2024. With 20 percent more seating capacity, we can operate the -800 at a lower unit cost than the -700, and better serve longhaul and capacity-constrained, high-demand markets, as well as potential new longhaul markets to Mexico, the Caribbean, Central America, northern South America, Canada, Alaska, and Hawaii. Overall, our fleet modernization efforts and the addition of -800s to our fleet contributed approximately $300 million to our 2013 profit before taxes.</w:t>
      </w:r>
    </w:p>
    <w:p>
      <w:pPr>
        <w:spacing w:line="242" w:lineRule="auto" w:before="230"/>
        <w:ind w:left="100" w:right="161" w:firstLine="0"/>
        <w:jc w:val="left"/>
        <w:rPr>
          <w:rFonts w:ascii="Arial" w:hAnsi="Arial"/>
          <w:sz w:val="24"/>
        </w:rPr>
      </w:pPr>
      <w:r>
        <w:rPr>
          <w:rFonts w:ascii="Arial" w:hAnsi="Arial"/>
          <w:b/>
          <w:color w:val="231F20"/>
          <w:sz w:val="24"/>
        </w:rPr>
        <w:t>International Capabilities and New Reservation System: </w:t>
      </w:r>
      <w:r>
        <w:rPr>
          <w:rFonts w:ascii="Arial" w:hAnsi="Arial"/>
          <w:color w:val="231F20"/>
          <w:sz w:val="24"/>
        </w:rPr>
        <w:t>We launched our inaugural Southwest service outside the continental United States in April 2013 to San Juan, Puerto Rico. In January 2014, we deployed our international reservation system and began selling Southwest’s first international service to Aruba, The Bahamas, and Jamaica, scheduled to fly July 1, 2014. By the end of this year, we intend to convert AirTran service from Cancun, Los Cabos, and Mexico City, Mexico, and Punta Cana, Dominican Republic, to the Southwest route network. We broke ground on the five-gate international terminal at Houston’s William P. Hobby Airport, planned to open in late 2015. And, we have future plans to bring Southwest near-international service to Fort Lauderdale-Hollywood International Airport with the airport’s design and construction of a new five-gate Concourse A with an international processing facility. Over the next several years, we intend to replace our existing reservation systems with a comprehensive system that would provide the ability for Southwest to serve international destinations and allow for other Customer Service, revenue management, and schedule production capabilities.</w:t>
      </w:r>
    </w:p>
    <w:p>
      <w:pPr>
        <w:spacing w:line="242" w:lineRule="auto" w:before="226"/>
        <w:ind w:left="100" w:right="94" w:hanging="1"/>
        <w:jc w:val="left"/>
        <w:rPr>
          <w:rFonts w:ascii="Arial" w:hAnsi="Arial"/>
          <w:sz w:val="24"/>
        </w:rPr>
      </w:pPr>
      <w:r>
        <w:rPr>
          <w:rFonts w:ascii="Arial" w:hAnsi="Arial"/>
          <w:b/>
          <w:color w:val="231F20"/>
          <w:sz w:val="24"/>
        </w:rPr>
        <w:t>Rapid Rewards</w:t>
      </w:r>
      <w:r>
        <w:rPr>
          <w:rFonts w:ascii="Arial" w:hAnsi="Arial"/>
          <w:b/>
          <w:color w:val="231F20"/>
          <w:position w:val="6"/>
          <w:sz w:val="18"/>
        </w:rPr>
        <w:t>® </w:t>
      </w:r>
      <w:r>
        <w:rPr>
          <w:rFonts w:ascii="Arial" w:hAnsi="Arial"/>
          <w:b/>
          <w:color w:val="231F20"/>
          <w:sz w:val="24"/>
        </w:rPr>
        <w:t>Frequent Flyer Program: </w:t>
      </w:r>
      <w:r>
        <w:rPr>
          <w:rFonts w:ascii="Arial" w:hAnsi="Arial"/>
          <w:color w:val="231F20"/>
          <w:sz w:val="24"/>
        </w:rPr>
        <w:t>To date, the program has exceeded our expectations with respect to growth in Rapid Rewards Memberships, Member flight activity, Southwest’s co-branded Chase</w:t>
      </w:r>
      <w:r>
        <w:rPr>
          <w:rFonts w:ascii="Arial" w:hAnsi="Arial"/>
          <w:color w:val="231F20"/>
          <w:position w:val="6"/>
          <w:sz w:val="18"/>
        </w:rPr>
        <w:t>® </w:t>
      </w:r>
      <w:r>
        <w:rPr>
          <w:rFonts w:ascii="Arial" w:hAnsi="Arial"/>
          <w:color w:val="231F20"/>
          <w:sz w:val="24"/>
        </w:rPr>
        <w:t>Visa credit card holders, points sold to business partners, and points purchased by program Members. Customers are now able to transfer their loyalty rewards between Southwest’s Rapid Rewards and AirTran’s A+ Rewards frequent flyer programs, providing Members the benefit of the combined network for redemption. We intend to merge the AirTran frequent flyer program into Rapid Rewards by the end of 2014. In 2013, we also continued to grow our Rapid Rewards partnership portfolio by adding new points earning opportunities within and beyond the travel industry. Based on results thus far, we believe our award-winning program will drive hundreds of millions in incremental annual revenues, as compared to our legacy frequent flyer program.</w:t>
      </w:r>
    </w:p>
    <w:p>
      <w:pPr>
        <w:spacing w:after="0" w:line="242" w:lineRule="auto"/>
        <w:jc w:val="left"/>
        <w:rPr>
          <w:rFonts w:ascii="Arial" w:hAnsi="Arial"/>
          <w:sz w:val="24"/>
        </w:rPr>
        <w:sectPr>
          <w:pgSz w:w="11880" w:h="15480"/>
          <w:pgMar w:top="1240" w:bottom="280" w:left="800" w:right="800"/>
        </w:sectPr>
      </w:pPr>
    </w:p>
    <w:p>
      <w:pPr>
        <w:spacing w:line="242" w:lineRule="auto" w:before="75"/>
        <w:ind w:left="100" w:right="94" w:firstLine="480"/>
        <w:jc w:val="left"/>
        <w:rPr>
          <w:rFonts w:ascii="Arial"/>
          <w:sz w:val="24"/>
        </w:rPr>
      </w:pPr>
      <w:r>
        <w:rPr>
          <w:rFonts w:ascii="Arial"/>
          <w:color w:val="231F20"/>
          <w:sz w:val="24"/>
        </w:rPr>
        <w:t>We had other revenue benefits in 2013, including more aggressive network optimization and new ancillary offerings. These offerings include increases in existing service charges, selling open A1 through A15 premium boarding positions at the gate, and a new No Show policy associated with restricted tickets that are not canceled (or changed) prior to departure.</w:t>
      </w:r>
    </w:p>
    <w:p>
      <w:pPr>
        <w:pStyle w:val="BodyText"/>
        <w:rPr>
          <w:rFonts w:ascii="Arial"/>
          <w:sz w:val="21"/>
        </w:rPr>
      </w:pPr>
    </w:p>
    <w:p>
      <w:pPr>
        <w:spacing w:line="242" w:lineRule="auto" w:before="0"/>
        <w:ind w:left="100" w:right="94" w:firstLine="480"/>
        <w:jc w:val="left"/>
        <w:rPr>
          <w:rFonts w:ascii="Arial" w:hAnsi="Arial"/>
          <w:sz w:val="24"/>
        </w:rPr>
      </w:pPr>
      <w:r>
        <w:rPr>
          <w:rFonts w:ascii="Arial" w:hAnsi="Arial"/>
          <w:color w:val="231F20"/>
          <w:sz w:val="24"/>
        </w:rPr>
        <w:t>We are committed to keeping our capacity roughly flat until we reach our 15 percent ROIC goal. That is our plan for 2014, with available seat mile capacity flat, year-over-year. Beyond 2014, we will have the flexibility with our fleet plan to pursue growth opportunities, dependent on our ROIC performance and outlook. October 2014 brings the repeal of the Wright Amendment, which opens up Dallas growth opportunities not seen for quite some time. We also have acquired takeoff and landing slots at New York’s LaGuardia Airport and had a winning bid to acquire slots at Washington’s Reagan National Airport, both of which are rare opportunities resulting from the required divestures by American Airlines as part of its merger with US Airways. In addition, we believe we have significant near-international growth opportunities. We are excited about our future growth prospects and intend to grow prudently and in support of our ROIC goal.</w:t>
      </w:r>
    </w:p>
    <w:p>
      <w:pPr>
        <w:pStyle w:val="BodyText"/>
        <w:spacing w:before="11"/>
        <w:rPr>
          <w:rFonts w:ascii="Arial"/>
        </w:rPr>
      </w:pPr>
    </w:p>
    <w:p>
      <w:pPr>
        <w:spacing w:line="242" w:lineRule="auto" w:before="0"/>
        <w:ind w:left="100" w:right="115" w:firstLine="480"/>
        <w:jc w:val="left"/>
        <w:rPr>
          <w:rFonts w:ascii="Arial"/>
          <w:sz w:val="24"/>
        </w:rPr>
      </w:pPr>
      <w:r>
        <w:rPr>
          <w:rFonts w:ascii="Arial"/>
          <w:color w:val="231F20"/>
          <w:sz w:val="24"/>
        </w:rPr>
        <w:t>I am incredibly proud of our People and their many accomplishments in 2013. Adjusted</w:t>
      </w:r>
      <w:r>
        <w:rPr>
          <w:rFonts w:ascii="Arial"/>
          <w:color w:val="231F20"/>
          <w:spacing w:val="-21"/>
          <w:sz w:val="24"/>
        </w:rPr>
        <w:t> </w:t>
      </w:r>
      <w:r>
        <w:rPr>
          <w:rFonts w:ascii="Arial"/>
          <w:color w:val="231F20"/>
          <w:sz w:val="24"/>
        </w:rPr>
        <w:t>for stage length, we continue to have significantly lower unit costs, on average, than the vast majority of major domestic carriers. And, unlike many of our competitors, we have maintained a strong Balance Sheet while returning more than $1.2 billion to our Shareholders through share repurchases and dividends from August 2011 through the end of 2013. Based on our current 2014 outlook and manageable capital spending, we expect another year of healthy</w:t>
      </w:r>
      <w:r>
        <w:rPr>
          <w:rFonts w:ascii="Arial"/>
          <w:color w:val="231F20"/>
          <w:spacing w:val="-24"/>
          <w:sz w:val="24"/>
        </w:rPr>
        <w:t> </w:t>
      </w:r>
      <w:r>
        <w:rPr>
          <w:rFonts w:ascii="Arial"/>
          <w:color w:val="231F20"/>
          <w:sz w:val="24"/>
        </w:rPr>
        <w:t>free cash flow, which will allow us to continue to return value to our Shareholders. Further, we believe our strong 2013 financial performance provides great momentum for us to achieve our profit requirement in</w:t>
      </w:r>
      <w:r>
        <w:rPr>
          <w:rFonts w:ascii="Arial"/>
          <w:color w:val="231F20"/>
          <w:spacing w:val="-6"/>
          <w:sz w:val="24"/>
        </w:rPr>
        <w:t> </w:t>
      </w:r>
      <w:r>
        <w:rPr>
          <w:rFonts w:ascii="Arial"/>
          <w:color w:val="231F20"/>
          <w:sz w:val="24"/>
        </w:rPr>
        <w:t>2014.</w:t>
      </w:r>
    </w:p>
    <w:p>
      <w:pPr>
        <w:pStyle w:val="BodyText"/>
        <w:spacing w:before="11"/>
        <w:rPr>
          <w:rFonts w:ascii="Arial"/>
        </w:rPr>
      </w:pPr>
    </w:p>
    <w:p>
      <w:pPr>
        <w:spacing w:line="242" w:lineRule="auto" w:before="0"/>
        <w:ind w:left="100" w:right="155" w:firstLine="480"/>
        <w:jc w:val="left"/>
        <w:rPr>
          <w:rFonts w:ascii="Arial" w:hAnsi="Arial"/>
          <w:sz w:val="24"/>
        </w:rPr>
      </w:pPr>
      <w:r>
        <w:rPr>
          <w:rFonts w:ascii="Arial" w:hAnsi="Arial"/>
          <w:color w:val="231F20"/>
          <w:sz w:val="24"/>
        </w:rPr>
        <w:t>As with past years, our goals for 2014 are fundamental and oriented toward achieving our Vision for Southwest, which is to be the World’s Most Loved, Most Flown, and Most Profitable Airline. As ever, we strive to achieve our Purpose to serve our Customers by connecting them to what is important in their lives through friendly, reliable, and low-cost air travel. It is with great pride that I share Southwest was recently named to FORTUNE’s 2014 list of World’s Most Admired Companies for the 20</w:t>
      </w:r>
      <w:r>
        <w:rPr>
          <w:rFonts w:ascii="Arial" w:hAnsi="Arial"/>
          <w:color w:val="231F20"/>
          <w:position w:val="6"/>
          <w:sz w:val="15"/>
        </w:rPr>
        <w:t>th </w:t>
      </w:r>
      <w:r>
        <w:rPr>
          <w:rFonts w:ascii="Arial" w:hAnsi="Arial"/>
          <w:color w:val="231F20"/>
          <w:sz w:val="24"/>
        </w:rPr>
        <w:t>consecutive year and notably, the only commercial airline to rank in the Top Ten. This extraordinary recognition is a testament to the People of Southwest Airlines. It is because of them that I have more confidence, more pride, and more enthusiasm than ever for our future.</w:t>
      </w:r>
    </w:p>
    <w:p>
      <w:pPr>
        <w:pStyle w:val="BodyText"/>
        <w:rPr>
          <w:rFonts w:ascii="Arial"/>
        </w:rPr>
      </w:pPr>
    </w:p>
    <w:p>
      <w:pPr>
        <w:pStyle w:val="BodyText"/>
        <w:spacing w:before="11"/>
        <w:rPr>
          <w:rFonts w:ascii="Arial"/>
          <w:sz w:val="12"/>
        </w:rPr>
      </w:pPr>
      <w:r>
        <w:rPr/>
        <w:drawing>
          <wp:anchor distT="0" distB="0" distL="0" distR="0" allowOverlap="1" layoutInCell="1" locked="0" behindDoc="0" simplePos="0" relativeHeight="1096">
            <wp:simplePos x="0" y="0"/>
            <wp:positionH relativeFrom="page">
              <wp:posOffset>876300</wp:posOffset>
            </wp:positionH>
            <wp:positionV relativeFrom="paragraph">
              <wp:posOffset>119495</wp:posOffset>
            </wp:positionV>
            <wp:extent cx="2068543" cy="56359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8543" cy="563594"/>
                    </a:xfrm>
                    <a:prstGeom prst="rect">
                      <a:avLst/>
                    </a:prstGeom>
                  </pic:spPr>
                </pic:pic>
              </a:graphicData>
            </a:graphic>
          </wp:anchor>
        </w:drawing>
      </w:r>
    </w:p>
    <w:p>
      <w:pPr>
        <w:spacing w:before="26"/>
        <w:ind w:left="580" w:right="0" w:firstLine="0"/>
        <w:jc w:val="left"/>
        <w:rPr>
          <w:rFonts w:ascii="Arial"/>
          <w:sz w:val="24"/>
        </w:rPr>
      </w:pPr>
      <w:r>
        <w:rPr>
          <w:rFonts w:ascii="Arial"/>
          <w:color w:val="231F20"/>
          <w:sz w:val="24"/>
        </w:rPr>
        <w:t>Gary C. Kelly</w:t>
      </w:r>
    </w:p>
    <w:p>
      <w:pPr>
        <w:spacing w:line="451" w:lineRule="auto" w:before="3"/>
        <w:ind w:left="580" w:right="2429" w:firstLine="0"/>
        <w:jc w:val="left"/>
        <w:rPr>
          <w:rFonts w:ascii="Arial"/>
          <w:sz w:val="24"/>
        </w:rPr>
      </w:pPr>
      <w:r>
        <w:rPr>
          <w:rFonts w:ascii="Arial"/>
          <w:color w:val="231F20"/>
          <w:sz w:val="24"/>
        </w:rPr>
        <w:t>Chairman of the Board, President, and Chief Executive Officer March 18, 2014</w:t>
      </w:r>
    </w:p>
    <w:p>
      <w:pPr>
        <w:spacing w:after="0" w:line="451" w:lineRule="auto"/>
        <w:jc w:val="left"/>
        <w:rPr>
          <w:rFonts w:ascii="Arial"/>
          <w:sz w:val="24"/>
        </w:rPr>
        <w:sectPr>
          <w:pgSz w:w="11880" w:h="15480"/>
          <w:pgMar w:top="1240" w:bottom="280" w:left="800" w:right="820"/>
        </w:sect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11"/>
        <w:rPr>
          <w:rFonts w:ascii="Arial"/>
          <w:sz w:val="30"/>
        </w:rPr>
      </w:pPr>
    </w:p>
    <w:p>
      <w:pPr>
        <w:pStyle w:val="Heading3"/>
        <w:ind w:left="120"/>
      </w:pPr>
      <w:r>
        <w:rPr>
          <w:color w:val="231F20"/>
        </w:rPr>
        <w:t>(Mark One)</w:t>
      </w:r>
    </w:p>
    <w:p>
      <w:pPr>
        <w:spacing w:line="215" w:lineRule="exact" w:before="163"/>
        <w:ind w:left="98" w:right="2745" w:firstLine="0"/>
        <w:jc w:val="center"/>
        <w:rPr>
          <w:b/>
          <w:sz w:val="20"/>
        </w:rPr>
      </w:pPr>
      <w:r>
        <w:rPr/>
        <w:br w:type="column"/>
      </w:r>
      <w:r>
        <w:rPr>
          <w:b/>
          <w:color w:val="231F20"/>
          <w:sz w:val="20"/>
        </w:rPr>
        <w:t>UNITED STATES</w:t>
      </w:r>
    </w:p>
    <w:p>
      <w:pPr>
        <w:spacing w:line="200" w:lineRule="exact" w:before="0"/>
        <w:ind w:left="98" w:right="2746" w:firstLine="0"/>
        <w:jc w:val="center"/>
        <w:rPr>
          <w:b/>
          <w:sz w:val="20"/>
        </w:rPr>
      </w:pPr>
      <w:r>
        <w:rPr>
          <w:b/>
          <w:color w:val="231F20"/>
          <w:sz w:val="20"/>
        </w:rPr>
        <w:t>SECURITIES AND EXCHANGE COMMISSION</w:t>
      </w:r>
    </w:p>
    <w:p>
      <w:pPr>
        <w:spacing w:line="215" w:lineRule="exact" w:before="0"/>
        <w:ind w:left="98" w:right="2746" w:firstLine="0"/>
        <w:jc w:val="center"/>
        <w:rPr>
          <w:b/>
          <w:sz w:val="20"/>
        </w:rPr>
      </w:pPr>
      <w:r>
        <w:rPr>
          <w:b/>
          <w:color w:val="231F20"/>
          <w:sz w:val="20"/>
        </w:rPr>
        <w:t>Washington, D.C. 20549</w:t>
      </w:r>
    </w:p>
    <w:p>
      <w:pPr>
        <w:spacing w:before="45"/>
        <w:ind w:left="98" w:right="2745" w:firstLine="0"/>
        <w:jc w:val="center"/>
        <w:rPr>
          <w:b/>
          <w:sz w:val="20"/>
        </w:rPr>
      </w:pPr>
      <w:r>
        <w:rPr>
          <w:b/>
          <w:color w:val="231F20"/>
          <w:sz w:val="20"/>
        </w:rPr>
        <w:t>FORM 10-K</w:t>
      </w:r>
    </w:p>
    <w:p>
      <w:pPr>
        <w:spacing w:after="0"/>
        <w:jc w:val="center"/>
        <w:rPr>
          <w:sz w:val="20"/>
        </w:rPr>
        <w:sectPr>
          <w:pgSz w:w="11880" w:h="15480"/>
          <w:pgMar w:top="1140" w:bottom="280" w:left="1020" w:right="1020"/>
          <w:cols w:num="2" w:equalWidth="0">
            <w:col w:w="1149" w:space="1500"/>
            <w:col w:w="7191"/>
          </w:cols>
        </w:sectPr>
      </w:pPr>
    </w:p>
    <w:p>
      <w:pPr>
        <w:spacing w:line="249" w:lineRule="auto" w:before="24"/>
        <w:ind w:left="610" w:right="157" w:hanging="490"/>
        <w:jc w:val="left"/>
        <w:rPr>
          <w:b/>
          <w:sz w:val="20"/>
        </w:rPr>
      </w:pPr>
      <w:r>
        <w:rPr>
          <w:rFonts w:ascii="39251" w:hAnsi="39251"/>
          <w:color w:val="231F20"/>
          <w:sz w:val="20"/>
        </w:rPr>
        <w:t>Í </w:t>
      </w:r>
      <w:r>
        <w:rPr>
          <w:b/>
          <w:color w:val="231F20"/>
          <w:sz w:val="20"/>
        </w:rPr>
        <w:t>ANNUAL REPORT PURSUANT TO SECTION 13 OR 15(d) OF THE SECURITIES EXCHANGE ACT OF 1934</w:t>
      </w:r>
    </w:p>
    <w:p>
      <w:pPr>
        <w:spacing w:before="37"/>
        <w:ind w:left="610" w:right="0" w:firstLine="0"/>
        <w:jc w:val="left"/>
        <w:rPr>
          <w:b/>
          <w:sz w:val="20"/>
        </w:rPr>
      </w:pPr>
      <w:r>
        <w:rPr>
          <w:b/>
          <w:color w:val="231F20"/>
          <w:sz w:val="20"/>
        </w:rPr>
        <w:t>For the fiscal year ended December 31, 2013</w:t>
      </w:r>
    </w:p>
    <w:p>
      <w:pPr>
        <w:spacing w:before="46"/>
        <w:ind w:left="99" w:right="100" w:firstLine="0"/>
        <w:jc w:val="center"/>
        <w:rPr>
          <w:b/>
          <w:sz w:val="20"/>
        </w:rPr>
      </w:pPr>
      <w:r>
        <w:rPr>
          <w:b/>
          <w:color w:val="231F20"/>
          <w:sz w:val="20"/>
        </w:rPr>
        <w:t>or</w:t>
      </w:r>
    </w:p>
    <w:p>
      <w:pPr>
        <w:spacing w:line="249" w:lineRule="auto" w:before="24"/>
        <w:ind w:left="610" w:right="157" w:hanging="490"/>
        <w:jc w:val="left"/>
        <w:rPr>
          <w:b/>
          <w:sz w:val="20"/>
        </w:rPr>
      </w:pPr>
      <w:r>
        <w:rPr>
          <w:rFonts w:ascii="39251" w:hAnsi="39251"/>
          <w:color w:val="231F20"/>
          <w:sz w:val="20"/>
        </w:rPr>
        <w:t>‘ </w:t>
      </w:r>
      <w:r>
        <w:rPr>
          <w:b/>
          <w:color w:val="231F20"/>
          <w:sz w:val="20"/>
        </w:rPr>
        <w:t>TRANSITION REPORT PURSUANT TO SECTION 13 OR 15(d) OF THE SECURITIES EXCHANGE ACT OF 1934</w:t>
      </w:r>
    </w:p>
    <w:p>
      <w:pPr>
        <w:tabs>
          <w:tab w:pos="3901" w:val="left" w:leader="none"/>
        </w:tabs>
        <w:spacing w:before="36"/>
        <w:ind w:left="610" w:right="0" w:firstLine="0"/>
        <w:jc w:val="left"/>
        <w:rPr>
          <w:b/>
          <w:sz w:val="20"/>
        </w:rPr>
      </w:pPr>
      <w:r>
        <w:rPr>
          <w:b/>
          <w:color w:val="231F20"/>
          <w:sz w:val="20"/>
        </w:rPr>
        <w:t>For the transition</w:t>
      </w:r>
      <w:r>
        <w:rPr>
          <w:b/>
          <w:color w:val="231F20"/>
          <w:spacing w:val="1"/>
          <w:sz w:val="20"/>
        </w:rPr>
        <w:t> </w:t>
      </w:r>
      <w:r>
        <w:rPr>
          <w:b/>
          <w:color w:val="231F20"/>
          <w:sz w:val="20"/>
        </w:rPr>
        <w:t>period from</w:t>
        <w:tab/>
        <w:t>to</w:t>
      </w:r>
    </w:p>
    <w:p>
      <w:pPr>
        <w:spacing w:before="64"/>
        <w:ind w:left="99" w:right="100" w:firstLine="0"/>
        <w:jc w:val="center"/>
        <w:rPr>
          <w:b/>
          <w:sz w:val="20"/>
        </w:rPr>
      </w:pPr>
      <w:r>
        <w:rPr/>
        <w:pict>
          <v:group style="position:absolute;margin-left:243pt;margin-top:19.335957pt;width:108pt;height:49.8pt;mso-position-horizontal-relative:page;mso-position-vertical-relative:paragraph;z-index:1120;mso-wrap-distance-left:0;mso-wrap-distance-right:0" coordorigin="4860,387" coordsize="2160,996">
            <v:line style="position:absolute" from="5670,397" to="6210,397" stroked="true" strokeweight="1pt" strokecolor="#231f20">
              <v:stroke dashstyle="solid"/>
            </v:line>
            <v:shape style="position:absolute;left:4860;top:456;width:2160;height:926" type="#_x0000_t75" stroked="false">
              <v:imagedata r:id="rId5" o:title=""/>
            </v:shape>
            <w10:wrap type="topAndBottom"/>
          </v:group>
        </w:pict>
      </w:r>
      <w:r>
        <w:rPr>
          <w:b/>
          <w:color w:val="231F20"/>
          <w:sz w:val="20"/>
        </w:rPr>
        <w:t>Commission File No. 1-7259</w:t>
      </w:r>
    </w:p>
    <w:p>
      <w:pPr>
        <w:spacing w:line="525" w:lineRule="exact" w:before="3"/>
        <w:ind w:left="99" w:right="100" w:firstLine="0"/>
        <w:jc w:val="center"/>
        <w:rPr>
          <w:b/>
          <w:sz w:val="48"/>
        </w:rPr>
      </w:pPr>
      <w:r>
        <w:rPr>
          <w:b/>
          <w:color w:val="231F20"/>
          <w:sz w:val="48"/>
        </w:rPr>
        <w:t>Southwest Airlines Co.</w:t>
      </w:r>
    </w:p>
    <w:p>
      <w:pPr>
        <w:spacing w:line="157" w:lineRule="exact" w:before="0"/>
        <w:ind w:left="99" w:right="99" w:firstLine="0"/>
        <w:jc w:val="center"/>
        <w:rPr>
          <w:b/>
          <w:sz w:val="16"/>
        </w:rPr>
      </w:pPr>
      <w:r>
        <w:rPr/>
        <w:pict>
          <v:line style="position:absolute;mso-position-horizontal-relative:page;mso-position-vertical-relative:paragraph;z-index:1144;mso-wrap-distance-left:0;mso-wrap-distance-right:0" from="283.5pt,13.43866pt" to="310.5pt,13.43866pt" stroked="true" strokeweight="1pt" strokecolor="#231f20">
            <v:stroke dashstyle="solid"/>
            <w10:wrap type="topAndBottom"/>
          </v:line>
        </w:pict>
      </w:r>
      <w:r>
        <w:rPr>
          <w:b/>
          <w:color w:val="231F20"/>
          <w:sz w:val="16"/>
        </w:rPr>
        <w:t>(Exact name of registrant as specified in its charter)</w:t>
      </w:r>
    </w:p>
    <w:p>
      <w:pPr>
        <w:pStyle w:val="Heading3"/>
        <w:tabs>
          <w:tab w:pos="4798" w:val="left" w:leader="none"/>
        </w:tabs>
        <w:spacing w:before="60"/>
        <w:ind w:left="99"/>
        <w:jc w:val="center"/>
      </w:pPr>
      <w:r>
        <w:rPr>
          <w:color w:val="231F20"/>
        </w:rPr>
        <w:t>TEXAS</w:t>
        <w:tab/>
        <w:t>74-1563240</w:t>
      </w:r>
    </w:p>
    <w:p>
      <w:pPr>
        <w:spacing w:after="0"/>
        <w:jc w:val="center"/>
        <w:sectPr>
          <w:type w:val="continuous"/>
          <w:pgSz w:w="11880" w:h="15480"/>
          <w:pgMar w:top="1200" w:bottom="280" w:left="1020" w:right="1020"/>
        </w:sectPr>
      </w:pPr>
    </w:p>
    <w:p>
      <w:pPr>
        <w:spacing w:line="261" w:lineRule="auto" w:before="7"/>
        <w:ind w:left="1427" w:right="-19" w:firstLine="44"/>
        <w:jc w:val="left"/>
        <w:rPr>
          <w:b/>
          <w:sz w:val="16"/>
        </w:rPr>
      </w:pPr>
      <w:r>
        <w:rPr>
          <w:b/>
          <w:color w:val="231F20"/>
          <w:sz w:val="16"/>
        </w:rPr>
        <w:t>(State or other jurisdiction of incorporation or</w:t>
      </w:r>
      <w:r>
        <w:rPr>
          <w:b/>
          <w:color w:val="231F20"/>
          <w:spacing w:val="-2"/>
          <w:sz w:val="16"/>
        </w:rPr>
        <w:t> </w:t>
      </w:r>
      <w:r>
        <w:rPr>
          <w:b/>
          <w:color w:val="231F20"/>
          <w:sz w:val="16"/>
        </w:rPr>
        <w:t>organization)</w:t>
      </w:r>
    </w:p>
    <w:p>
      <w:pPr>
        <w:pStyle w:val="Heading3"/>
        <w:spacing w:before="57"/>
        <w:ind w:left="1813"/>
      </w:pPr>
      <w:r>
        <w:rPr>
          <w:color w:val="231F20"/>
        </w:rPr>
        <w:t>P.O. Box 36611</w:t>
      </w:r>
    </w:p>
    <w:p>
      <w:pPr>
        <w:spacing w:line="261" w:lineRule="auto" w:before="7"/>
        <w:ind w:left="1427" w:right="1098" w:firstLine="108"/>
        <w:jc w:val="left"/>
        <w:rPr>
          <w:b/>
          <w:sz w:val="16"/>
        </w:rPr>
      </w:pPr>
      <w:r>
        <w:rPr/>
        <w:br w:type="column"/>
      </w:r>
      <w:r>
        <w:rPr>
          <w:b/>
          <w:color w:val="231F20"/>
          <w:sz w:val="16"/>
        </w:rPr>
        <w:t>(IRS Employer Identification No.)</w:t>
      </w:r>
    </w:p>
    <w:p>
      <w:pPr>
        <w:spacing w:after="0" w:line="261" w:lineRule="auto"/>
        <w:jc w:val="left"/>
        <w:rPr>
          <w:sz w:val="16"/>
        </w:rPr>
        <w:sectPr>
          <w:type w:val="continuous"/>
          <w:pgSz w:w="11880" w:h="15480"/>
          <w:pgMar w:top="1200" w:bottom="280" w:left="1020" w:right="1020"/>
          <w:cols w:num="2" w:equalWidth="0">
            <w:col w:w="3515" w:space="1752"/>
            <w:col w:w="4573"/>
          </w:cols>
        </w:sectPr>
      </w:pPr>
    </w:p>
    <w:p>
      <w:pPr>
        <w:pStyle w:val="Heading3"/>
        <w:tabs>
          <w:tab w:pos="4932" w:val="left" w:leader="none"/>
        </w:tabs>
        <w:spacing w:before="9"/>
        <w:ind w:left="0" w:right="132"/>
        <w:jc w:val="center"/>
      </w:pPr>
      <w:r>
        <w:rPr/>
        <w:pict>
          <v:group style="position:absolute;margin-left:56.75pt;margin-top:57pt;width:480.5pt;height:3.5pt;mso-position-horizontal-relative:page;mso-position-vertical-relative:page;z-index:1264" coordorigin="1135,1140" coordsize="9610,70">
            <v:line style="position:absolute" from="1140,1145" to="10740,1145" stroked="true" strokeweight=".5pt" strokecolor="#231f20">
              <v:stroke dashstyle="solid"/>
            </v:line>
            <v:line style="position:absolute" from="1140,1205" to="10740,1205" stroked="true" strokeweight=".5pt" strokecolor="#231f20">
              <v:stroke dashstyle="solid"/>
            </v:line>
            <w10:wrap type="none"/>
          </v:group>
        </w:pict>
      </w:r>
      <w:r>
        <w:rPr>
          <w:color w:val="231F20"/>
        </w:rPr>
        <w:t>Dallas, Texas</w:t>
        <w:tab/>
        <w:t>75235-1611</w:t>
      </w:r>
    </w:p>
    <w:p>
      <w:pPr>
        <w:tabs>
          <w:tab w:pos="6949" w:val="left" w:leader="none"/>
        </w:tabs>
        <w:spacing w:before="7"/>
        <w:ind w:left="1148" w:right="0" w:firstLine="0"/>
        <w:jc w:val="left"/>
        <w:rPr>
          <w:b/>
          <w:sz w:val="16"/>
        </w:rPr>
      </w:pPr>
      <w:r>
        <w:rPr>
          <w:b/>
          <w:color w:val="231F20"/>
          <w:sz w:val="16"/>
        </w:rPr>
        <w:t>(Address of principal</w:t>
      </w:r>
      <w:r>
        <w:rPr>
          <w:b/>
          <w:color w:val="231F20"/>
          <w:spacing w:val="-4"/>
          <w:sz w:val="16"/>
        </w:rPr>
        <w:t> </w:t>
      </w:r>
      <w:r>
        <w:rPr>
          <w:b/>
          <w:color w:val="231F20"/>
          <w:sz w:val="16"/>
        </w:rPr>
        <w:t>executive</w:t>
      </w:r>
      <w:r>
        <w:rPr>
          <w:b/>
          <w:color w:val="231F20"/>
          <w:spacing w:val="-1"/>
          <w:sz w:val="16"/>
        </w:rPr>
        <w:t> </w:t>
      </w:r>
      <w:r>
        <w:rPr>
          <w:b/>
          <w:color w:val="231F20"/>
          <w:sz w:val="16"/>
        </w:rPr>
        <w:t>offices)</w:t>
        <w:tab/>
        <w:t>(Zip</w:t>
      </w:r>
      <w:r>
        <w:rPr>
          <w:b/>
          <w:color w:val="231F20"/>
          <w:spacing w:val="-1"/>
          <w:sz w:val="16"/>
        </w:rPr>
        <w:t> </w:t>
      </w:r>
      <w:r>
        <w:rPr>
          <w:b/>
          <w:color w:val="231F20"/>
          <w:sz w:val="16"/>
        </w:rPr>
        <w:t>Code)</w:t>
      </w:r>
    </w:p>
    <w:p>
      <w:pPr>
        <w:pStyle w:val="Heading3"/>
        <w:spacing w:before="54"/>
        <w:ind w:left="99" w:right="100"/>
        <w:jc w:val="center"/>
      </w:pPr>
      <w:r>
        <w:rPr/>
        <w:pict>
          <v:line style="position:absolute;mso-position-horizontal-relative:page;mso-position-vertical-relative:paragraph;z-index:1168;mso-wrap-distance-left:0;mso-wrap-distance-right:0" from="283.5pt,19.335926pt" to="310.5pt,19.335926pt" stroked="true" strokeweight="1pt" strokecolor="#231f20">
            <v:stroke dashstyle="solid"/>
            <w10:wrap type="topAndBottom"/>
          </v:line>
        </w:pict>
      </w:r>
      <w:r>
        <w:rPr>
          <w:color w:val="231F20"/>
        </w:rPr>
        <w:t>Registrant’s telephone number, including area code: (214) 792-4000</w:t>
      </w:r>
    </w:p>
    <w:p>
      <w:pPr>
        <w:spacing w:before="60"/>
        <w:ind w:left="99" w:right="99" w:firstLine="0"/>
        <w:jc w:val="center"/>
        <w:rPr>
          <w:b/>
          <w:sz w:val="20"/>
        </w:rPr>
      </w:pPr>
      <w:r>
        <w:rPr>
          <w:b/>
          <w:color w:val="231F20"/>
          <w:sz w:val="20"/>
        </w:rPr>
        <w:t>Securities registered pursuant to Section 12(b) of the Act:</w:t>
      </w:r>
    </w:p>
    <w:p>
      <w:pPr>
        <w:tabs>
          <w:tab w:pos="5357" w:val="left" w:leader="none"/>
        </w:tabs>
        <w:spacing w:before="5"/>
        <w:ind w:left="1666" w:right="0" w:firstLine="0"/>
        <w:jc w:val="left"/>
        <w:rPr>
          <w:b/>
          <w:sz w:val="20"/>
        </w:rPr>
      </w:pPr>
      <w:r>
        <w:rPr/>
        <w:pict>
          <v:line style="position:absolute;mso-position-horizontal-relative:page;mso-position-vertical-relative:paragraph;z-index:1192;mso-wrap-distance-left:0;mso-wrap-distance-right:0" from="57pt,13.335938pt" to="297pt,13.335938pt" stroked="true" strokeweight=".5pt" strokecolor="#231f20">
            <v:stroke dashstyle="solid"/>
            <w10:wrap type="topAndBottom"/>
          </v:line>
        </w:pict>
      </w:r>
      <w:r>
        <w:rPr/>
        <w:pict>
          <v:line style="position:absolute;mso-position-horizontal-relative:page;mso-position-vertical-relative:paragraph;z-index:1216;mso-wrap-distance-left:0;mso-wrap-distance-right:0" from="302pt,13.335938pt" to="532pt,13.335938pt" stroked="true" strokeweight=".5pt" strokecolor="#231f20">
            <v:stroke dashstyle="solid"/>
            <w10:wrap type="topAndBottom"/>
          </v:line>
        </w:pict>
      </w:r>
      <w:r>
        <w:rPr>
          <w:b/>
          <w:color w:val="231F20"/>
          <w:sz w:val="20"/>
        </w:rPr>
        <w:t>Title of</w:t>
      </w:r>
      <w:r>
        <w:rPr>
          <w:b/>
          <w:color w:val="231F20"/>
          <w:spacing w:val="1"/>
          <w:sz w:val="20"/>
        </w:rPr>
        <w:t> </w:t>
      </w:r>
      <w:r>
        <w:rPr>
          <w:b/>
          <w:color w:val="231F20"/>
          <w:sz w:val="20"/>
        </w:rPr>
        <w:t>Each</w:t>
      </w:r>
      <w:r>
        <w:rPr>
          <w:b/>
          <w:color w:val="231F20"/>
          <w:spacing w:val="-1"/>
          <w:sz w:val="20"/>
        </w:rPr>
        <w:t> </w:t>
      </w:r>
      <w:r>
        <w:rPr>
          <w:b/>
          <w:color w:val="231F20"/>
          <w:sz w:val="20"/>
        </w:rPr>
        <w:t>Class</w:t>
        <w:tab/>
        <w:t>Name of Each Exchange on Which</w:t>
      </w:r>
      <w:r>
        <w:rPr>
          <w:b/>
          <w:color w:val="231F20"/>
          <w:spacing w:val="-3"/>
          <w:sz w:val="20"/>
        </w:rPr>
        <w:t> </w:t>
      </w:r>
      <w:r>
        <w:rPr>
          <w:b/>
          <w:color w:val="231F20"/>
          <w:sz w:val="20"/>
        </w:rPr>
        <w:t>Registered</w:t>
      </w:r>
    </w:p>
    <w:p>
      <w:pPr>
        <w:pStyle w:val="BodyText"/>
        <w:tabs>
          <w:tab w:pos="5095" w:val="left" w:leader="none"/>
        </w:tabs>
        <w:spacing w:before="24"/>
        <w:ind w:right="295"/>
        <w:jc w:val="center"/>
      </w:pPr>
      <w:r>
        <w:rPr>
          <w:color w:val="231F20"/>
        </w:rPr>
        <w:t>Common Stock ($1.00 par value)</w:t>
        <w:tab/>
        <w:t>New York Stock</w:t>
      </w:r>
      <w:r>
        <w:rPr>
          <w:color w:val="231F20"/>
          <w:spacing w:val="-1"/>
        </w:rPr>
        <w:t> </w:t>
      </w:r>
      <w:r>
        <w:rPr>
          <w:color w:val="231F20"/>
        </w:rPr>
        <w:t>Exchange</w:t>
      </w:r>
    </w:p>
    <w:p>
      <w:pPr>
        <w:pStyle w:val="Heading3"/>
        <w:spacing w:line="249" w:lineRule="auto" w:before="45"/>
        <w:ind w:left="2471" w:right="2471"/>
        <w:jc w:val="center"/>
      </w:pPr>
      <w:r>
        <w:rPr>
          <w:color w:val="231F20"/>
        </w:rPr>
        <w:t>Securities registered pursuant to Section 12(g) of the Act: None</w:t>
      </w:r>
    </w:p>
    <w:p>
      <w:pPr>
        <w:spacing w:line="188" w:lineRule="exact" w:before="0"/>
        <w:ind w:left="490" w:right="0" w:firstLine="0"/>
        <w:jc w:val="left"/>
        <w:rPr>
          <w:rFonts w:ascii="39251" w:hAnsi="39251"/>
          <w:sz w:val="15"/>
        </w:rPr>
      </w:pPr>
      <w:r>
        <w:rPr>
          <w:color w:val="231F20"/>
          <w:sz w:val="15"/>
        </w:rPr>
        <w:t>Indicate by check mark if the registrant is a well-known seasoned issuer, as defined in Rule 405 of the Securities Act.    Yes    </w:t>
      </w:r>
      <w:r>
        <w:rPr>
          <w:rFonts w:ascii="39251" w:hAnsi="39251"/>
          <w:color w:val="231F20"/>
          <w:sz w:val="15"/>
        </w:rPr>
        <w:t>Í </w:t>
      </w:r>
      <w:r>
        <w:rPr>
          <w:color w:val="231F20"/>
          <w:sz w:val="15"/>
        </w:rPr>
        <w:t>No  </w:t>
      </w:r>
      <w:r>
        <w:rPr>
          <w:rFonts w:ascii="39251" w:hAnsi="39251"/>
          <w:color w:val="231F20"/>
          <w:sz w:val="15"/>
        </w:rPr>
        <w:t>‘</w:t>
      </w:r>
    </w:p>
    <w:p>
      <w:pPr>
        <w:spacing w:before="20"/>
        <w:ind w:left="489" w:right="0" w:firstLine="0"/>
        <w:jc w:val="left"/>
        <w:rPr>
          <w:rFonts w:ascii="39251" w:hAnsi="39251"/>
          <w:sz w:val="15"/>
        </w:rPr>
      </w:pPr>
      <w:r>
        <w:rPr>
          <w:color w:val="231F20"/>
          <w:sz w:val="15"/>
        </w:rPr>
        <w:t>Indicate by check mark if the registrant is not required to file reports pursuant to Section 13 or Section 15(d) of the Act.    Yes  </w:t>
      </w:r>
      <w:r>
        <w:rPr>
          <w:rFonts w:ascii="39251" w:hAnsi="39251"/>
          <w:color w:val="231F20"/>
          <w:sz w:val="15"/>
        </w:rPr>
        <w:t>‘ </w:t>
      </w:r>
      <w:r>
        <w:rPr>
          <w:color w:val="231F20"/>
          <w:sz w:val="15"/>
        </w:rPr>
        <w:t>No    </w:t>
      </w:r>
      <w:r>
        <w:rPr>
          <w:rFonts w:ascii="39251" w:hAnsi="39251"/>
          <w:color w:val="231F20"/>
          <w:sz w:val="15"/>
        </w:rPr>
        <w:t>Í</w:t>
      </w:r>
    </w:p>
    <w:p>
      <w:pPr>
        <w:spacing w:line="252" w:lineRule="auto" w:before="35"/>
        <w:ind w:left="119" w:right="157" w:firstLine="370"/>
        <w:jc w:val="left"/>
        <w:rPr>
          <w:rFonts w:ascii="39251" w:hAnsi="39251"/>
          <w:sz w:val="15"/>
        </w:rPr>
      </w:pPr>
      <w:r>
        <w:rPr>
          <w:color w:val="231F20"/>
          <w:sz w:val="15"/>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26"/>
        <w:ind w:left="119" w:right="157" w:firstLine="370"/>
        <w:jc w:val="left"/>
        <w:rPr>
          <w:rFonts w:ascii="39251" w:hAnsi="39251"/>
          <w:sz w:val="15"/>
        </w:rPr>
      </w:pPr>
      <w:r>
        <w:rPr>
          <w:color w:val="231F20"/>
          <w:sz w:val="15"/>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26"/>
        <w:ind w:left="119" w:right="0" w:firstLine="370"/>
        <w:jc w:val="left"/>
        <w:rPr>
          <w:rFonts w:ascii="39251" w:hAnsi="39251"/>
          <w:sz w:val="15"/>
        </w:rPr>
      </w:pPr>
      <w:r>
        <w:rPr>
          <w:color w:val="231F20"/>
          <w:sz w:val="15"/>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5"/>
        </w:rPr>
        <w:t>Í</w:t>
      </w:r>
    </w:p>
    <w:p>
      <w:pPr>
        <w:spacing w:before="26"/>
        <w:ind w:left="489" w:right="0" w:firstLine="0"/>
        <w:jc w:val="left"/>
        <w:rPr>
          <w:sz w:val="15"/>
        </w:rPr>
      </w:pPr>
      <w:r>
        <w:rPr>
          <w:color w:val="231F20"/>
          <w:sz w:val="15"/>
        </w:rPr>
        <w:t>Indicate by check mark whether the registrant is a large accelerated filer, an accelerated filer, a non-accelerated filer, or a smaller reporting company.</w:t>
      </w:r>
    </w:p>
    <w:p>
      <w:pPr>
        <w:spacing w:before="17"/>
        <w:ind w:left="99" w:right="1537" w:firstLine="0"/>
        <w:jc w:val="center"/>
        <w:rPr>
          <w:sz w:val="15"/>
        </w:rPr>
      </w:pPr>
      <w:r>
        <w:rPr>
          <w:color w:val="231F20"/>
          <w:sz w:val="15"/>
        </w:rPr>
        <w:t>See the definitions of “large accelerated filer,” “accelerated filer” and “smaller reporting company” in Rule 12b-2 of the Exchange Act.</w:t>
      </w:r>
    </w:p>
    <w:p>
      <w:pPr>
        <w:spacing w:before="19"/>
        <w:ind w:left="99" w:right="532" w:firstLine="0"/>
        <w:jc w:val="center"/>
        <w:rPr>
          <w:rFonts w:ascii="39251" w:hAnsi="39251"/>
          <w:sz w:val="15"/>
        </w:rPr>
      </w:pPr>
      <w:r>
        <w:rPr>
          <w:color w:val="231F20"/>
          <w:sz w:val="15"/>
        </w:rPr>
        <w:t>Large accelerated filer   </w:t>
      </w:r>
      <w:r>
        <w:rPr>
          <w:rFonts w:ascii="39251" w:hAnsi="39251"/>
          <w:color w:val="231F20"/>
          <w:sz w:val="15"/>
        </w:rPr>
        <w:t>Í </w:t>
      </w:r>
      <w:r>
        <w:rPr>
          <w:color w:val="231F20"/>
          <w:sz w:val="15"/>
        </w:rPr>
        <w:t>Accelerated filer   </w:t>
      </w:r>
      <w:r>
        <w:rPr>
          <w:rFonts w:ascii="39251" w:hAnsi="39251"/>
          <w:color w:val="231F20"/>
          <w:sz w:val="15"/>
        </w:rPr>
        <w:t>‘ </w:t>
      </w:r>
      <w:r>
        <w:rPr>
          <w:color w:val="231F20"/>
          <w:sz w:val="15"/>
        </w:rPr>
        <w:t>Non-accelerated filer   </w:t>
      </w:r>
      <w:r>
        <w:rPr>
          <w:rFonts w:ascii="39251" w:hAnsi="39251"/>
          <w:color w:val="231F20"/>
          <w:sz w:val="15"/>
        </w:rPr>
        <w:t>‘ </w:t>
      </w:r>
      <w:r>
        <w:rPr>
          <w:color w:val="231F20"/>
          <w:sz w:val="15"/>
        </w:rPr>
        <w:t>Smaller reporting company  </w:t>
      </w:r>
      <w:r>
        <w:rPr>
          <w:rFonts w:ascii="39251" w:hAnsi="39251"/>
          <w:color w:val="231F20"/>
          <w:sz w:val="15"/>
        </w:rPr>
        <w:t>‘</w:t>
      </w:r>
    </w:p>
    <w:p>
      <w:pPr>
        <w:spacing w:before="19"/>
        <w:ind w:left="489" w:right="0" w:firstLine="0"/>
        <w:jc w:val="left"/>
        <w:rPr>
          <w:rFonts w:ascii="39251" w:hAnsi="39251"/>
          <w:sz w:val="15"/>
        </w:rPr>
      </w:pPr>
      <w:r>
        <w:rPr>
          <w:color w:val="231F20"/>
          <w:sz w:val="15"/>
        </w:rPr>
        <w:t>Indicate by check mark whether the registrant is a shell company (as defined in Rule 12b-2 of the Act).    Yes  </w:t>
      </w:r>
      <w:r>
        <w:rPr>
          <w:rFonts w:ascii="39251" w:hAnsi="39251"/>
          <w:color w:val="231F20"/>
          <w:sz w:val="15"/>
        </w:rPr>
        <w:t>‘ </w:t>
      </w:r>
      <w:r>
        <w:rPr>
          <w:color w:val="231F20"/>
          <w:sz w:val="15"/>
        </w:rPr>
        <w:t>No    </w:t>
      </w:r>
      <w:r>
        <w:rPr>
          <w:rFonts w:ascii="39251" w:hAnsi="39251"/>
          <w:color w:val="231F20"/>
          <w:sz w:val="15"/>
        </w:rPr>
        <w:t>Í</w:t>
      </w:r>
    </w:p>
    <w:p>
      <w:pPr>
        <w:spacing w:line="264" w:lineRule="auto" w:before="35"/>
        <w:ind w:left="119" w:right="154" w:firstLine="370"/>
        <w:jc w:val="left"/>
        <w:rPr>
          <w:sz w:val="15"/>
        </w:rPr>
      </w:pPr>
      <w:r>
        <w:rPr>
          <w:color w:val="231F20"/>
          <w:sz w:val="15"/>
        </w:rPr>
        <w:t>The aggregate market value of the common stock held by non-affiliates of the registrant was approximately $9,088,020,821 computed by reference to the closing sale price of the common stock on the New York Stock Exchange on June 28, 2013, the last trading day of the registrant’s most recently completed second fiscal</w:t>
      </w:r>
      <w:r>
        <w:rPr>
          <w:color w:val="231F20"/>
          <w:spacing w:val="1"/>
          <w:sz w:val="15"/>
        </w:rPr>
        <w:t> </w:t>
      </w:r>
      <w:r>
        <w:rPr>
          <w:color w:val="231F20"/>
          <w:sz w:val="15"/>
        </w:rPr>
        <w:t>quarter.</w:t>
      </w:r>
    </w:p>
    <w:p>
      <w:pPr>
        <w:spacing w:before="19"/>
        <w:ind w:left="489" w:right="0" w:firstLine="0"/>
        <w:jc w:val="left"/>
        <w:rPr>
          <w:sz w:val="15"/>
        </w:rPr>
      </w:pPr>
      <w:r>
        <w:rPr>
          <w:color w:val="231F20"/>
          <w:sz w:val="15"/>
        </w:rPr>
        <w:t>Number of shares of common stock outstanding as of the close of business on January 30, 2014: 701,991,465 shares</w:t>
      </w:r>
    </w:p>
    <w:p>
      <w:pPr>
        <w:spacing w:before="35"/>
        <w:ind w:left="99" w:right="98" w:firstLine="0"/>
        <w:jc w:val="center"/>
        <w:rPr>
          <w:b/>
          <w:sz w:val="15"/>
        </w:rPr>
      </w:pPr>
      <w:r>
        <w:rPr>
          <w:b/>
          <w:color w:val="231F20"/>
          <w:sz w:val="15"/>
        </w:rPr>
        <w:t>DOCUMENTS INCORPORATED BY REFERENCE</w:t>
      </w:r>
    </w:p>
    <w:p>
      <w:pPr>
        <w:spacing w:line="264" w:lineRule="auto" w:before="53"/>
        <w:ind w:left="119" w:right="0" w:firstLine="370"/>
        <w:jc w:val="left"/>
        <w:rPr>
          <w:sz w:val="15"/>
        </w:rPr>
      </w:pPr>
      <w:r>
        <w:rPr/>
        <w:pict>
          <v:group style="position:absolute;margin-left:56.75pt;margin-top:23.10195pt;width:480.5pt;height:3.5pt;mso-position-horizontal-relative:page;mso-position-vertical-relative:paragraph;z-index:1240;mso-wrap-distance-left:0;mso-wrap-distance-right:0" coordorigin="1135,462" coordsize="9610,70">
            <v:line style="position:absolute" from="1140,467" to="10740,467" stroked="true" strokeweight=".5pt" strokecolor="#231f20">
              <v:stroke dashstyle="solid"/>
            </v:line>
            <v:line style="position:absolute" from="1140,527" to="10740,527" stroked="true" strokeweight=".5pt" strokecolor="#231f20">
              <v:stroke dashstyle="solid"/>
            </v:line>
            <w10:wrap type="topAndBottom"/>
          </v:group>
        </w:pict>
      </w:r>
      <w:r>
        <w:rPr>
          <w:color w:val="231F20"/>
          <w:sz w:val="15"/>
        </w:rPr>
        <w:t>Portions of the Definitive Proxy Statement for the Company’s Annual Meeting of Shareholders to be held May 14, 2014, are incorporated into Part III of this Annual Report on Form 10-K.</w:t>
      </w:r>
    </w:p>
    <w:p>
      <w:pPr>
        <w:spacing w:after="0" w:line="264" w:lineRule="auto"/>
        <w:jc w:val="left"/>
        <w:rPr>
          <w:sz w:val="15"/>
        </w:rPr>
        <w:sectPr>
          <w:type w:val="continuous"/>
          <w:pgSz w:w="11880" w:h="15480"/>
          <w:pgMar w:top="1200" w:bottom="280" w:left="1020" w:right="1020"/>
        </w:sectPr>
      </w:pPr>
    </w:p>
    <w:p>
      <w:pPr>
        <w:pStyle w:val="BodyText"/>
        <w:spacing w:before="4"/>
        <w:rPr>
          <w:sz w:val="17"/>
        </w:rPr>
      </w:pPr>
    </w:p>
    <w:p>
      <w:pPr>
        <w:spacing w:after="0"/>
        <w:rPr>
          <w:sz w:val="17"/>
        </w:rPr>
        <w:sectPr>
          <w:pgSz w:w="11880" w:h="15480"/>
          <w:pgMar w:top="1460" w:bottom="280" w:left="1680" w:right="1680"/>
        </w:sectPr>
      </w:pPr>
    </w:p>
    <w:p>
      <w:pPr>
        <w:pStyle w:val="Heading3"/>
        <w:spacing w:before="73"/>
        <w:ind w:left="440" w:right="455"/>
        <w:jc w:val="center"/>
      </w:pPr>
      <w:bookmarkStart w:name="TABLE OF CONTENTS" w:id="1"/>
      <w:bookmarkEnd w:id="1"/>
      <w:r>
        <w:rPr>
          <w:b w:val="0"/>
        </w:rPr>
      </w:r>
      <w:r>
        <w:rPr>
          <w:color w:val="231F20"/>
        </w:rPr>
        <w:t>TABLE OF CONTENTS</w:t>
      </w:r>
    </w:p>
    <w:p>
      <w:pPr>
        <w:pStyle w:val="BodyText"/>
        <w:spacing w:before="8"/>
        <w:rPr>
          <w:b/>
          <w:sz w:val="21"/>
        </w:rPr>
      </w:pPr>
    </w:p>
    <w:p>
      <w:pPr>
        <w:spacing w:before="0"/>
        <w:ind w:left="440" w:right="50" w:firstLine="0"/>
        <w:jc w:val="center"/>
        <w:rPr>
          <w:b/>
          <w:sz w:val="20"/>
        </w:rPr>
      </w:pPr>
      <w:r>
        <w:rPr>
          <w:b/>
          <w:color w:val="231F20"/>
          <w:sz w:val="20"/>
        </w:rPr>
        <w:t>PART I</w:t>
      </w:r>
    </w:p>
    <w:sdt>
      <w:sdtPr>
        <w:docPartObj>
          <w:docPartGallery w:val="Table of Contents"/>
          <w:docPartUnique/>
        </w:docPartObj>
      </w:sdtPr>
      <w:sdtEndPr/>
      <w:sdtContent>
        <w:p>
          <w:pPr>
            <w:pStyle w:val="TOC1"/>
            <w:tabs>
              <w:tab w:pos="1011" w:val="left" w:leader="none"/>
              <w:tab w:pos="9219" w:val="right" w:leader="dot"/>
            </w:tabs>
            <w:spacing w:before="49"/>
          </w:pPr>
          <w:r>
            <w:rPr>
              <w:color w:val="231F20"/>
            </w:rPr>
            <w:t>Item</w:t>
          </w:r>
          <w:r>
            <w:rPr>
              <w:color w:val="231F20"/>
              <w:spacing w:val="1"/>
            </w:rPr>
            <w:t> </w:t>
          </w:r>
          <w:r>
            <w:rPr>
              <w:color w:val="231F20"/>
            </w:rPr>
            <w:t>1.</w:t>
            <w:tab/>
            <w:t>Business</w:t>
            <w:tab/>
            <w:t>1</w:t>
          </w:r>
        </w:p>
        <w:p>
          <w:pPr>
            <w:pStyle w:val="TOC1"/>
            <w:tabs>
              <w:tab w:pos="9219" w:val="right" w:leader="dot"/>
            </w:tabs>
            <w:spacing w:before="49"/>
          </w:pPr>
          <w:r>
            <w:rPr>
              <w:color w:val="231F20"/>
            </w:rPr>
            <w:t>Item 1A.    Risk Factors</w:t>
            <w:tab/>
            <w:t>25</w:t>
          </w:r>
        </w:p>
        <w:p>
          <w:pPr>
            <w:pStyle w:val="TOC1"/>
            <w:tabs>
              <w:tab w:pos="1011" w:val="left" w:leader="none"/>
              <w:tab w:pos="9219" w:val="right" w:leader="dot"/>
            </w:tabs>
            <w:spacing w:before="49"/>
          </w:pPr>
          <w:r>
            <w:rPr>
              <w:color w:val="231F20"/>
            </w:rPr>
            <w:t>Item</w:t>
          </w:r>
          <w:r>
            <w:rPr>
              <w:color w:val="231F20"/>
              <w:spacing w:val="1"/>
            </w:rPr>
            <w:t> </w:t>
          </w:r>
          <w:r>
            <w:rPr>
              <w:color w:val="231F20"/>
            </w:rPr>
            <w:t>1B.</w:t>
            <w:tab/>
            <w:t>Unresolved</w:t>
          </w:r>
          <w:r>
            <w:rPr>
              <w:color w:val="231F20"/>
              <w:spacing w:val="1"/>
            </w:rPr>
            <w:t> </w:t>
          </w:r>
          <w:r>
            <w:rPr>
              <w:color w:val="231F20"/>
            </w:rPr>
            <w:t>Staff</w:t>
          </w:r>
          <w:r>
            <w:rPr>
              <w:color w:val="231F20"/>
              <w:spacing w:val="1"/>
            </w:rPr>
            <w:t> </w:t>
          </w:r>
          <w:r>
            <w:rPr>
              <w:color w:val="231F20"/>
            </w:rPr>
            <w:t>Comments</w:t>
            <w:tab/>
            <w:t>35</w:t>
          </w:r>
        </w:p>
        <w:p>
          <w:pPr>
            <w:pStyle w:val="TOC1"/>
            <w:tabs>
              <w:tab w:pos="1011" w:val="left" w:leader="none"/>
              <w:tab w:pos="9219" w:val="right" w:leader="dot"/>
            </w:tabs>
            <w:spacing w:before="49"/>
          </w:pPr>
          <w:r>
            <w:rPr>
              <w:color w:val="231F20"/>
            </w:rPr>
            <w:t>Item</w:t>
          </w:r>
          <w:r>
            <w:rPr>
              <w:color w:val="231F20"/>
              <w:spacing w:val="1"/>
            </w:rPr>
            <w:t> </w:t>
          </w:r>
          <w:r>
            <w:rPr>
              <w:color w:val="231F20"/>
            </w:rPr>
            <w:t>2.</w:t>
            <w:tab/>
            <w:t>Properties</w:t>
            <w:tab/>
            <w:t>35</w:t>
          </w:r>
        </w:p>
        <w:p>
          <w:pPr>
            <w:pStyle w:val="TOC1"/>
            <w:tabs>
              <w:tab w:pos="1011" w:val="left" w:leader="none"/>
              <w:tab w:pos="9219" w:val="right" w:leader="dot"/>
            </w:tabs>
            <w:spacing w:before="49"/>
          </w:pPr>
          <w:r>
            <w:rPr>
              <w:color w:val="231F20"/>
            </w:rPr>
            <w:t>Item</w:t>
          </w:r>
          <w:r>
            <w:rPr>
              <w:color w:val="231F20"/>
              <w:spacing w:val="1"/>
            </w:rPr>
            <w:t> </w:t>
          </w:r>
          <w:r>
            <w:rPr>
              <w:color w:val="231F20"/>
            </w:rPr>
            <w:t>3.</w:t>
            <w:tab/>
            <w:t>Legal Proceedings</w:t>
            <w:tab/>
            <w:t>37</w:t>
          </w:r>
        </w:p>
        <w:p>
          <w:pPr>
            <w:pStyle w:val="TOC1"/>
            <w:tabs>
              <w:tab w:pos="1011" w:val="left" w:leader="none"/>
              <w:tab w:pos="9219" w:val="right" w:leader="dot"/>
            </w:tabs>
            <w:spacing w:before="49"/>
          </w:pPr>
          <w:r>
            <w:rPr>
              <w:color w:val="231F20"/>
            </w:rPr>
            <w:t>Item</w:t>
          </w:r>
          <w:r>
            <w:rPr>
              <w:color w:val="231F20"/>
              <w:spacing w:val="1"/>
            </w:rPr>
            <w:t> </w:t>
          </w:r>
          <w:r>
            <w:rPr>
              <w:color w:val="231F20"/>
            </w:rPr>
            <w:t>4.</w:t>
            <w:tab/>
            <w:t>Mine Safety</w:t>
          </w:r>
          <w:r>
            <w:rPr>
              <w:color w:val="231F20"/>
              <w:spacing w:val="1"/>
            </w:rPr>
            <w:t> </w:t>
          </w:r>
          <w:r>
            <w:rPr>
              <w:color w:val="231F20"/>
            </w:rPr>
            <w:t>Disclosures</w:t>
            <w:tab/>
            <w:t>38</w:t>
          </w:r>
        </w:p>
        <w:p>
          <w:pPr>
            <w:pStyle w:val="TOC2"/>
            <w:spacing w:before="129"/>
          </w:pPr>
          <w:hyperlink w:history="true" w:anchor="_TOC_250015">
            <w:r>
              <w:rPr>
                <w:color w:val="231F20"/>
              </w:rPr>
              <w:t>PART II</w:t>
            </w:r>
          </w:hyperlink>
        </w:p>
        <w:p>
          <w:pPr>
            <w:pStyle w:val="TOC1"/>
            <w:tabs>
              <w:tab w:pos="1011" w:val="left" w:leader="none"/>
              <w:tab w:pos="9219" w:val="right" w:leader="dot"/>
            </w:tabs>
            <w:spacing w:line="249" w:lineRule="auto" w:before="49"/>
            <w:ind w:left="1012" w:right="119" w:hanging="912"/>
          </w:pPr>
          <w:hyperlink w:history="true" w:anchor="_TOC_250014">
            <w:r>
              <w:rPr>
                <w:color w:val="231F20"/>
              </w:rPr>
              <w:t>Item</w:t>
            </w:r>
            <w:r>
              <w:rPr>
                <w:color w:val="231F20"/>
                <w:spacing w:val="1"/>
              </w:rPr>
              <w:t> </w:t>
            </w:r>
            <w:r>
              <w:rPr>
                <w:color w:val="231F20"/>
              </w:rPr>
              <w:t>5.</w:t>
              <w:tab/>
              <w:t>Market for Registrant’s Common Equity, Related Stockholder Matters, and Issuer</w:t>
            </w:r>
            <w:r>
              <w:rPr>
                <w:color w:val="231F20"/>
                <w:spacing w:val="8"/>
              </w:rPr>
              <w:t> </w:t>
            </w:r>
            <w:r>
              <w:rPr>
                <w:color w:val="231F20"/>
              </w:rPr>
              <w:t>Purchases</w:t>
            </w:r>
            <w:r>
              <w:rPr>
                <w:color w:val="231F20"/>
                <w:spacing w:val="1"/>
              </w:rPr>
              <w:t> </w:t>
            </w:r>
            <w:r>
              <w:rPr>
                <w:color w:val="231F20"/>
              </w:rPr>
              <w:t>of</w:t>
            </w:r>
            <w:r>
              <w:rPr>
                <w:color w:val="231F20"/>
                <w:w w:val="99"/>
              </w:rPr>
              <w:t> </w:t>
            </w:r>
            <w:r>
              <w:rPr>
                <w:color w:val="231F20"/>
              </w:rPr>
              <w:t>Equity Securities</w:t>
              <w:tab/>
              <w:t>40</w:t>
            </w:r>
          </w:hyperlink>
        </w:p>
        <w:p>
          <w:pPr>
            <w:pStyle w:val="TOC1"/>
            <w:tabs>
              <w:tab w:pos="1011" w:val="left" w:leader="none"/>
              <w:tab w:pos="9219" w:val="right" w:leader="dot"/>
            </w:tabs>
            <w:spacing w:before="41"/>
          </w:pPr>
          <w:r>
            <w:rPr>
              <w:color w:val="231F20"/>
            </w:rPr>
            <w:t>Item</w:t>
          </w:r>
          <w:r>
            <w:rPr>
              <w:color w:val="231F20"/>
              <w:spacing w:val="1"/>
            </w:rPr>
            <w:t> </w:t>
          </w:r>
          <w:r>
            <w:rPr>
              <w:color w:val="231F20"/>
            </w:rPr>
            <w:t>6.</w:t>
            <w:tab/>
            <w:t>Selected</w:t>
          </w:r>
          <w:r>
            <w:rPr>
              <w:color w:val="231F20"/>
              <w:spacing w:val="1"/>
            </w:rPr>
            <w:t> </w:t>
          </w:r>
          <w:r>
            <w:rPr>
              <w:color w:val="231F20"/>
            </w:rPr>
            <w:t>Financial</w:t>
          </w:r>
          <w:r>
            <w:rPr>
              <w:color w:val="231F20"/>
              <w:spacing w:val="1"/>
            </w:rPr>
            <w:t> </w:t>
          </w:r>
          <w:r>
            <w:rPr>
              <w:color w:val="231F20"/>
            </w:rPr>
            <w:t>Data</w:t>
            <w:tab/>
            <w:t>43</w:t>
          </w:r>
        </w:p>
        <w:p>
          <w:pPr>
            <w:pStyle w:val="TOC1"/>
            <w:tabs>
              <w:tab w:pos="1011" w:val="left" w:leader="none"/>
              <w:tab w:pos="9219" w:val="right" w:leader="dot"/>
            </w:tabs>
          </w:pPr>
          <w:hyperlink w:history="true" w:anchor="_TOC_250013">
            <w:r>
              <w:rPr>
                <w:color w:val="231F20"/>
              </w:rPr>
              <w:t>Item</w:t>
            </w:r>
            <w:r>
              <w:rPr>
                <w:color w:val="231F20"/>
                <w:spacing w:val="1"/>
              </w:rPr>
              <w:t> </w:t>
            </w:r>
            <w:r>
              <w:rPr>
                <w:color w:val="231F20"/>
              </w:rPr>
              <w:t>7.</w:t>
              <w:tab/>
              <w:t>Management’s Discussion and Analysis of Financial Condition and Results</w:t>
            </w:r>
            <w:r>
              <w:rPr>
                <w:color w:val="231F20"/>
                <w:spacing w:val="6"/>
              </w:rPr>
              <w:t> </w:t>
            </w:r>
            <w:r>
              <w:rPr>
                <w:color w:val="231F20"/>
              </w:rPr>
              <w:t>of Operations</w:t>
              <w:tab/>
              <w:t>44</w:t>
            </w:r>
          </w:hyperlink>
        </w:p>
        <w:p>
          <w:pPr>
            <w:pStyle w:val="TOC3"/>
            <w:tabs>
              <w:tab w:pos="9219" w:val="right" w:leader="dot"/>
            </w:tabs>
          </w:pPr>
          <w:hyperlink w:history="true" w:anchor="_TOC_250012">
            <w:r>
              <w:rPr>
                <w:color w:val="231F20"/>
              </w:rPr>
              <w:t>Liquidity and</w:t>
            </w:r>
            <w:r>
              <w:rPr>
                <w:color w:val="231F20"/>
                <w:spacing w:val="1"/>
              </w:rPr>
              <w:t> </w:t>
            </w:r>
            <w:r>
              <w:rPr>
                <w:color w:val="231F20"/>
              </w:rPr>
              <w:t>Capital</w:t>
            </w:r>
            <w:r>
              <w:rPr>
                <w:color w:val="231F20"/>
                <w:spacing w:val="1"/>
              </w:rPr>
              <w:t> </w:t>
            </w:r>
            <w:r>
              <w:rPr>
                <w:color w:val="231F20"/>
              </w:rPr>
              <w:t>Resources</w:t>
              <w:tab/>
              <w:t>60</w:t>
            </w:r>
          </w:hyperlink>
        </w:p>
        <w:p>
          <w:pPr>
            <w:pStyle w:val="TOC3"/>
            <w:tabs>
              <w:tab w:pos="9219" w:val="right" w:leader="dot"/>
            </w:tabs>
            <w:spacing w:line="249" w:lineRule="auto"/>
            <w:ind w:right="119"/>
          </w:pPr>
          <w:hyperlink w:history="true" w:anchor="_TOC_250011">
            <w:r>
              <w:rPr>
                <w:color w:val="231F20"/>
              </w:rPr>
              <w:t>Off-Balance Sheet Arrangements, Contractual Obligations, and Contingent Liabilities and Commitments</w:t>
              <w:tab/>
              <w:t>61</w:t>
            </w:r>
          </w:hyperlink>
        </w:p>
        <w:p>
          <w:pPr>
            <w:pStyle w:val="TOC3"/>
            <w:tabs>
              <w:tab w:pos="9219" w:val="right" w:leader="dot"/>
            </w:tabs>
            <w:spacing w:before="41"/>
          </w:pPr>
          <w:hyperlink w:history="true" w:anchor="_TOC_250010">
            <w:r>
              <w:rPr>
                <w:color w:val="231F20"/>
              </w:rPr>
              <w:t>Critical Accounting Policies</w:t>
            </w:r>
            <w:r>
              <w:rPr>
                <w:color w:val="231F20"/>
                <w:spacing w:val="3"/>
              </w:rPr>
              <w:t> </w:t>
            </w:r>
            <w:r>
              <w:rPr>
                <w:color w:val="231F20"/>
              </w:rPr>
              <w:t>and Estimates</w:t>
              <w:tab/>
              <w:t>64</w:t>
            </w:r>
          </w:hyperlink>
        </w:p>
        <w:p>
          <w:pPr>
            <w:pStyle w:val="TOC1"/>
            <w:tabs>
              <w:tab w:pos="9219" w:val="right" w:leader="dot"/>
            </w:tabs>
          </w:pPr>
          <w:hyperlink w:history="true" w:anchor="_TOC_250009">
            <w:r>
              <w:rPr>
                <w:color w:val="231F20"/>
              </w:rPr>
              <w:t>Item 7A.    Quantitative and Qualitative Disclosures About</w:t>
            </w:r>
            <w:r>
              <w:rPr>
                <w:color w:val="231F20"/>
                <w:spacing w:val="5"/>
              </w:rPr>
              <w:t> </w:t>
            </w:r>
            <w:r>
              <w:rPr>
                <w:color w:val="231F20"/>
              </w:rPr>
              <w:t>Market</w:t>
            </w:r>
            <w:r>
              <w:rPr>
                <w:color w:val="231F20"/>
                <w:spacing w:val="1"/>
              </w:rPr>
              <w:t> </w:t>
            </w:r>
            <w:r>
              <w:rPr>
                <w:color w:val="231F20"/>
              </w:rPr>
              <w:t>Risk</w:t>
              <w:tab/>
              <w:t>71</w:t>
            </w:r>
          </w:hyperlink>
        </w:p>
        <w:p>
          <w:pPr>
            <w:pStyle w:val="TOC1"/>
            <w:tabs>
              <w:tab w:pos="1011" w:val="left" w:leader="none"/>
              <w:tab w:pos="9219" w:val="right" w:leader="dot"/>
            </w:tabs>
          </w:pPr>
          <w:r>
            <w:rPr>
              <w:color w:val="231F20"/>
            </w:rPr>
            <w:t>Item</w:t>
          </w:r>
          <w:r>
            <w:rPr>
              <w:color w:val="231F20"/>
              <w:spacing w:val="1"/>
            </w:rPr>
            <w:t> </w:t>
          </w:r>
          <w:r>
            <w:rPr>
              <w:color w:val="231F20"/>
            </w:rPr>
            <w:t>8.</w:t>
            <w:tab/>
            <w:t>Financial Statements and</w:t>
          </w:r>
          <w:r>
            <w:rPr>
              <w:color w:val="231F20"/>
              <w:spacing w:val="3"/>
            </w:rPr>
            <w:t> </w:t>
          </w:r>
          <w:r>
            <w:rPr>
              <w:color w:val="231F20"/>
            </w:rPr>
            <w:t>Supplementary</w:t>
          </w:r>
          <w:r>
            <w:rPr>
              <w:color w:val="231F20"/>
              <w:spacing w:val="2"/>
            </w:rPr>
            <w:t> </w:t>
          </w:r>
          <w:r>
            <w:rPr>
              <w:color w:val="231F20"/>
            </w:rPr>
            <w:t>Data</w:t>
            <w:tab/>
            <w:t>76</w:t>
          </w:r>
        </w:p>
        <w:p>
          <w:pPr>
            <w:pStyle w:val="TOC3"/>
            <w:tabs>
              <w:tab w:pos="9219" w:val="right" w:leader="dot"/>
            </w:tabs>
          </w:pPr>
          <w:r>
            <w:rPr>
              <w:color w:val="231F20"/>
            </w:rPr>
            <w:t>Southwest Airlines Co. Consolidated</w:t>
          </w:r>
          <w:r>
            <w:rPr>
              <w:color w:val="231F20"/>
              <w:spacing w:val="1"/>
            </w:rPr>
            <w:t> </w:t>
          </w:r>
          <w:r>
            <w:rPr>
              <w:color w:val="231F20"/>
            </w:rPr>
            <w:t>Balance Sheet</w:t>
            <w:tab/>
            <w:t>76</w:t>
          </w:r>
        </w:p>
        <w:p>
          <w:pPr>
            <w:pStyle w:val="TOC3"/>
            <w:tabs>
              <w:tab w:pos="9219" w:val="right" w:leader="dot"/>
            </w:tabs>
          </w:pPr>
          <w:r>
            <w:rPr>
              <w:color w:val="231F20"/>
            </w:rPr>
            <w:t>Southwest Airlines Co. Consolidated Statement</w:t>
          </w:r>
          <w:r>
            <w:rPr>
              <w:color w:val="231F20"/>
              <w:spacing w:val="3"/>
            </w:rPr>
            <w:t> </w:t>
          </w:r>
          <w:r>
            <w:rPr>
              <w:color w:val="231F20"/>
            </w:rPr>
            <w:t>of Income</w:t>
            <w:tab/>
            <w:t>77</w:t>
          </w:r>
        </w:p>
        <w:p>
          <w:pPr>
            <w:pStyle w:val="TOC3"/>
            <w:tabs>
              <w:tab w:pos="9219" w:val="right" w:leader="dot"/>
            </w:tabs>
          </w:pPr>
          <w:r>
            <w:rPr>
              <w:color w:val="231F20"/>
            </w:rPr>
            <w:t>Southwest Airlines Co. Consolidated Statement of</w:t>
          </w:r>
          <w:r>
            <w:rPr>
              <w:color w:val="231F20"/>
              <w:spacing w:val="3"/>
            </w:rPr>
            <w:t> </w:t>
          </w:r>
          <w:r>
            <w:rPr>
              <w:color w:val="231F20"/>
            </w:rPr>
            <w:t>Comprehensive</w:t>
          </w:r>
          <w:r>
            <w:rPr>
              <w:color w:val="231F20"/>
              <w:spacing w:val="1"/>
            </w:rPr>
            <w:t> </w:t>
          </w:r>
          <w:r>
            <w:rPr>
              <w:color w:val="231F20"/>
            </w:rPr>
            <w:t>Income</w:t>
            <w:tab/>
            <w:t>78</w:t>
          </w:r>
        </w:p>
        <w:p>
          <w:pPr>
            <w:pStyle w:val="TOC3"/>
            <w:tabs>
              <w:tab w:pos="9219" w:val="right" w:leader="dot"/>
            </w:tabs>
          </w:pPr>
          <w:r>
            <w:rPr>
              <w:color w:val="231F20"/>
            </w:rPr>
            <w:t>Southwest Airlines Co. Consolidated Statement of</w:t>
          </w:r>
          <w:r>
            <w:rPr>
              <w:color w:val="231F20"/>
              <w:spacing w:val="3"/>
            </w:rPr>
            <w:t> </w:t>
          </w:r>
          <w:r>
            <w:rPr>
              <w:color w:val="231F20"/>
            </w:rPr>
            <w:t>Stockholders’</w:t>
          </w:r>
          <w:r>
            <w:rPr>
              <w:color w:val="231F20"/>
              <w:spacing w:val="2"/>
            </w:rPr>
            <w:t> </w:t>
          </w:r>
          <w:r>
            <w:rPr>
              <w:color w:val="231F20"/>
            </w:rPr>
            <w:t>Equity</w:t>
            <w:tab/>
            <w:t>79</w:t>
          </w:r>
        </w:p>
        <w:p>
          <w:pPr>
            <w:pStyle w:val="TOC3"/>
            <w:tabs>
              <w:tab w:pos="9219" w:val="right" w:leader="dot"/>
            </w:tabs>
          </w:pPr>
          <w:r>
            <w:rPr>
              <w:color w:val="231F20"/>
            </w:rPr>
            <w:t>Southwest Airlines Co. Consolidated Statement of</w:t>
          </w:r>
          <w:r>
            <w:rPr>
              <w:color w:val="231F20"/>
              <w:spacing w:val="3"/>
            </w:rPr>
            <w:t> </w:t>
          </w:r>
          <w:r>
            <w:rPr>
              <w:color w:val="231F20"/>
            </w:rPr>
            <w:t>Cash Flows</w:t>
            <w:tab/>
            <w:t>80</w:t>
          </w:r>
        </w:p>
        <w:p>
          <w:pPr>
            <w:pStyle w:val="TOC3"/>
            <w:tabs>
              <w:tab w:pos="9219" w:val="right" w:leader="dot"/>
            </w:tabs>
          </w:pPr>
          <w:hyperlink w:history="true" w:anchor="_TOC_250008">
            <w:r>
              <w:rPr>
                <w:color w:val="231F20"/>
              </w:rPr>
              <w:t>Notes to Consolidated</w:t>
            </w:r>
            <w:r>
              <w:rPr>
                <w:color w:val="231F20"/>
                <w:spacing w:val="1"/>
              </w:rPr>
              <w:t> </w:t>
            </w:r>
            <w:r>
              <w:rPr>
                <w:color w:val="231F20"/>
              </w:rPr>
              <w:t>Financial</w:t>
            </w:r>
            <w:r>
              <w:rPr>
                <w:color w:val="231F20"/>
                <w:spacing w:val="1"/>
              </w:rPr>
              <w:t> </w:t>
            </w:r>
            <w:r>
              <w:rPr>
                <w:color w:val="231F20"/>
              </w:rPr>
              <w:t>Statements</w:t>
              <w:tab/>
              <w:t>81</w:t>
            </w:r>
          </w:hyperlink>
        </w:p>
        <w:p>
          <w:pPr>
            <w:pStyle w:val="TOC1"/>
            <w:tabs>
              <w:tab w:pos="1011" w:val="left" w:leader="none"/>
              <w:tab w:pos="9219" w:val="right" w:leader="dot"/>
            </w:tabs>
          </w:pPr>
          <w:hyperlink w:history="true" w:anchor="_TOC_250007">
            <w:r>
              <w:rPr>
                <w:color w:val="231F20"/>
              </w:rPr>
              <w:t>Item</w:t>
            </w:r>
            <w:r>
              <w:rPr>
                <w:color w:val="231F20"/>
                <w:spacing w:val="1"/>
              </w:rPr>
              <w:t> </w:t>
            </w:r>
            <w:r>
              <w:rPr>
                <w:color w:val="231F20"/>
              </w:rPr>
              <w:t>9.</w:t>
              <w:tab/>
              <w:t>Changes in and Disagreements With Accountants on Accounting and</w:t>
            </w:r>
            <w:r>
              <w:rPr>
                <w:color w:val="231F20"/>
                <w:spacing w:val="4"/>
              </w:rPr>
              <w:t> </w:t>
            </w:r>
            <w:r>
              <w:rPr>
                <w:color w:val="231F20"/>
              </w:rPr>
              <w:t>Financial</w:t>
            </w:r>
            <w:r>
              <w:rPr>
                <w:color w:val="231F20"/>
                <w:spacing w:val="1"/>
              </w:rPr>
              <w:t> </w:t>
            </w:r>
            <w:r>
              <w:rPr>
                <w:color w:val="231F20"/>
              </w:rPr>
              <w:t>Disclosure</w:t>
              <w:tab/>
              <w:t>121</w:t>
            </w:r>
          </w:hyperlink>
        </w:p>
        <w:p>
          <w:pPr>
            <w:pStyle w:val="TOC1"/>
            <w:tabs>
              <w:tab w:pos="9219" w:val="right" w:leader="dot"/>
            </w:tabs>
          </w:pPr>
          <w:r>
            <w:rPr>
              <w:color w:val="231F20"/>
            </w:rPr>
            <w:t>Item 9A.    Controls</w:t>
          </w:r>
          <w:r>
            <w:rPr>
              <w:color w:val="231F20"/>
              <w:spacing w:val="1"/>
            </w:rPr>
            <w:t> </w:t>
          </w:r>
          <w:r>
            <w:rPr>
              <w:color w:val="231F20"/>
            </w:rPr>
            <w:t>and Procedures</w:t>
            <w:tab/>
            <w:t>121</w:t>
          </w:r>
        </w:p>
        <w:p>
          <w:pPr>
            <w:pStyle w:val="TOC1"/>
            <w:tabs>
              <w:tab w:pos="1011" w:val="left" w:leader="none"/>
              <w:tab w:pos="9219" w:val="right" w:leader="dot"/>
            </w:tabs>
          </w:pPr>
          <w:r>
            <w:rPr>
              <w:color w:val="231F20"/>
            </w:rPr>
            <w:t>Item</w:t>
          </w:r>
          <w:r>
            <w:rPr>
              <w:color w:val="231F20"/>
              <w:spacing w:val="1"/>
            </w:rPr>
            <w:t> </w:t>
          </w:r>
          <w:r>
            <w:rPr>
              <w:color w:val="231F20"/>
            </w:rPr>
            <w:t>9B.</w:t>
            <w:tab/>
            <w:t>Other Information</w:t>
            <w:tab/>
            <w:t>121</w:t>
          </w:r>
        </w:p>
        <w:p>
          <w:pPr>
            <w:pStyle w:val="TOC2"/>
          </w:pPr>
          <w:hyperlink w:history="true" w:anchor="_TOC_250006">
            <w:r>
              <w:rPr>
                <w:color w:val="231F20"/>
              </w:rPr>
              <w:t>PART III</w:t>
            </w:r>
          </w:hyperlink>
        </w:p>
        <w:p>
          <w:pPr>
            <w:pStyle w:val="TOC1"/>
            <w:tabs>
              <w:tab w:pos="1011" w:val="left" w:leader="none"/>
              <w:tab w:pos="9219" w:val="right" w:leader="dot"/>
            </w:tabs>
          </w:pPr>
          <w:hyperlink w:history="true" w:anchor="_TOC_250005">
            <w:r>
              <w:rPr>
                <w:color w:val="231F20"/>
              </w:rPr>
              <w:t>Item</w:t>
            </w:r>
            <w:r>
              <w:rPr>
                <w:color w:val="231F20"/>
                <w:spacing w:val="1"/>
              </w:rPr>
              <w:t> </w:t>
            </w:r>
            <w:r>
              <w:rPr>
                <w:color w:val="231F20"/>
              </w:rPr>
              <w:t>10.</w:t>
              <w:tab/>
              <w:t>Directors, Executive Officers, and</w:t>
            </w:r>
            <w:r>
              <w:rPr>
                <w:color w:val="231F20"/>
                <w:spacing w:val="3"/>
              </w:rPr>
              <w:t> </w:t>
            </w:r>
            <w:r>
              <w:rPr>
                <w:color w:val="231F20"/>
              </w:rPr>
              <w:t>Corporate</w:t>
            </w:r>
            <w:r>
              <w:rPr>
                <w:color w:val="231F20"/>
                <w:spacing w:val="1"/>
              </w:rPr>
              <w:t> </w:t>
            </w:r>
            <w:r>
              <w:rPr>
                <w:color w:val="231F20"/>
              </w:rPr>
              <w:t>Governance</w:t>
              <w:tab/>
              <w:t>122</w:t>
            </w:r>
          </w:hyperlink>
        </w:p>
        <w:p>
          <w:pPr>
            <w:pStyle w:val="TOC1"/>
            <w:tabs>
              <w:tab w:pos="1011" w:val="left" w:leader="none"/>
              <w:tab w:pos="9219" w:val="right" w:leader="dot"/>
            </w:tabs>
          </w:pPr>
          <w:r>
            <w:rPr>
              <w:color w:val="231F20"/>
            </w:rPr>
            <w:t>Item</w:t>
          </w:r>
          <w:r>
            <w:rPr>
              <w:color w:val="231F20"/>
              <w:spacing w:val="1"/>
            </w:rPr>
            <w:t> </w:t>
          </w:r>
          <w:r>
            <w:rPr>
              <w:color w:val="231F20"/>
            </w:rPr>
            <w:t>11.</w:t>
            <w:tab/>
            <w:t>Executive</w:t>
          </w:r>
          <w:r>
            <w:rPr>
              <w:color w:val="231F20"/>
              <w:spacing w:val="1"/>
            </w:rPr>
            <w:t> </w:t>
          </w:r>
          <w:r>
            <w:rPr>
              <w:color w:val="231F20"/>
            </w:rPr>
            <w:t>Compensation</w:t>
            <w:tab/>
            <w:t>122</w:t>
          </w:r>
        </w:p>
        <w:p>
          <w:pPr>
            <w:pStyle w:val="TOC1"/>
            <w:tabs>
              <w:tab w:pos="1011" w:val="left" w:leader="none"/>
            </w:tabs>
          </w:pPr>
          <w:r>
            <w:rPr>
              <w:color w:val="231F20"/>
            </w:rPr>
            <w:t>Item</w:t>
          </w:r>
          <w:r>
            <w:rPr>
              <w:color w:val="231F20"/>
              <w:spacing w:val="1"/>
            </w:rPr>
            <w:t> </w:t>
          </w:r>
          <w:r>
            <w:rPr>
              <w:color w:val="231F20"/>
            </w:rPr>
            <w:t>12.</w:t>
            <w:tab/>
            <w:t>Security Ownership of Certain Beneficial Owners and Management and Related</w:t>
          </w:r>
          <w:r>
            <w:rPr>
              <w:color w:val="231F20"/>
              <w:spacing w:val="6"/>
            </w:rPr>
            <w:t> </w:t>
          </w:r>
          <w:r>
            <w:rPr>
              <w:color w:val="231F20"/>
            </w:rPr>
            <w:t>Stockholder</w:t>
          </w:r>
        </w:p>
        <w:p>
          <w:pPr>
            <w:pStyle w:val="TOC3"/>
            <w:tabs>
              <w:tab w:pos="9219" w:val="right" w:leader="dot"/>
            </w:tabs>
            <w:spacing w:before="10"/>
          </w:pPr>
          <w:r>
            <w:rPr>
              <w:color w:val="231F20"/>
            </w:rPr>
            <w:t>Matters</w:t>
            <w:tab/>
            <w:t>122</w:t>
          </w:r>
        </w:p>
        <w:p>
          <w:pPr>
            <w:pStyle w:val="TOC1"/>
            <w:tabs>
              <w:tab w:pos="1011" w:val="left" w:leader="none"/>
              <w:tab w:pos="9219" w:val="right" w:leader="dot"/>
            </w:tabs>
          </w:pPr>
          <w:hyperlink w:history="true" w:anchor="_TOC_250004">
            <w:r>
              <w:rPr>
                <w:color w:val="231F20"/>
              </w:rPr>
              <w:t>Item</w:t>
            </w:r>
            <w:r>
              <w:rPr>
                <w:color w:val="231F20"/>
                <w:spacing w:val="1"/>
              </w:rPr>
              <w:t> </w:t>
            </w:r>
            <w:r>
              <w:rPr>
                <w:color w:val="231F20"/>
              </w:rPr>
              <w:t>13.</w:t>
              <w:tab/>
              <w:t>Certain Relationships and Related Transactions, and</w:t>
            </w:r>
            <w:r>
              <w:rPr>
                <w:color w:val="231F20"/>
                <w:spacing w:val="6"/>
              </w:rPr>
              <w:t> </w:t>
            </w:r>
            <w:r>
              <w:rPr>
                <w:color w:val="231F20"/>
              </w:rPr>
              <w:t>Director</w:t>
            </w:r>
            <w:r>
              <w:rPr>
                <w:color w:val="231F20"/>
                <w:spacing w:val="1"/>
              </w:rPr>
              <w:t> </w:t>
            </w:r>
            <w:r>
              <w:rPr>
                <w:color w:val="231F20"/>
              </w:rPr>
              <w:t>Independence</w:t>
              <w:tab/>
              <w:t>123</w:t>
            </w:r>
          </w:hyperlink>
        </w:p>
        <w:p>
          <w:pPr>
            <w:pStyle w:val="TOC1"/>
            <w:tabs>
              <w:tab w:pos="1011" w:val="left" w:leader="none"/>
              <w:tab w:pos="9219" w:val="right" w:leader="dot"/>
            </w:tabs>
          </w:pPr>
          <w:hyperlink w:history="true" w:anchor="_TOC_250003">
            <w:r>
              <w:rPr>
                <w:color w:val="231F20"/>
              </w:rPr>
              <w:t>Item</w:t>
            </w:r>
            <w:r>
              <w:rPr>
                <w:color w:val="231F20"/>
                <w:spacing w:val="1"/>
              </w:rPr>
              <w:t> </w:t>
            </w:r>
            <w:r>
              <w:rPr>
                <w:color w:val="231F20"/>
              </w:rPr>
              <w:t>14.</w:t>
              <w:tab/>
              <w:t>Principal Accounting Fees</w:t>
            </w:r>
            <w:r>
              <w:rPr>
                <w:color w:val="231F20"/>
                <w:spacing w:val="1"/>
              </w:rPr>
              <w:t> </w:t>
            </w:r>
            <w:r>
              <w:rPr>
                <w:color w:val="231F20"/>
              </w:rPr>
              <w:t>and Services</w:t>
              <w:tab/>
              <w:t>123</w:t>
            </w:r>
          </w:hyperlink>
        </w:p>
        <w:p>
          <w:pPr>
            <w:pStyle w:val="TOC2"/>
            <w:ind w:right="49"/>
          </w:pPr>
          <w:hyperlink w:history="true" w:anchor="_TOC_250002">
            <w:r>
              <w:rPr>
                <w:color w:val="231F20"/>
              </w:rPr>
              <w:t>PART IV</w:t>
            </w:r>
          </w:hyperlink>
        </w:p>
        <w:p>
          <w:pPr>
            <w:pStyle w:val="TOC1"/>
            <w:tabs>
              <w:tab w:pos="1011" w:val="left" w:leader="none"/>
              <w:tab w:pos="9219" w:val="right" w:leader="dot"/>
            </w:tabs>
          </w:pPr>
          <w:hyperlink w:history="true" w:anchor="_TOC_250001">
            <w:r>
              <w:rPr>
                <w:color w:val="231F20"/>
              </w:rPr>
              <w:t>Item</w:t>
            </w:r>
            <w:r>
              <w:rPr>
                <w:color w:val="231F20"/>
                <w:spacing w:val="1"/>
              </w:rPr>
              <w:t> </w:t>
            </w:r>
            <w:r>
              <w:rPr>
                <w:color w:val="231F20"/>
              </w:rPr>
              <w:t>15.</w:t>
              <w:tab/>
              <w:t>Exhibits and Financial</w:t>
            </w:r>
            <w:r>
              <w:rPr>
                <w:color w:val="231F20"/>
                <w:spacing w:val="2"/>
              </w:rPr>
              <w:t> </w:t>
            </w:r>
            <w:r>
              <w:rPr>
                <w:color w:val="231F20"/>
              </w:rPr>
              <w:t>Statement</w:t>
            </w:r>
            <w:r>
              <w:rPr>
                <w:color w:val="231F20"/>
                <w:spacing w:val="2"/>
              </w:rPr>
              <w:t> </w:t>
            </w:r>
            <w:r>
              <w:rPr>
                <w:color w:val="231F20"/>
              </w:rPr>
              <w:t>Schedules</w:t>
              <w:tab/>
              <w:t>124</w:t>
            </w:r>
          </w:hyperlink>
        </w:p>
        <w:p>
          <w:pPr>
            <w:pStyle w:val="TOC1"/>
            <w:tabs>
              <w:tab w:pos="9219" w:val="right" w:leader="dot"/>
            </w:tabs>
          </w:pPr>
          <w:hyperlink w:history="true" w:anchor="_TOC_250000">
            <w:r>
              <w:rPr>
                <w:color w:val="231F20"/>
              </w:rPr>
              <w:t>Signatures</w:t>
              <w:tab/>
              <w:t>130</w:t>
            </w:r>
          </w:hyperlink>
        </w:p>
      </w:sdtContent>
    </w:sdt>
    <w:p>
      <w:pPr>
        <w:spacing w:after="0"/>
        <w:sectPr>
          <w:pgSz w:w="11880" w:h="15480"/>
          <w:pgMar w:top="1240" w:bottom="280" w:left="1280" w:right="1260"/>
        </w:sectPr>
      </w:pPr>
    </w:p>
    <w:p>
      <w:pPr>
        <w:pStyle w:val="BodyText"/>
        <w:spacing w:before="4"/>
        <w:rPr>
          <w:sz w:val="17"/>
        </w:rPr>
      </w:pPr>
    </w:p>
    <w:p>
      <w:pPr>
        <w:spacing w:after="0"/>
        <w:rPr>
          <w:sz w:val="17"/>
        </w:rPr>
        <w:sectPr>
          <w:pgSz w:w="11880" w:h="15480"/>
          <w:pgMar w:top="1460" w:bottom="280" w:left="1680" w:right="1680"/>
        </w:sectPr>
      </w:pPr>
    </w:p>
    <w:p>
      <w:pPr>
        <w:spacing w:before="73"/>
        <w:ind w:left="440" w:right="422" w:firstLine="0"/>
        <w:jc w:val="center"/>
        <w:rPr>
          <w:b/>
          <w:sz w:val="20"/>
        </w:rPr>
      </w:pPr>
      <w:bookmarkStart w:name="PART I" w:id="2"/>
      <w:bookmarkEnd w:id="2"/>
      <w:r>
        <w:rPr/>
      </w:r>
      <w:r>
        <w:rPr>
          <w:b/>
          <w:color w:val="231F20"/>
          <w:sz w:val="20"/>
        </w:rPr>
        <w:t>PART I</w:t>
      </w:r>
    </w:p>
    <w:p>
      <w:pPr>
        <w:tabs>
          <w:tab w:pos="1199" w:val="left" w:leader="none"/>
        </w:tabs>
        <w:spacing w:before="158"/>
        <w:ind w:left="119" w:right="0" w:firstLine="0"/>
        <w:jc w:val="left"/>
        <w:rPr>
          <w:b/>
          <w:i/>
          <w:sz w:val="20"/>
        </w:rPr>
      </w:pPr>
      <w:bookmarkStart w:name="Item 1.   Business" w:id="3"/>
      <w:bookmarkEnd w:id="3"/>
      <w:r>
        <w:rPr/>
      </w:r>
      <w:r>
        <w:rPr>
          <w:b/>
          <w:color w:val="231F20"/>
          <w:sz w:val="20"/>
        </w:rPr>
        <w:t>Item</w:t>
      </w:r>
      <w:r>
        <w:rPr>
          <w:b/>
          <w:color w:val="231F20"/>
          <w:spacing w:val="1"/>
          <w:sz w:val="20"/>
        </w:rPr>
        <w:t> </w:t>
      </w:r>
      <w:r>
        <w:rPr>
          <w:b/>
          <w:color w:val="231F20"/>
          <w:sz w:val="20"/>
        </w:rPr>
        <w:t>1.</w:t>
        <w:tab/>
      </w:r>
      <w:r>
        <w:rPr>
          <w:b/>
          <w:i/>
          <w:color w:val="231F20"/>
          <w:sz w:val="20"/>
        </w:rPr>
        <w:t>Business</w:t>
      </w:r>
    </w:p>
    <w:p>
      <w:pPr>
        <w:pStyle w:val="Heading3"/>
        <w:spacing w:before="158"/>
        <w:ind w:left="119"/>
      </w:pPr>
      <w:r>
        <w:rPr>
          <w:color w:val="231F20"/>
        </w:rPr>
        <w:t>Company Overview</w:t>
      </w:r>
    </w:p>
    <w:p>
      <w:pPr>
        <w:pStyle w:val="BodyText"/>
        <w:spacing w:line="249" w:lineRule="auto" w:before="158"/>
        <w:ind w:left="119" w:right="168" w:firstLine="490"/>
      </w:pPr>
      <w:r>
        <w:rPr>
          <w:color w:val="231F20"/>
        </w:rPr>
        <w:t>Southwest Airlines Co. (the “Company”) operates Southwest Airlines (“Southwest”) and AirTran Airways (“AirTran”), major passenger airlines that provide scheduled air transportation in the United States and near- international markets. For the 41</w:t>
      </w:r>
      <w:r>
        <w:rPr>
          <w:color w:val="231F20"/>
          <w:position w:val="5"/>
          <w:sz w:val="13"/>
        </w:rPr>
        <w:t>st </w:t>
      </w:r>
      <w:r>
        <w:rPr>
          <w:color w:val="231F20"/>
        </w:rPr>
        <w:t>consecutive year, the Company was profitable, earning $754 million in net income.</w:t>
      </w:r>
    </w:p>
    <w:p>
      <w:pPr>
        <w:pStyle w:val="BodyText"/>
        <w:spacing w:line="249" w:lineRule="auto" w:before="149"/>
        <w:ind w:left="120" w:right="179" w:firstLine="490"/>
      </w:pPr>
      <w:r>
        <w:rPr>
          <w:color w:val="231F20"/>
        </w:rPr>
        <w:t>Southwest commenced service on June 18, 1971, with three Boeing 737 aircraft serving three Texas cities: Dallas, Houston, and San Antonio. Including the operations of both Southwest and AirTran, the Company ended 2013 serving 96 destinations in 41 states, the District of Columbia, the Commonwealth of Puerto Rico, and five near-international countries including Mexico (Cancun, Mexico City, and Cabo San Lucas), Jamaica (Montego Bay), The Bahamas (Nassau), Aruba (Oranjestad), and Dominican Republic (Punta Cana). At December 31, 2013, Southwest’s and AirTran’s combined active fleet consisted of 680 aircraft, including 614 Boeing 737s and 66 Boeing 717s. The Company reached a major milestone in 2013 by completing the connection of the Southwest and AirTran networks. Customers can now fly between any of the combined 96 Southwest and AirTran destinations on a single itinerary.</w:t>
      </w:r>
    </w:p>
    <w:p>
      <w:pPr>
        <w:pStyle w:val="BodyText"/>
        <w:spacing w:line="249" w:lineRule="auto" w:before="149"/>
        <w:ind w:left="120" w:right="179" w:firstLine="490"/>
      </w:pPr>
      <w:r>
        <w:rPr>
          <w:color w:val="231F20"/>
        </w:rPr>
        <w:t>In 2013, Southwest added service to two new states (Maine and Kansas) and ten new U.S. cities: Branson, Missouri; Charlotte, North Carolina; Flint, Michigan; Rochester, New York; Portland, Maine; Wichita, Kansas; Grand Rapids, Michigan; Memphis, Tennessee; Pensacola, Florida; and Richmond, Virginia. The addition of the new Southwest service establishes a Southwest presence in all domestic cities in Southwest’s and AirTran’s combined network. In 2013, Southwest also commenced service to San Juan, Puerto Rico, Southwest’s first scheduled service outside of the continental United States. As part of its network optimization efforts, the Company has announced its plans to cease Southwest operations in Branson, Missouri; Key West, Florida; and Jackson, Mississippi beginning in June 2014. Based on the most recent data available from the U.S. Department of Transportation, as of September 30, 2013, Southwest was the largest domestic air carrier in the United States, as measured by the number of domestic originating passengers boarded.</w:t>
      </w:r>
    </w:p>
    <w:p>
      <w:pPr>
        <w:pStyle w:val="BodyText"/>
        <w:spacing w:line="249" w:lineRule="auto" w:before="149"/>
        <w:ind w:left="120" w:right="113" w:firstLine="490"/>
      </w:pPr>
      <w:r>
        <w:rPr>
          <w:color w:val="231F20"/>
        </w:rPr>
        <w:t>During fourth quarter 2013 the Company took steps to supplement its existing service at New York LaGuardia Airport by acquiring 12 takeoff and landing slots (for six roundtrip flights) at LaGuardia (a “slot” is the right of an air carrier, pursuant to regulations of the Federal Aviation Administration (“FAA”), to operate a takeoff or landing at a specific time at certain airports). The acquired slots were divested by AMR Corporation, the parent company of American Airlines, Inc., as part of its merger with US Airways Group, Inc. Also in connection with the divestiture, the Company gained ownership through the purchase of ten takeoff and landing slots (for five roundtrip flights) at LaGuardia that it previously operated under a lease from American. The Company plans to supplement its existing Southwest service utilizing these newly acquired slots at LaGuardia beginning in May 2014. In January 2014, the Company was notified of its winning bid to acquire 54 takeoff and landing slots (for 27 roundtrip flights) at Washington Reagan National Airport, which must be divested in connection with the merger between American and US Airways. The acquisition of these slots, which is subject to final approval of the Department of Justice and customary written agreements, will supplement the Company’s existing service at Washington</w:t>
      </w:r>
      <w:r>
        <w:rPr>
          <w:color w:val="231F20"/>
          <w:spacing w:val="3"/>
        </w:rPr>
        <w:t> </w:t>
      </w:r>
      <w:r>
        <w:rPr>
          <w:color w:val="231F20"/>
        </w:rPr>
        <w:t>Reagan.</w:t>
      </w:r>
    </w:p>
    <w:p>
      <w:pPr>
        <w:pStyle w:val="BodyText"/>
        <w:spacing w:line="249" w:lineRule="auto" w:before="149"/>
        <w:ind w:left="120" w:firstLine="490"/>
      </w:pPr>
      <w:r>
        <w:rPr>
          <w:color w:val="231F20"/>
        </w:rPr>
        <w:t>While AirTran continues to service certain domestic cities and all of the Company’s international markets, the Company has announced plans to convert AirTran’s remaining domestic and international service into Southwest service by the end of 2014.</w:t>
      </w:r>
    </w:p>
    <w:p>
      <w:pPr>
        <w:pStyle w:val="BodyText"/>
        <w:spacing w:line="249" w:lineRule="auto" w:before="149"/>
        <w:ind w:left="120" w:firstLine="490"/>
      </w:pPr>
      <w:r>
        <w:rPr>
          <w:color w:val="231F20"/>
        </w:rPr>
        <w:t>Southwest principally provides point-to-point, rather than hub-and-spoke, service. This has enabled it to maximize the use of key assets, including aircraft, gates, and Employees, and has also facilitated its ability to provide its markets with frequent, conveniently timed flights and low fares. Point-to-point service is discussed in more detail below under “Company Operations — Route Structure.” AirTran has historically provided hub-and- spoke, rather than point-to-point, service, with approximately half of AirTran’s flights historically originating or</w:t>
      </w:r>
    </w:p>
    <w:p>
      <w:pPr>
        <w:spacing w:after="0" w:line="249" w:lineRule="auto"/>
        <w:sectPr>
          <w:footerReference w:type="default" r:id="rId7"/>
          <w:pgSz w:w="11880" w:h="15480"/>
          <w:pgMar w:footer="1253" w:header="0" w:top="1240" w:bottom="1440" w:left="1260" w:right="1280"/>
          <w:pgNumType w:start="1"/>
        </w:sectPr>
      </w:pPr>
    </w:p>
    <w:p>
      <w:pPr>
        <w:pStyle w:val="BodyText"/>
        <w:spacing w:line="249" w:lineRule="auto" w:before="73"/>
        <w:ind w:left="100" w:right="213"/>
      </w:pPr>
      <w:r>
        <w:rPr>
          <w:color w:val="231F20"/>
        </w:rPr>
        <w:t>terminating in Atlanta, Georgia. As part of its integration efforts, the Company has begun optimizing its operations in many AirTran cities, primarily by transitioning Atlanta to a point-to-point operation, which is enabling efficiencies related to the scheduling of aircraft, flight crews, and ground staff.</w:t>
      </w:r>
    </w:p>
    <w:p>
      <w:pPr>
        <w:pStyle w:val="Heading3"/>
        <w:spacing w:before="187"/>
      </w:pPr>
      <w:r>
        <w:rPr>
          <w:color w:val="231F20"/>
        </w:rPr>
        <w:t>Industry</w:t>
      </w:r>
    </w:p>
    <w:p>
      <w:pPr>
        <w:pStyle w:val="BodyText"/>
        <w:spacing w:before="196"/>
        <w:ind w:left="590"/>
      </w:pPr>
      <w:r>
        <w:rPr>
          <w:color w:val="231F20"/>
        </w:rPr>
        <w:t>The airline industry has historically been an extremely volatile industry subject to numerous challenges.</w:t>
      </w:r>
    </w:p>
    <w:p>
      <w:pPr>
        <w:pStyle w:val="BodyText"/>
        <w:spacing w:line="249" w:lineRule="auto" w:before="10"/>
        <w:ind w:left="100" w:right="213"/>
      </w:pPr>
      <w:r>
        <w:rPr>
          <w:color w:val="231F20"/>
        </w:rPr>
        <w:t>Among other things, it has been cyclical, energy intensive, labor intensive, capital intensive, technology intensive, highly regulated, heavily taxed, and extremely competitive. The airline industry has also been particularly susceptible to detrimental events such as acts of terrorism (for example, 9/11), poor weather, and natural disasters. In addition, in recent years the industry has been significantly affected by an uncertain economy, high and volatile fuel prices, and government sequestration and shutdown. These factors have contributed to unpredictable demand for air travel and related cost and pricing challenges. Reflecting the numerous industry challenges, from 2001 through 2012 total financial losses for the U.S. airline industry exceeded $50 billion. As a result, many U.S. airlines have ceased operations or reorganized through bankruptcy.</w:t>
      </w:r>
    </w:p>
    <w:p>
      <w:pPr>
        <w:pStyle w:val="BodyText"/>
        <w:spacing w:line="249" w:lineRule="auto" w:before="187"/>
        <w:ind w:left="100" w:right="162" w:firstLine="490"/>
      </w:pPr>
      <w:r>
        <w:rPr>
          <w:color w:val="231F20"/>
        </w:rPr>
        <w:t>Although the U.S. economy has experienced a moderate recovery since emerging from a recession in 2009 and the U.S. airline industry has showed measurable improvement during 2013, slow economic growth and lingering economic uncertainty have led to continued industry restraint with respect to overall capacity (number of available seats). Although some U.S. air carriers, including Southwest, experienced modest year-over-year increases in capacity during 2013, overall domestic airline industry capacity in 2013 remained below pre- recession levels. Leaner flight schedules over the past several years, along with industry consolidation, have contributed to improvements in industry load factors (percentage of seats filled by fare-paying passengers) and yields (revenue production per passenger mile).</w:t>
      </w:r>
    </w:p>
    <w:p>
      <w:pPr>
        <w:pStyle w:val="Heading3"/>
        <w:spacing w:line="444" w:lineRule="auto" w:before="187"/>
        <w:ind w:left="350" w:right="7360" w:hanging="250"/>
      </w:pPr>
      <w:r>
        <w:rPr>
          <w:color w:val="231F20"/>
        </w:rPr>
        <w:t>Company Operations Route Structure</w:t>
      </w:r>
    </w:p>
    <w:p>
      <w:pPr>
        <w:pStyle w:val="Heading4"/>
        <w:spacing w:before="8"/>
        <w:ind w:left="590"/>
        <w:rPr>
          <w:i/>
        </w:rPr>
      </w:pPr>
      <w:r>
        <w:rPr>
          <w:i/>
          <w:color w:val="231F20"/>
        </w:rPr>
        <w:t>General</w:t>
      </w:r>
    </w:p>
    <w:p>
      <w:pPr>
        <w:pStyle w:val="BodyText"/>
        <w:spacing w:line="249" w:lineRule="auto" w:before="196"/>
        <w:ind w:left="100" w:right="148" w:firstLine="490"/>
      </w:pPr>
      <w:r>
        <w:rPr>
          <w:color w:val="231F20"/>
        </w:rPr>
        <w:t>Southwest principally provides point-to-point service, rather than the “hub-and-spoke” service provided by most major U.S. airlines. The hub-and-spoke system concentrates most of an airline’s 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For 2013, approximately 72 percent of Southwest’s Customers flew non-stop, and Southwest’s average aircraft trip stage length was 693 miles, with an average duration of approximately 1.9 hours. For 2012, approximately 72 percent of Southwest’s Customers flew non-stop, and Southwest’s average aircraft trip stage length was 678 miles, with an average duration of approximately 1.9</w:t>
      </w:r>
      <w:r>
        <w:rPr>
          <w:color w:val="231F20"/>
          <w:spacing w:val="6"/>
        </w:rPr>
        <w:t> </w:t>
      </w:r>
      <w:r>
        <w:rPr>
          <w:color w:val="231F20"/>
        </w:rPr>
        <w:t>hours.</w:t>
      </w:r>
    </w:p>
    <w:p>
      <w:pPr>
        <w:pStyle w:val="BodyText"/>
        <w:spacing w:line="249" w:lineRule="auto" w:before="187"/>
        <w:ind w:left="100" w:right="385" w:firstLine="490"/>
      </w:pPr>
      <w:r>
        <w:rPr>
          <w:color w:val="231F20"/>
        </w:rPr>
        <w:t>Southwest’s point-to-point service has also enabled it to provide its markets with frequent, conveniently timed flights and low fares. For example, Southwest currently offers 25 weekday roundtrips from Dallas Love Field to Houston Hobby, 11 weekday roundtrips from Phoenix to Las Vegas, 12 weekday roundtrips from Burbank to Oakland, and 12 weekday roundtrips from Los Angeles International to Oakland. Southwest complements these high-frequency shorthaul routes with longhaul non-stop service between markets such as Los Angeles and Nashville, Las Vegas and Orlando, San Diego and Baltimore, and Houston and New York LaGuardia. As of December 31, 2013, Southwest served 524 non-stop city pairs.</w:t>
      </w:r>
    </w:p>
    <w:p>
      <w:pPr>
        <w:pStyle w:val="BodyText"/>
        <w:spacing w:line="249" w:lineRule="auto" w:before="187"/>
        <w:ind w:left="100" w:right="116" w:firstLine="490"/>
      </w:pPr>
      <w:r>
        <w:rPr>
          <w:color w:val="231F20"/>
        </w:rPr>
        <w:t>Unlike Southwest, AirTran has historically operated largely through a hub-and-spoke network system, with approximately half of its flights historically originating or terminating at Hartsfield-Jackson Atlanta International Airport. As part of its integration efforts, the Company has begun optimizing its operations in many AirTran cities, primarily by transitioning Atlanta to a point-to-point operation, which is enabling efficiencies related to  the scheduling of aircraft, flight crews, and ground</w:t>
      </w:r>
      <w:r>
        <w:rPr>
          <w:color w:val="231F20"/>
          <w:spacing w:val="4"/>
        </w:rPr>
        <w:t> </w:t>
      </w:r>
      <w:r>
        <w:rPr>
          <w:color w:val="231F20"/>
        </w:rPr>
        <w:t>staff.</w:t>
      </w:r>
    </w:p>
    <w:p>
      <w:pPr>
        <w:spacing w:after="0" w:line="249" w:lineRule="auto"/>
        <w:sectPr>
          <w:pgSz w:w="11880" w:h="15480"/>
          <w:pgMar w:header="0" w:footer="1253" w:top="1240" w:bottom="1440" w:left="1280" w:right="1280"/>
        </w:sectPr>
      </w:pPr>
    </w:p>
    <w:p>
      <w:pPr>
        <w:pStyle w:val="Heading4"/>
        <w:spacing w:before="73"/>
        <w:ind w:left="590"/>
        <w:rPr>
          <w:i/>
        </w:rPr>
      </w:pPr>
      <w:r>
        <w:rPr>
          <w:i/>
          <w:color w:val="231F20"/>
        </w:rPr>
        <w:t>International Service</w:t>
      </w:r>
    </w:p>
    <w:p>
      <w:pPr>
        <w:pStyle w:val="BodyText"/>
        <w:spacing w:line="249" w:lineRule="auto" w:before="168"/>
        <w:ind w:left="100" w:right="165" w:firstLine="490"/>
      </w:pPr>
      <w:r>
        <w:rPr>
          <w:color w:val="231F20"/>
        </w:rPr>
        <w:t>Southwest does not currently provide international service; however, in April 2013, the Company began converting AirTran service to San Juan, Puerto Rico, into Southwest service, Southwest’s first scheduled service outside of the continental United States. In connection with launching this service, Southwest obtained the necessary FAA approvals to conduct operations, under certain circumstances, outside of the continental United States.</w:t>
      </w:r>
    </w:p>
    <w:p>
      <w:pPr>
        <w:pStyle w:val="BodyText"/>
        <w:spacing w:line="249" w:lineRule="auto" w:before="159"/>
        <w:ind w:left="100" w:right="248" w:firstLine="490"/>
      </w:pPr>
      <w:r>
        <w:rPr>
          <w:color w:val="231F20"/>
        </w:rPr>
        <w:t>In addition to service to San Juan, Puerto Rico, AirTran also currently provides service to seven destinations in five near-international countries including Mexico (Cancun, Mexico City, and Cabo San Lucas), Jamaica (Montego Bay), The Bahamas (Nassau), Aruba (Oranjestad), and Dominican Republic (Punta Cana). The Company expects to convert AirTran’s service to those seven international markets into Southwest service by the end of 2014.</w:t>
      </w:r>
    </w:p>
    <w:p>
      <w:pPr>
        <w:pStyle w:val="BodyText"/>
        <w:spacing w:line="249" w:lineRule="auto" w:before="159"/>
        <w:ind w:left="100" w:right="155" w:firstLine="490"/>
      </w:pPr>
      <w:r>
        <w:rPr>
          <w:color w:val="231F20"/>
        </w:rPr>
        <w:t>In January 2014, the Company began selling its first international itineraries to be flown by Southwest aircraft and announced plans to begin Southwest service to Jamaica (Montego Bay), The Bahamas (Nassau), and Aruba (Oranjestad) beginning July 1, 2014. The Company expects to launch Southwest international service to Mexico (Cancun, Mexico City, and Cabo San Lucas) and Dominican Republic (Punta Cana) by the end of 2014.</w:t>
      </w:r>
    </w:p>
    <w:p>
      <w:pPr>
        <w:pStyle w:val="BodyText"/>
        <w:spacing w:line="249" w:lineRule="auto" w:before="159"/>
        <w:ind w:left="100" w:right="171" w:firstLine="490"/>
      </w:pPr>
      <w:r>
        <w:rPr>
          <w:color w:val="231F20"/>
        </w:rPr>
        <w:t>As part of the Company’s near-international service efforts, the Company has agreed with the City of Houston (“City”) to expand the City’s existing William P. Hobby airport facility. Pursuant to the agreement, the Company and the City have entered into an Airport Use and Lease Agreement to control the execution of this expansion and its financial terms. This project provides for a new five-gate international terminal with international passenger processing facilities, expansion of the existing security checkpoint, and upgrades to the Southwest ticketing counter area. Construction began during third quarter 2013 and is estimated to be completed during the second half of 2015. Additional information regarding this project is provided below under “Management’s Discussion and Analysis of Financial Condition and Results of Operations” and in Note 4 to the Consolidated Financial Statements.</w:t>
      </w:r>
    </w:p>
    <w:p>
      <w:pPr>
        <w:pStyle w:val="BodyText"/>
        <w:spacing w:line="249" w:lineRule="auto" w:before="159"/>
        <w:ind w:left="100" w:right="109" w:firstLine="490"/>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In addition to significant improvements to the existing Terminal 1, the project includes the design and construction of a new five-gate Concourse A with an international processing facility. Construction is expected to begin in 2014. Additional information regarding this project is provided below under “Management’s Discussion and Analysis of Financial Condition and Results of Operations” and in Note 4 to the Consolidated Financial Statements.</w:t>
      </w:r>
    </w:p>
    <w:p>
      <w:pPr>
        <w:pStyle w:val="BodyText"/>
        <w:spacing w:line="249" w:lineRule="auto" w:before="159"/>
        <w:ind w:left="100" w:right="155" w:firstLine="490"/>
      </w:pPr>
      <w:r>
        <w:rPr>
          <w:color w:val="231F20"/>
        </w:rPr>
        <w:t>The Company’s 2013 operating revenues attributable to foreign operations (all of which were attributable to AirTran) were approximately $212 million. The remainder of the Company’s 2013 operating revenues, approximately $17.5 billion, were attributable to domestic operations. The Company’s 2012 operating revenues attributable to foreign operations (all of which were attributable to AirTran) were approximately $159 million. The remainder of the Company’s 2012 operating revenues, approximately $16.9 billion, were attributable to domestic operations. The Company’s tangible assets primarily consist of flight equipment, the majority of which are interchangeable and are deployed systemwide, with no individual aircraft dedicated to any specific route or region; therefore, the Company’s assets are not allocated to a geographic area. For a discussion of the risks related to the Company’s foreign operations, see “Risk Factors — The Company’s operations may be adversely affected by its expansion into non-U.S. jurisdictions and the related increase in laws to which it is subject.”</w:t>
      </w:r>
    </w:p>
    <w:p>
      <w:pPr>
        <w:pStyle w:val="Heading3"/>
        <w:spacing w:before="159"/>
        <w:ind w:left="83" w:right="7421"/>
        <w:jc w:val="center"/>
      </w:pPr>
      <w:r>
        <w:rPr>
          <w:color w:val="231F20"/>
        </w:rPr>
        <w:t>Cost Structure</w:t>
      </w:r>
    </w:p>
    <w:p>
      <w:pPr>
        <w:pStyle w:val="Heading4"/>
        <w:spacing w:before="168"/>
        <w:ind w:left="590"/>
        <w:rPr>
          <w:i/>
        </w:rPr>
      </w:pPr>
      <w:r>
        <w:rPr>
          <w:i/>
          <w:color w:val="231F20"/>
        </w:rPr>
        <w:t>General</w:t>
      </w:r>
    </w:p>
    <w:p>
      <w:pPr>
        <w:pStyle w:val="BodyText"/>
        <w:spacing w:line="249" w:lineRule="auto" w:before="168"/>
        <w:ind w:left="100" w:right="237" w:firstLine="490"/>
      </w:pPr>
      <w:r>
        <w:rPr>
          <w:color w:val="231F20"/>
        </w:rPr>
        <w:t>A key component of the Company’s business strategy has historically been its low-cost structure, which was designed to allow Southwest to profitably charge low fares. Adjusted for stage length, Southwest has lower unit costs, on average, than the vast majority of major domestic carriers. The Company’s low-cost structure has</w:t>
      </w:r>
    </w:p>
    <w:p>
      <w:pPr>
        <w:spacing w:after="0" w:line="249" w:lineRule="auto"/>
        <w:sectPr>
          <w:pgSz w:w="11880" w:h="15480"/>
          <w:pgMar w:header="0" w:footer="1253" w:top="1240" w:bottom="1440" w:left="1280" w:right="1300"/>
        </w:sectPr>
      </w:pPr>
    </w:p>
    <w:p>
      <w:pPr>
        <w:pStyle w:val="BodyText"/>
        <w:spacing w:line="249" w:lineRule="auto" w:before="73"/>
        <w:ind w:left="160" w:right="166"/>
      </w:pPr>
      <w:r>
        <w:rPr>
          <w:color w:val="231F20"/>
        </w:rPr>
        <w:t>historically been facilitated by Southwest’s use of a single aircraft type, the Boeing 737, an operationally efficient point-to-point route structure, and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enabled Southwest to achieve high asset utilization because aircraft can be scheduled to minimize the amount of time they are on the ground. This, in turn, has reduced the number of aircraft and gate facilities that would otherwise be required and allows for high Employee productivity (headcount per aircraft).</w:t>
      </w:r>
    </w:p>
    <w:p>
      <w:pPr>
        <w:pStyle w:val="BodyText"/>
        <w:spacing w:before="4"/>
        <w:rPr>
          <w:sz w:val="17"/>
        </w:rPr>
      </w:pPr>
    </w:p>
    <w:p>
      <w:pPr>
        <w:pStyle w:val="BodyText"/>
        <w:spacing w:line="249" w:lineRule="auto"/>
        <w:ind w:left="160" w:right="219" w:firstLine="490"/>
      </w:pPr>
      <w:r>
        <w:rPr>
          <w:color w:val="231F20"/>
        </w:rPr>
        <w:t>The Company believes that its fleet modernization initiatives, as well as the continued addition of the larger Boeing 737-800 to the Southwest fleet, will have a favorable impact on the Company’s unit costs. These strategic initiatives are discussed in more detail below under “Operating Strategies and Initiatives — Fleet Modernization” and “Operating Strategies and Initiatives — Continued Incorporation of the Larger Boeing 737- 800 into the Southwest Fleet.”</w:t>
      </w:r>
    </w:p>
    <w:p>
      <w:pPr>
        <w:pStyle w:val="BodyText"/>
        <w:spacing w:before="4"/>
        <w:rPr>
          <w:sz w:val="17"/>
        </w:rPr>
      </w:pPr>
    </w:p>
    <w:p>
      <w:pPr>
        <w:pStyle w:val="Heading4"/>
        <w:ind w:left="650"/>
        <w:rPr>
          <w:i/>
        </w:rPr>
      </w:pPr>
      <w:r>
        <w:rPr>
          <w:i/>
          <w:color w:val="231F20"/>
        </w:rPr>
        <w:t>Impact of Fuel Costs on the Company’s Low-Cost Structure</w:t>
      </w:r>
    </w:p>
    <w:p>
      <w:pPr>
        <w:pStyle w:val="BodyText"/>
        <w:spacing w:before="1"/>
        <w:rPr>
          <w:b/>
          <w:i/>
          <w:sz w:val="18"/>
        </w:rPr>
      </w:pPr>
    </w:p>
    <w:p>
      <w:pPr>
        <w:pStyle w:val="BodyText"/>
        <w:spacing w:line="249" w:lineRule="auto"/>
        <w:ind w:left="160" w:right="114" w:firstLine="490"/>
      </w:pPr>
      <w:r>
        <w:rPr>
          <w:color w:val="231F20"/>
        </w:rPr>
        <w:t>In 2013, the Company again experienced significant Fuel and oil expense as fuel prices, although lower than levels reached in 2012, remained at high levels. In addition, for the ninth consecutive year, Fuel and oil expense represented the Company’s largest or second largest cost and was the Company’s largest cost for the third consecutive year. The table below shows the Company’s average cost of jet fuel and oil over the past eleven years and during each quarter of 2013.</w:t>
      </w:r>
    </w:p>
    <w:p>
      <w:pPr>
        <w:spacing w:after="0" w:line="249" w:lineRule="auto"/>
        <w:sectPr>
          <w:pgSz w:w="11880" w:h="15480"/>
          <w:pgMar w:header="0" w:footer="1253" w:top="1240" w:bottom="1440" w:left="1220" w:right="1280"/>
        </w:sectPr>
      </w:pPr>
    </w:p>
    <w:p>
      <w:pPr>
        <w:pStyle w:val="BodyText"/>
        <w:spacing w:before="2"/>
        <w:rPr>
          <w:sz w:val="31"/>
        </w:rPr>
      </w:pPr>
    </w:p>
    <w:p>
      <w:pPr>
        <w:pStyle w:val="Heading3"/>
        <w:spacing w:before="1"/>
        <w:ind w:left="0"/>
        <w:jc w:val="right"/>
      </w:pPr>
      <w:r>
        <w:rPr>
          <w:color w:val="231F20"/>
          <w:w w:val="95"/>
        </w:rPr>
        <w:t>Cost</w:t>
      </w:r>
    </w:p>
    <w:p>
      <w:pPr>
        <w:spacing w:line="200" w:lineRule="exact" w:before="186"/>
        <w:ind w:left="856" w:right="-19" w:firstLine="14"/>
        <w:jc w:val="left"/>
        <w:rPr>
          <w:b/>
          <w:sz w:val="20"/>
        </w:rPr>
      </w:pPr>
      <w:r>
        <w:rPr/>
        <w:br w:type="column"/>
      </w:r>
      <w:r>
        <w:rPr>
          <w:b/>
          <w:color w:val="231F20"/>
          <w:sz w:val="20"/>
        </w:rPr>
        <w:t>Average Cost Per</w:t>
      </w:r>
    </w:p>
    <w:p>
      <w:pPr>
        <w:spacing w:line="200" w:lineRule="exact" w:before="186"/>
        <w:ind w:left="767" w:right="305" w:hanging="141"/>
        <w:jc w:val="left"/>
        <w:rPr>
          <w:b/>
          <w:sz w:val="20"/>
        </w:rPr>
      </w:pPr>
      <w:r>
        <w:rPr/>
        <w:br w:type="column"/>
      </w:r>
      <w:r>
        <w:rPr>
          <w:b/>
          <w:color w:val="231F20"/>
          <w:sz w:val="20"/>
        </w:rPr>
        <w:t>Percentage of Operating</w:t>
      </w:r>
    </w:p>
    <w:p>
      <w:pPr>
        <w:spacing w:after="0" w:line="200" w:lineRule="exact"/>
        <w:jc w:val="left"/>
        <w:rPr>
          <w:sz w:val="20"/>
        </w:rPr>
        <w:sectPr>
          <w:type w:val="continuous"/>
          <w:pgSz w:w="11880" w:h="15480"/>
          <w:pgMar w:top="1200" w:bottom="280" w:left="1220" w:right="1280"/>
          <w:cols w:num="3" w:equalWidth="0">
            <w:col w:w="5592" w:space="40"/>
            <w:col w:w="1596" w:space="40"/>
            <w:col w:w="2112"/>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7"/>
        </w:rPr>
      </w:pPr>
    </w:p>
    <w:p>
      <w:pPr>
        <w:pStyle w:val="BodyText"/>
        <w:spacing w:line="249" w:lineRule="auto" w:before="89"/>
        <w:ind w:left="159" w:right="161" w:firstLine="490"/>
      </w:pPr>
      <w:r>
        <w:rPr/>
        <w:pict>
          <v:shape style="position:absolute;margin-left:66.5pt;margin-top:-201.054062pt;width:458.5pt;height:195.05pt;mso-position-horizontal-relative:page;mso-position-vertical-relative:paragraph;z-index:12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8"/>
                    <w:gridCol w:w="110"/>
                    <w:gridCol w:w="1380"/>
                    <w:gridCol w:w="1380"/>
                    <w:gridCol w:w="160"/>
                    <w:gridCol w:w="1612"/>
                  </w:tblGrid>
                  <w:tr>
                    <w:trPr>
                      <w:trHeight w:val="248" w:hRule="exact"/>
                    </w:trPr>
                    <w:tc>
                      <w:tcPr>
                        <w:tcW w:w="4528" w:type="dxa"/>
                        <w:tcBorders>
                          <w:bottom w:val="single" w:sz="8" w:space="0" w:color="231F20"/>
                        </w:tcBorders>
                      </w:tcPr>
                      <w:p>
                        <w:pPr>
                          <w:pStyle w:val="TableParagraph"/>
                          <w:spacing w:line="221" w:lineRule="exact"/>
                          <w:ind w:left="50"/>
                          <w:jc w:val="left"/>
                          <w:rPr>
                            <w:b/>
                            <w:sz w:val="20"/>
                          </w:rPr>
                        </w:pPr>
                        <w:r>
                          <w:rPr>
                            <w:b/>
                            <w:color w:val="231F20"/>
                            <w:sz w:val="20"/>
                          </w:rPr>
                          <w:t>Year</w:t>
                        </w:r>
                      </w:p>
                    </w:tc>
                    <w:tc>
                      <w:tcPr>
                        <w:tcW w:w="110" w:type="dxa"/>
                      </w:tcPr>
                      <w:p>
                        <w:pPr/>
                      </w:p>
                    </w:tc>
                    <w:tc>
                      <w:tcPr>
                        <w:tcW w:w="1380" w:type="dxa"/>
                        <w:tcBorders>
                          <w:bottom w:val="single" w:sz="8" w:space="0" w:color="231F20"/>
                        </w:tcBorders>
                      </w:tcPr>
                      <w:p>
                        <w:pPr>
                          <w:pStyle w:val="TableParagraph"/>
                          <w:spacing w:line="221" w:lineRule="exact"/>
                          <w:ind w:left="80" w:right="160"/>
                          <w:jc w:val="center"/>
                          <w:rPr>
                            <w:b/>
                            <w:sz w:val="20"/>
                          </w:rPr>
                        </w:pPr>
                        <w:r>
                          <w:rPr>
                            <w:b/>
                            <w:color w:val="231F20"/>
                            <w:sz w:val="20"/>
                          </w:rPr>
                          <w:t>(Millions)</w:t>
                        </w:r>
                      </w:p>
                    </w:tc>
                    <w:tc>
                      <w:tcPr>
                        <w:tcW w:w="1380" w:type="dxa"/>
                        <w:tcBorders>
                          <w:bottom w:val="single" w:sz="8" w:space="0" w:color="231F20"/>
                        </w:tcBorders>
                      </w:tcPr>
                      <w:p>
                        <w:pPr>
                          <w:pStyle w:val="TableParagraph"/>
                          <w:spacing w:line="221" w:lineRule="exact"/>
                          <w:ind w:left="80" w:right="3"/>
                          <w:jc w:val="center"/>
                          <w:rPr>
                            <w:b/>
                            <w:sz w:val="20"/>
                          </w:rPr>
                        </w:pPr>
                        <w:r>
                          <w:rPr>
                            <w:b/>
                            <w:color w:val="231F20"/>
                            <w:sz w:val="20"/>
                          </w:rPr>
                          <w:t>Gallon</w:t>
                        </w:r>
                      </w:p>
                    </w:tc>
                    <w:tc>
                      <w:tcPr>
                        <w:tcW w:w="160" w:type="dxa"/>
                      </w:tcPr>
                      <w:p>
                        <w:pPr/>
                      </w:p>
                    </w:tc>
                    <w:tc>
                      <w:tcPr>
                        <w:tcW w:w="1612" w:type="dxa"/>
                        <w:tcBorders>
                          <w:bottom w:val="single" w:sz="8" w:space="0" w:color="231F20"/>
                        </w:tcBorders>
                      </w:tcPr>
                      <w:p>
                        <w:pPr>
                          <w:pStyle w:val="TableParagraph"/>
                          <w:spacing w:line="221" w:lineRule="exact"/>
                          <w:ind w:left="411"/>
                          <w:jc w:val="left"/>
                          <w:rPr>
                            <w:b/>
                            <w:sz w:val="20"/>
                          </w:rPr>
                        </w:pPr>
                        <w:r>
                          <w:rPr>
                            <w:b/>
                            <w:color w:val="231F20"/>
                            <w:sz w:val="20"/>
                          </w:rPr>
                          <w:t>Expenses</w:t>
                        </w:r>
                      </w:p>
                    </w:tc>
                  </w:tr>
                  <w:tr>
                    <w:trPr>
                      <w:trHeight w:val="304" w:hRule="exact"/>
                    </w:trPr>
                    <w:tc>
                      <w:tcPr>
                        <w:tcW w:w="4528" w:type="dxa"/>
                        <w:tcBorders>
                          <w:top w:val="single" w:sz="8" w:space="0" w:color="231F20"/>
                        </w:tcBorders>
                      </w:tcPr>
                      <w:p>
                        <w:pPr>
                          <w:pStyle w:val="TableParagraph"/>
                          <w:spacing w:before="53"/>
                          <w:ind w:left="50"/>
                          <w:jc w:val="left"/>
                          <w:rPr>
                            <w:sz w:val="20"/>
                          </w:rPr>
                        </w:pPr>
                        <w:r>
                          <w:rPr>
                            <w:color w:val="231F20"/>
                            <w:sz w:val="20"/>
                          </w:rPr>
                          <w:t>2003  . . . . . . . . . . . . . . . . . . . . . . . . . . . . . . . . . . . . . . . . </w:t>
                        </w:r>
                      </w:p>
                    </w:tc>
                    <w:tc>
                      <w:tcPr>
                        <w:tcW w:w="110" w:type="dxa"/>
                      </w:tcPr>
                      <w:p>
                        <w:pPr/>
                      </w:p>
                    </w:tc>
                    <w:tc>
                      <w:tcPr>
                        <w:tcW w:w="1380" w:type="dxa"/>
                        <w:tcBorders>
                          <w:top w:val="single" w:sz="8" w:space="0" w:color="231F20"/>
                        </w:tcBorders>
                      </w:tcPr>
                      <w:p>
                        <w:pPr>
                          <w:pStyle w:val="TableParagraph"/>
                          <w:tabs>
                            <w:tab w:pos="999" w:val="left" w:leader="none"/>
                          </w:tabs>
                          <w:spacing w:before="53"/>
                          <w:ind w:right="79"/>
                          <w:jc w:val="center"/>
                          <w:rPr>
                            <w:sz w:val="20"/>
                          </w:rPr>
                        </w:pPr>
                        <w:r>
                          <w:rPr>
                            <w:color w:val="231F20"/>
                            <w:sz w:val="20"/>
                          </w:rPr>
                          <w:t>$</w:t>
                          <w:tab/>
                          <w:t>920</w:t>
                        </w:r>
                      </w:p>
                    </w:tc>
                    <w:tc>
                      <w:tcPr>
                        <w:tcW w:w="1380" w:type="dxa"/>
                        <w:tcBorders>
                          <w:top w:val="single" w:sz="8" w:space="0" w:color="231F20"/>
                        </w:tcBorders>
                      </w:tcPr>
                      <w:p>
                        <w:pPr>
                          <w:pStyle w:val="TableParagraph"/>
                          <w:tabs>
                            <w:tab w:pos="1029" w:val="left" w:leader="none"/>
                          </w:tabs>
                          <w:spacing w:before="53"/>
                          <w:ind w:left="80"/>
                          <w:jc w:val="center"/>
                          <w:rPr>
                            <w:sz w:val="20"/>
                          </w:rPr>
                        </w:pPr>
                        <w:r>
                          <w:rPr>
                            <w:color w:val="231F20"/>
                            <w:sz w:val="20"/>
                          </w:rPr>
                          <w:t>$</w:t>
                          <w:tab/>
                          <w:t>0.80</w:t>
                        </w:r>
                      </w:p>
                    </w:tc>
                    <w:tc>
                      <w:tcPr>
                        <w:tcW w:w="160" w:type="dxa"/>
                      </w:tcPr>
                      <w:p>
                        <w:pPr/>
                      </w:p>
                    </w:tc>
                    <w:tc>
                      <w:tcPr>
                        <w:tcW w:w="1612" w:type="dxa"/>
                        <w:tcBorders>
                          <w:top w:val="single" w:sz="8" w:space="0" w:color="231F20"/>
                        </w:tcBorders>
                      </w:tcPr>
                      <w:p>
                        <w:pPr>
                          <w:pStyle w:val="TableParagraph"/>
                          <w:spacing w:before="53"/>
                          <w:rPr>
                            <w:sz w:val="20"/>
                          </w:rPr>
                        </w:pPr>
                        <w:r>
                          <w:rPr>
                            <w:color w:val="231F20"/>
                            <w:sz w:val="20"/>
                          </w:rPr>
                          <w:t>16.5%</w:t>
                        </w:r>
                      </w:p>
                    </w:tc>
                  </w:tr>
                  <w:tr>
                    <w:trPr>
                      <w:trHeight w:val="240" w:hRule="exact"/>
                    </w:trPr>
                    <w:tc>
                      <w:tcPr>
                        <w:tcW w:w="4528" w:type="dxa"/>
                      </w:tcPr>
                      <w:p>
                        <w:pPr>
                          <w:pStyle w:val="TableParagraph"/>
                          <w:spacing w:line="229" w:lineRule="exact"/>
                          <w:ind w:left="50"/>
                          <w:jc w:val="left"/>
                          <w:rPr>
                            <w:sz w:val="20"/>
                          </w:rPr>
                        </w:pPr>
                        <w:r>
                          <w:rPr>
                            <w:color w:val="231F20"/>
                            <w:sz w:val="20"/>
                          </w:rPr>
                          <w:t>2004  . . . . . . . . . . . . . . . . . . . . . . . . . . . . . . . . . . . . . . . .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1,106</w:t>
                        </w:r>
                      </w:p>
                    </w:tc>
                    <w:tc>
                      <w:tcPr>
                        <w:tcW w:w="1380" w:type="dxa"/>
                      </w:tcPr>
                      <w:p>
                        <w:pPr>
                          <w:pStyle w:val="TableParagraph"/>
                          <w:tabs>
                            <w:tab w:pos="1029" w:val="left" w:leader="none"/>
                          </w:tabs>
                          <w:spacing w:line="229" w:lineRule="exact"/>
                          <w:ind w:left="79"/>
                          <w:jc w:val="center"/>
                          <w:rPr>
                            <w:sz w:val="20"/>
                          </w:rPr>
                        </w:pPr>
                        <w:r>
                          <w:rPr>
                            <w:color w:val="231F20"/>
                            <w:sz w:val="20"/>
                          </w:rPr>
                          <w:t>$</w:t>
                          <w:tab/>
                          <w:t>0.92</w:t>
                        </w:r>
                      </w:p>
                    </w:tc>
                    <w:tc>
                      <w:tcPr>
                        <w:tcW w:w="160" w:type="dxa"/>
                      </w:tcPr>
                      <w:p>
                        <w:pPr/>
                      </w:p>
                    </w:tc>
                    <w:tc>
                      <w:tcPr>
                        <w:tcW w:w="1612" w:type="dxa"/>
                      </w:tcPr>
                      <w:p>
                        <w:pPr>
                          <w:pStyle w:val="TableParagraph"/>
                          <w:spacing w:line="229" w:lineRule="exact"/>
                          <w:rPr>
                            <w:sz w:val="20"/>
                          </w:rPr>
                        </w:pPr>
                        <w:r>
                          <w:rPr>
                            <w:color w:val="231F20"/>
                            <w:sz w:val="20"/>
                          </w:rPr>
                          <w:t>18.1%</w:t>
                        </w:r>
                      </w:p>
                    </w:tc>
                  </w:tr>
                  <w:tr>
                    <w:trPr>
                      <w:trHeight w:val="240" w:hRule="exact"/>
                    </w:trPr>
                    <w:tc>
                      <w:tcPr>
                        <w:tcW w:w="4528" w:type="dxa"/>
                      </w:tcPr>
                      <w:p>
                        <w:pPr>
                          <w:pStyle w:val="TableParagraph"/>
                          <w:spacing w:line="229" w:lineRule="exact"/>
                          <w:ind w:left="50"/>
                          <w:jc w:val="left"/>
                          <w:rPr>
                            <w:sz w:val="20"/>
                          </w:rPr>
                        </w:pPr>
                        <w:r>
                          <w:rPr>
                            <w:color w:val="231F20"/>
                            <w:sz w:val="20"/>
                          </w:rPr>
                          <w:t>2005  . . . . . . . . . . . . . . . . . . . . . . . . . . . . . . . . . . . . . . . .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1,470</w:t>
                        </w:r>
                      </w:p>
                    </w:tc>
                    <w:tc>
                      <w:tcPr>
                        <w:tcW w:w="1380" w:type="dxa"/>
                      </w:tcPr>
                      <w:p>
                        <w:pPr>
                          <w:pStyle w:val="TableParagraph"/>
                          <w:tabs>
                            <w:tab w:pos="1029" w:val="left" w:leader="none"/>
                          </w:tabs>
                          <w:spacing w:line="229" w:lineRule="exact"/>
                          <w:ind w:left="79"/>
                          <w:jc w:val="center"/>
                          <w:rPr>
                            <w:sz w:val="20"/>
                          </w:rPr>
                        </w:pPr>
                        <w:r>
                          <w:rPr>
                            <w:color w:val="231F20"/>
                            <w:sz w:val="20"/>
                          </w:rPr>
                          <w:t>$</w:t>
                          <w:tab/>
                          <w:t>1.13</w:t>
                        </w:r>
                      </w:p>
                    </w:tc>
                    <w:tc>
                      <w:tcPr>
                        <w:tcW w:w="160" w:type="dxa"/>
                      </w:tcPr>
                      <w:p>
                        <w:pPr/>
                      </w:p>
                    </w:tc>
                    <w:tc>
                      <w:tcPr>
                        <w:tcW w:w="1612" w:type="dxa"/>
                      </w:tcPr>
                      <w:p>
                        <w:pPr>
                          <w:pStyle w:val="TableParagraph"/>
                          <w:spacing w:line="229" w:lineRule="exact"/>
                          <w:rPr>
                            <w:sz w:val="20"/>
                          </w:rPr>
                        </w:pPr>
                        <w:r>
                          <w:rPr>
                            <w:color w:val="231F20"/>
                            <w:sz w:val="20"/>
                          </w:rPr>
                          <w:t>21.4%</w:t>
                        </w:r>
                      </w:p>
                    </w:tc>
                  </w:tr>
                  <w:tr>
                    <w:trPr>
                      <w:trHeight w:val="240" w:hRule="exact"/>
                    </w:trPr>
                    <w:tc>
                      <w:tcPr>
                        <w:tcW w:w="4528" w:type="dxa"/>
                      </w:tcPr>
                      <w:p>
                        <w:pPr>
                          <w:pStyle w:val="TableParagraph"/>
                          <w:spacing w:line="229" w:lineRule="exact"/>
                          <w:ind w:left="50"/>
                          <w:jc w:val="left"/>
                          <w:rPr>
                            <w:sz w:val="20"/>
                          </w:rPr>
                        </w:pPr>
                        <w:r>
                          <w:rPr>
                            <w:color w:val="231F20"/>
                            <w:sz w:val="20"/>
                          </w:rPr>
                          <w:t>2006  . . . . . . . . . . . . . . . . . . . . . . . . . . . . . . . . . . . . . . . .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2,284</w:t>
                        </w:r>
                      </w:p>
                    </w:tc>
                    <w:tc>
                      <w:tcPr>
                        <w:tcW w:w="1380" w:type="dxa"/>
                      </w:tcPr>
                      <w:p>
                        <w:pPr>
                          <w:pStyle w:val="TableParagraph"/>
                          <w:tabs>
                            <w:tab w:pos="1029" w:val="left" w:leader="none"/>
                          </w:tabs>
                          <w:spacing w:line="229" w:lineRule="exact"/>
                          <w:ind w:left="79"/>
                          <w:jc w:val="center"/>
                          <w:rPr>
                            <w:sz w:val="20"/>
                          </w:rPr>
                        </w:pPr>
                        <w:r>
                          <w:rPr>
                            <w:color w:val="231F20"/>
                            <w:sz w:val="20"/>
                          </w:rPr>
                          <w:t>$</w:t>
                          <w:tab/>
                          <w:t>1.64</w:t>
                        </w:r>
                      </w:p>
                    </w:tc>
                    <w:tc>
                      <w:tcPr>
                        <w:tcW w:w="160" w:type="dxa"/>
                      </w:tcPr>
                      <w:p>
                        <w:pPr/>
                      </w:p>
                    </w:tc>
                    <w:tc>
                      <w:tcPr>
                        <w:tcW w:w="1612" w:type="dxa"/>
                      </w:tcPr>
                      <w:p>
                        <w:pPr>
                          <w:pStyle w:val="TableParagraph"/>
                          <w:spacing w:line="229" w:lineRule="exact"/>
                          <w:rPr>
                            <w:sz w:val="20"/>
                          </w:rPr>
                        </w:pPr>
                        <w:r>
                          <w:rPr>
                            <w:color w:val="231F20"/>
                            <w:sz w:val="20"/>
                          </w:rPr>
                          <w:t>28.0%</w:t>
                        </w:r>
                      </w:p>
                    </w:tc>
                  </w:tr>
                  <w:tr>
                    <w:trPr>
                      <w:trHeight w:val="240" w:hRule="exact"/>
                    </w:trPr>
                    <w:tc>
                      <w:tcPr>
                        <w:tcW w:w="4528" w:type="dxa"/>
                      </w:tcPr>
                      <w:p>
                        <w:pPr>
                          <w:pStyle w:val="TableParagraph"/>
                          <w:spacing w:line="229" w:lineRule="exact"/>
                          <w:ind w:left="50"/>
                          <w:jc w:val="left"/>
                          <w:rPr>
                            <w:sz w:val="20"/>
                          </w:rPr>
                        </w:pPr>
                        <w:r>
                          <w:rPr>
                            <w:color w:val="231F20"/>
                            <w:sz w:val="20"/>
                          </w:rPr>
                          <w:t>2007  . . . . . . . . . . . . . . . . . . . . . . . . . . . . . . . . . . . . . . . .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2,690</w:t>
                        </w:r>
                      </w:p>
                    </w:tc>
                    <w:tc>
                      <w:tcPr>
                        <w:tcW w:w="1380" w:type="dxa"/>
                      </w:tcPr>
                      <w:p>
                        <w:pPr>
                          <w:pStyle w:val="TableParagraph"/>
                          <w:tabs>
                            <w:tab w:pos="1029" w:val="left" w:leader="none"/>
                          </w:tabs>
                          <w:spacing w:line="229" w:lineRule="exact"/>
                          <w:ind w:left="79"/>
                          <w:jc w:val="center"/>
                          <w:rPr>
                            <w:sz w:val="20"/>
                          </w:rPr>
                        </w:pPr>
                        <w:r>
                          <w:rPr>
                            <w:color w:val="231F20"/>
                            <w:sz w:val="20"/>
                          </w:rPr>
                          <w:t>$</w:t>
                          <w:tab/>
                          <w:t>1.80</w:t>
                        </w:r>
                      </w:p>
                    </w:tc>
                    <w:tc>
                      <w:tcPr>
                        <w:tcW w:w="160" w:type="dxa"/>
                      </w:tcPr>
                      <w:p>
                        <w:pPr/>
                      </w:p>
                    </w:tc>
                    <w:tc>
                      <w:tcPr>
                        <w:tcW w:w="1612" w:type="dxa"/>
                      </w:tcPr>
                      <w:p>
                        <w:pPr>
                          <w:pStyle w:val="TableParagraph"/>
                          <w:spacing w:line="229" w:lineRule="exact"/>
                          <w:rPr>
                            <w:sz w:val="20"/>
                          </w:rPr>
                        </w:pPr>
                        <w:r>
                          <w:rPr>
                            <w:color w:val="231F20"/>
                            <w:sz w:val="20"/>
                          </w:rPr>
                          <w:t>29.7%</w:t>
                        </w:r>
                      </w:p>
                    </w:tc>
                  </w:tr>
                  <w:tr>
                    <w:trPr>
                      <w:trHeight w:val="240" w:hRule="exact"/>
                    </w:trPr>
                    <w:tc>
                      <w:tcPr>
                        <w:tcW w:w="4528" w:type="dxa"/>
                      </w:tcPr>
                      <w:p>
                        <w:pPr>
                          <w:pStyle w:val="TableParagraph"/>
                          <w:spacing w:line="229" w:lineRule="exact"/>
                          <w:ind w:left="50"/>
                          <w:jc w:val="left"/>
                          <w:rPr>
                            <w:sz w:val="20"/>
                          </w:rPr>
                        </w:pPr>
                        <w:r>
                          <w:rPr>
                            <w:color w:val="231F20"/>
                            <w:sz w:val="20"/>
                          </w:rPr>
                          <w:t>2008  . . . . . . . . . . . . . . . . . . . . . . . . . . . . . . . . . . . . . . . .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3,713</w:t>
                        </w:r>
                      </w:p>
                    </w:tc>
                    <w:tc>
                      <w:tcPr>
                        <w:tcW w:w="1380" w:type="dxa"/>
                      </w:tcPr>
                      <w:p>
                        <w:pPr>
                          <w:pStyle w:val="TableParagraph"/>
                          <w:tabs>
                            <w:tab w:pos="1029" w:val="left" w:leader="none"/>
                          </w:tabs>
                          <w:spacing w:line="229" w:lineRule="exact"/>
                          <w:ind w:left="79"/>
                          <w:jc w:val="center"/>
                          <w:rPr>
                            <w:sz w:val="20"/>
                          </w:rPr>
                        </w:pPr>
                        <w:r>
                          <w:rPr>
                            <w:color w:val="231F20"/>
                            <w:sz w:val="20"/>
                          </w:rPr>
                          <w:t>$</w:t>
                          <w:tab/>
                          <w:t>2.44</w:t>
                        </w:r>
                      </w:p>
                    </w:tc>
                    <w:tc>
                      <w:tcPr>
                        <w:tcW w:w="160" w:type="dxa"/>
                      </w:tcPr>
                      <w:p>
                        <w:pPr/>
                      </w:p>
                    </w:tc>
                    <w:tc>
                      <w:tcPr>
                        <w:tcW w:w="1612" w:type="dxa"/>
                      </w:tcPr>
                      <w:p>
                        <w:pPr>
                          <w:pStyle w:val="TableParagraph"/>
                          <w:spacing w:line="229" w:lineRule="exact"/>
                          <w:rPr>
                            <w:sz w:val="20"/>
                          </w:rPr>
                        </w:pPr>
                        <w:r>
                          <w:rPr>
                            <w:color w:val="231F20"/>
                            <w:sz w:val="20"/>
                          </w:rPr>
                          <w:t>35.1%</w:t>
                        </w:r>
                      </w:p>
                    </w:tc>
                  </w:tr>
                  <w:tr>
                    <w:trPr>
                      <w:trHeight w:val="240" w:hRule="exact"/>
                    </w:trPr>
                    <w:tc>
                      <w:tcPr>
                        <w:tcW w:w="4528" w:type="dxa"/>
                      </w:tcPr>
                      <w:p>
                        <w:pPr>
                          <w:pStyle w:val="TableParagraph"/>
                          <w:spacing w:line="229" w:lineRule="exact"/>
                          <w:ind w:left="50"/>
                          <w:jc w:val="left"/>
                          <w:rPr>
                            <w:sz w:val="20"/>
                          </w:rPr>
                        </w:pPr>
                        <w:r>
                          <w:rPr>
                            <w:color w:val="231F20"/>
                            <w:sz w:val="20"/>
                          </w:rPr>
                          <w:t>2009  . . . . . . . . . . . . . . . . . . . . . . . . . . . . . . . . . . . . . . . .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3,044</w:t>
                        </w:r>
                      </w:p>
                    </w:tc>
                    <w:tc>
                      <w:tcPr>
                        <w:tcW w:w="1380" w:type="dxa"/>
                      </w:tcPr>
                      <w:p>
                        <w:pPr>
                          <w:pStyle w:val="TableParagraph"/>
                          <w:tabs>
                            <w:tab w:pos="1029" w:val="left" w:leader="none"/>
                          </w:tabs>
                          <w:spacing w:line="229" w:lineRule="exact"/>
                          <w:ind w:left="79"/>
                          <w:jc w:val="center"/>
                          <w:rPr>
                            <w:sz w:val="20"/>
                          </w:rPr>
                        </w:pPr>
                        <w:r>
                          <w:rPr>
                            <w:color w:val="231F20"/>
                            <w:sz w:val="20"/>
                          </w:rPr>
                          <w:t>$</w:t>
                          <w:tab/>
                          <w:t>2.12</w:t>
                        </w:r>
                      </w:p>
                    </w:tc>
                    <w:tc>
                      <w:tcPr>
                        <w:tcW w:w="160" w:type="dxa"/>
                      </w:tcPr>
                      <w:p>
                        <w:pPr/>
                      </w:p>
                    </w:tc>
                    <w:tc>
                      <w:tcPr>
                        <w:tcW w:w="1612" w:type="dxa"/>
                      </w:tcPr>
                      <w:p>
                        <w:pPr>
                          <w:pStyle w:val="TableParagraph"/>
                          <w:spacing w:line="229" w:lineRule="exact"/>
                          <w:rPr>
                            <w:sz w:val="20"/>
                          </w:rPr>
                        </w:pPr>
                        <w:r>
                          <w:rPr>
                            <w:color w:val="231F20"/>
                            <w:sz w:val="20"/>
                          </w:rPr>
                          <w:t>30.2%</w:t>
                        </w:r>
                      </w:p>
                    </w:tc>
                  </w:tr>
                  <w:tr>
                    <w:trPr>
                      <w:trHeight w:val="240" w:hRule="exact"/>
                    </w:trPr>
                    <w:tc>
                      <w:tcPr>
                        <w:tcW w:w="4528" w:type="dxa"/>
                      </w:tcPr>
                      <w:p>
                        <w:pPr>
                          <w:pStyle w:val="TableParagraph"/>
                          <w:spacing w:line="229" w:lineRule="exact"/>
                          <w:ind w:left="50"/>
                          <w:jc w:val="left"/>
                          <w:rPr>
                            <w:sz w:val="20"/>
                          </w:rPr>
                        </w:pPr>
                        <w:r>
                          <w:rPr>
                            <w:color w:val="231F20"/>
                            <w:sz w:val="20"/>
                          </w:rPr>
                          <w:t>2010  . . . . . . . . . . . . . . . . . . . . . . . . . . . . . . . . . . . . . . . .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3,620</w:t>
                        </w:r>
                      </w:p>
                    </w:tc>
                    <w:tc>
                      <w:tcPr>
                        <w:tcW w:w="1380" w:type="dxa"/>
                      </w:tcPr>
                      <w:p>
                        <w:pPr>
                          <w:pStyle w:val="TableParagraph"/>
                          <w:tabs>
                            <w:tab w:pos="1029" w:val="left" w:leader="none"/>
                          </w:tabs>
                          <w:spacing w:line="229" w:lineRule="exact"/>
                          <w:ind w:left="79"/>
                          <w:jc w:val="center"/>
                          <w:rPr>
                            <w:sz w:val="20"/>
                          </w:rPr>
                        </w:pPr>
                        <w:r>
                          <w:rPr>
                            <w:color w:val="231F20"/>
                            <w:sz w:val="20"/>
                          </w:rPr>
                          <w:t>$</w:t>
                          <w:tab/>
                          <w:t>2.51</w:t>
                        </w:r>
                      </w:p>
                    </w:tc>
                    <w:tc>
                      <w:tcPr>
                        <w:tcW w:w="160" w:type="dxa"/>
                      </w:tcPr>
                      <w:p>
                        <w:pPr/>
                      </w:p>
                    </w:tc>
                    <w:tc>
                      <w:tcPr>
                        <w:tcW w:w="1612" w:type="dxa"/>
                      </w:tcPr>
                      <w:p>
                        <w:pPr>
                          <w:pStyle w:val="TableParagraph"/>
                          <w:spacing w:line="229" w:lineRule="exact"/>
                          <w:rPr>
                            <w:sz w:val="20"/>
                          </w:rPr>
                        </w:pPr>
                        <w:r>
                          <w:rPr>
                            <w:color w:val="231F20"/>
                            <w:sz w:val="20"/>
                          </w:rPr>
                          <w:t>32.6%</w:t>
                        </w:r>
                      </w:p>
                    </w:tc>
                  </w:tr>
                  <w:tr>
                    <w:trPr>
                      <w:trHeight w:val="240" w:hRule="exact"/>
                    </w:trPr>
                    <w:tc>
                      <w:tcPr>
                        <w:tcW w:w="4528" w:type="dxa"/>
                      </w:tcPr>
                      <w:p>
                        <w:pPr>
                          <w:pStyle w:val="TableParagraph"/>
                          <w:spacing w:line="229" w:lineRule="exact"/>
                          <w:ind w:left="50"/>
                          <w:jc w:val="left"/>
                          <w:rPr>
                            <w:sz w:val="20"/>
                          </w:rPr>
                        </w:pPr>
                        <w:r>
                          <w:rPr>
                            <w:color w:val="231F20"/>
                            <w:sz w:val="20"/>
                          </w:rPr>
                          <w:t>2011  . . . . . . . . . . . . . . . . . . . . . . . . . . . . . . . . . . . . . . . .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5,644</w:t>
                        </w:r>
                      </w:p>
                    </w:tc>
                    <w:tc>
                      <w:tcPr>
                        <w:tcW w:w="1380" w:type="dxa"/>
                      </w:tcPr>
                      <w:p>
                        <w:pPr>
                          <w:pStyle w:val="TableParagraph"/>
                          <w:tabs>
                            <w:tab w:pos="1029" w:val="left" w:leader="none"/>
                          </w:tabs>
                          <w:spacing w:line="229" w:lineRule="exact"/>
                          <w:ind w:left="79"/>
                          <w:jc w:val="center"/>
                          <w:rPr>
                            <w:sz w:val="20"/>
                          </w:rPr>
                        </w:pPr>
                        <w:r>
                          <w:rPr>
                            <w:color w:val="231F20"/>
                            <w:sz w:val="20"/>
                          </w:rPr>
                          <w:t>$</w:t>
                          <w:tab/>
                          <w:t>3.19</w:t>
                        </w:r>
                      </w:p>
                    </w:tc>
                    <w:tc>
                      <w:tcPr>
                        <w:tcW w:w="160" w:type="dxa"/>
                      </w:tcPr>
                      <w:p>
                        <w:pPr/>
                      </w:p>
                    </w:tc>
                    <w:tc>
                      <w:tcPr>
                        <w:tcW w:w="1612" w:type="dxa"/>
                      </w:tcPr>
                      <w:p>
                        <w:pPr>
                          <w:pStyle w:val="TableParagraph"/>
                          <w:spacing w:line="229" w:lineRule="exact"/>
                          <w:rPr>
                            <w:sz w:val="20"/>
                          </w:rPr>
                        </w:pPr>
                        <w:r>
                          <w:rPr>
                            <w:color w:val="231F20"/>
                            <w:sz w:val="20"/>
                          </w:rPr>
                          <w:t>37.7%</w:t>
                        </w:r>
                      </w:p>
                    </w:tc>
                  </w:tr>
                  <w:tr>
                    <w:trPr>
                      <w:trHeight w:val="240" w:hRule="exact"/>
                    </w:trPr>
                    <w:tc>
                      <w:tcPr>
                        <w:tcW w:w="4528" w:type="dxa"/>
                      </w:tcPr>
                      <w:p>
                        <w:pPr>
                          <w:pStyle w:val="TableParagraph"/>
                          <w:spacing w:line="229" w:lineRule="exact"/>
                          <w:ind w:left="50"/>
                          <w:jc w:val="left"/>
                          <w:rPr>
                            <w:sz w:val="20"/>
                          </w:rPr>
                        </w:pPr>
                        <w:r>
                          <w:rPr>
                            <w:color w:val="231F20"/>
                            <w:sz w:val="20"/>
                          </w:rPr>
                          <w:t>2012  . . . . . . . . . . . . . . . . . . . . . . . . . . . . . . . . . . . . . . . .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6,120</w:t>
                        </w:r>
                      </w:p>
                    </w:tc>
                    <w:tc>
                      <w:tcPr>
                        <w:tcW w:w="1380" w:type="dxa"/>
                      </w:tcPr>
                      <w:p>
                        <w:pPr>
                          <w:pStyle w:val="TableParagraph"/>
                          <w:tabs>
                            <w:tab w:pos="1029" w:val="left" w:leader="none"/>
                          </w:tabs>
                          <w:spacing w:line="229" w:lineRule="exact"/>
                          <w:ind w:left="79"/>
                          <w:jc w:val="center"/>
                          <w:rPr>
                            <w:sz w:val="20"/>
                          </w:rPr>
                        </w:pPr>
                        <w:r>
                          <w:rPr>
                            <w:color w:val="231F20"/>
                            <w:sz w:val="20"/>
                          </w:rPr>
                          <w:t>$</w:t>
                          <w:tab/>
                          <w:t>3.30</w:t>
                        </w:r>
                      </w:p>
                    </w:tc>
                    <w:tc>
                      <w:tcPr>
                        <w:tcW w:w="160" w:type="dxa"/>
                      </w:tcPr>
                      <w:p>
                        <w:pPr/>
                      </w:p>
                    </w:tc>
                    <w:tc>
                      <w:tcPr>
                        <w:tcW w:w="1612" w:type="dxa"/>
                      </w:tcPr>
                      <w:p>
                        <w:pPr>
                          <w:pStyle w:val="TableParagraph"/>
                          <w:spacing w:line="229" w:lineRule="exact"/>
                          <w:rPr>
                            <w:sz w:val="20"/>
                          </w:rPr>
                        </w:pPr>
                        <w:r>
                          <w:rPr>
                            <w:color w:val="231F20"/>
                            <w:sz w:val="20"/>
                          </w:rPr>
                          <w:t>37.2%</w:t>
                        </w:r>
                      </w:p>
                    </w:tc>
                  </w:tr>
                  <w:tr>
                    <w:trPr>
                      <w:trHeight w:val="240" w:hRule="exact"/>
                    </w:trPr>
                    <w:tc>
                      <w:tcPr>
                        <w:tcW w:w="4528" w:type="dxa"/>
                      </w:tcPr>
                      <w:p>
                        <w:pPr>
                          <w:pStyle w:val="TableParagraph"/>
                          <w:spacing w:line="229" w:lineRule="exact"/>
                          <w:ind w:left="50"/>
                          <w:jc w:val="left"/>
                          <w:rPr>
                            <w:sz w:val="20"/>
                          </w:rPr>
                        </w:pPr>
                        <w:r>
                          <w:rPr>
                            <w:color w:val="231F20"/>
                            <w:sz w:val="20"/>
                          </w:rPr>
                          <w:t>2013  . . . . . . . . . . . . . . . . . . . . . . . . . . . . . . . . . . . . . . . .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5,763</w:t>
                        </w:r>
                      </w:p>
                    </w:tc>
                    <w:tc>
                      <w:tcPr>
                        <w:tcW w:w="1380" w:type="dxa"/>
                      </w:tcPr>
                      <w:p>
                        <w:pPr>
                          <w:pStyle w:val="TableParagraph"/>
                          <w:tabs>
                            <w:tab w:pos="1029" w:val="left" w:leader="none"/>
                          </w:tabs>
                          <w:spacing w:line="229" w:lineRule="exact"/>
                          <w:ind w:left="79"/>
                          <w:jc w:val="center"/>
                          <w:rPr>
                            <w:sz w:val="20"/>
                          </w:rPr>
                        </w:pPr>
                        <w:r>
                          <w:rPr>
                            <w:color w:val="231F20"/>
                            <w:sz w:val="20"/>
                          </w:rPr>
                          <w:t>$</w:t>
                          <w:tab/>
                          <w:t>3.16</w:t>
                        </w:r>
                      </w:p>
                    </w:tc>
                    <w:tc>
                      <w:tcPr>
                        <w:tcW w:w="160" w:type="dxa"/>
                      </w:tcPr>
                      <w:p>
                        <w:pPr/>
                      </w:p>
                    </w:tc>
                    <w:tc>
                      <w:tcPr>
                        <w:tcW w:w="1612" w:type="dxa"/>
                      </w:tcPr>
                      <w:p>
                        <w:pPr>
                          <w:pStyle w:val="TableParagraph"/>
                          <w:spacing w:line="229" w:lineRule="exact"/>
                          <w:rPr>
                            <w:sz w:val="20"/>
                          </w:rPr>
                        </w:pPr>
                        <w:r>
                          <w:rPr>
                            <w:color w:val="231F20"/>
                            <w:sz w:val="20"/>
                          </w:rPr>
                          <w:t>35.1%</w:t>
                        </w:r>
                      </w:p>
                    </w:tc>
                  </w:tr>
                  <w:tr>
                    <w:trPr>
                      <w:trHeight w:val="240" w:hRule="exact"/>
                    </w:trPr>
                    <w:tc>
                      <w:tcPr>
                        <w:tcW w:w="4528" w:type="dxa"/>
                      </w:tcPr>
                      <w:p>
                        <w:pPr>
                          <w:pStyle w:val="TableParagraph"/>
                          <w:spacing w:line="229" w:lineRule="exact"/>
                          <w:ind w:left="50"/>
                          <w:jc w:val="left"/>
                          <w:rPr>
                            <w:sz w:val="20"/>
                          </w:rPr>
                        </w:pPr>
                        <w:r>
                          <w:rPr>
                            <w:color w:val="231F20"/>
                            <w:sz w:val="20"/>
                          </w:rPr>
                          <w:t>First Quarter 2013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1,457</w:t>
                        </w:r>
                      </w:p>
                    </w:tc>
                    <w:tc>
                      <w:tcPr>
                        <w:tcW w:w="1380" w:type="dxa"/>
                      </w:tcPr>
                      <w:p>
                        <w:pPr>
                          <w:pStyle w:val="TableParagraph"/>
                          <w:tabs>
                            <w:tab w:pos="1029" w:val="left" w:leader="none"/>
                          </w:tabs>
                          <w:spacing w:line="229" w:lineRule="exact"/>
                          <w:ind w:left="79"/>
                          <w:jc w:val="center"/>
                          <w:rPr>
                            <w:sz w:val="20"/>
                          </w:rPr>
                        </w:pPr>
                        <w:r>
                          <w:rPr>
                            <w:color w:val="231F20"/>
                            <w:sz w:val="20"/>
                          </w:rPr>
                          <w:t>$</w:t>
                          <w:tab/>
                          <w:t>3.36</w:t>
                        </w:r>
                      </w:p>
                    </w:tc>
                    <w:tc>
                      <w:tcPr>
                        <w:tcW w:w="160" w:type="dxa"/>
                      </w:tcPr>
                      <w:p>
                        <w:pPr/>
                      </w:p>
                    </w:tc>
                    <w:tc>
                      <w:tcPr>
                        <w:tcW w:w="1612" w:type="dxa"/>
                      </w:tcPr>
                      <w:p>
                        <w:pPr>
                          <w:pStyle w:val="TableParagraph"/>
                          <w:spacing w:line="229" w:lineRule="exact"/>
                          <w:rPr>
                            <w:sz w:val="20"/>
                          </w:rPr>
                        </w:pPr>
                        <w:r>
                          <w:rPr>
                            <w:color w:val="231F20"/>
                            <w:sz w:val="20"/>
                          </w:rPr>
                          <w:t>36.3%</w:t>
                        </w:r>
                      </w:p>
                    </w:tc>
                  </w:tr>
                  <w:tr>
                    <w:trPr>
                      <w:trHeight w:val="240" w:hRule="exact"/>
                    </w:trPr>
                    <w:tc>
                      <w:tcPr>
                        <w:tcW w:w="4528" w:type="dxa"/>
                      </w:tcPr>
                      <w:p>
                        <w:pPr>
                          <w:pStyle w:val="TableParagraph"/>
                          <w:spacing w:line="229" w:lineRule="exact"/>
                          <w:ind w:left="50"/>
                          <w:jc w:val="left"/>
                          <w:rPr>
                            <w:sz w:val="20"/>
                          </w:rPr>
                        </w:pPr>
                        <w:r>
                          <w:rPr>
                            <w:color w:val="231F20"/>
                            <w:sz w:val="20"/>
                          </w:rPr>
                          <w:t>Second Quarter 2013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1,489</w:t>
                        </w:r>
                      </w:p>
                    </w:tc>
                    <w:tc>
                      <w:tcPr>
                        <w:tcW w:w="1380" w:type="dxa"/>
                      </w:tcPr>
                      <w:p>
                        <w:pPr>
                          <w:pStyle w:val="TableParagraph"/>
                          <w:tabs>
                            <w:tab w:pos="1029" w:val="left" w:leader="none"/>
                          </w:tabs>
                          <w:spacing w:line="229" w:lineRule="exact"/>
                          <w:ind w:left="79"/>
                          <w:jc w:val="center"/>
                          <w:rPr>
                            <w:sz w:val="20"/>
                          </w:rPr>
                        </w:pPr>
                        <w:r>
                          <w:rPr>
                            <w:color w:val="231F20"/>
                            <w:sz w:val="20"/>
                          </w:rPr>
                          <w:t>$</w:t>
                          <w:tab/>
                          <w:t>3.11</w:t>
                        </w:r>
                      </w:p>
                    </w:tc>
                    <w:tc>
                      <w:tcPr>
                        <w:tcW w:w="160" w:type="dxa"/>
                      </w:tcPr>
                      <w:p>
                        <w:pPr/>
                      </w:p>
                    </w:tc>
                    <w:tc>
                      <w:tcPr>
                        <w:tcW w:w="1612" w:type="dxa"/>
                      </w:tcPr>
                      <w:p>
                        <w:pPr>
                          <w:pStyle w:val="TableParagraph"/>
                          <w:spacing w:line="229" w:lineRule="exact"/>
                          <w:rPr>
                            <w:sz w:val="20"/>
                          </w:rPr>
                        </w:pPr>
                        <w:r>
                          <w:rPr>
                            <w:color w:val="231F20"/>
                            <w:sz w:val="20"/>
                          </w:rPr>
                          <w:t>35.4%</w:t>
                        </w:r>
                      </w:p>
                    </w:tc>
                  </w:tr>
                  <w:tr>
                    <w:trPr>
                      <w:trHeight w:val="240" w:hRule="exact"/>
                    </w:trPr>
                    <w:tc>
                      <w:tcPr>
                        <w:tcW w:w="4528" w:type="dxa"/>
                      </w:tcPr>
                      <w:p>
                        <w:pPr>
                          <w:pStyle w:val="TableParagraph"/>
                          <w:spacing w:line="229" w:lineRule="exact"/>
                          <w:ind w:left="50"/>
                          <w:jc w:val="left"/>
                          <w:rPr>
                            <w:sz w:val="20"/>
                          </w:rPr>
                        </w:pPr>
                        <w:r>
                          <w:rPr>
                            <w:color w:val="231F20"/>
                            <w:sz w:val="20"/>
                          </w:rPr>
                          <w:t>Third Quarter 2013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1,450</w:t>
                        </w:r>
                      </w:p>
                    </w:tc>
                    <w:tc>
                      <w:tcPr>
                        <w:tcW w:w="1380" w:type="dxa"/>
                      </w:tcPr>
                      <w:p>
                        <w:pPr>
                          <w:pStyle w:val="TableParagraph"/>
                          <w:tabs>
                            <w:tab w:pos="1029" w:val="left" w:leader="none"/>
                          </w:tabs>
                          <w:spacing w:line="229" w:lineRule="exact"/>
                          <w:ind w:left="79"/>
                          <w:jc w:val="center"/>
                          <w:rPr>
                            <w:sz w:val="20"/>
                          </w:rPr>
                        </w:pPr>
                        <w:r>
                          <w:rPr>
                            <w:color w:val="231F20"/>
                            <w:sz w:val="20"/>
                          </w:rPr>
                          <w:t>$</w:t>
                          <w:tab/>
                          <w:t>3.10</w:t>
                        </w:r>
                      </w:p>
                    </w:tc>
                    <w:tc>
                      <w:tcPr>
                        <w:tcW w:w="160" w:type="dxa"/>
                      </w:tcPr>
                      <w:p>
                        <w:pPr/>
                      </w:p>
                    </w:tc>
                    <w:tc>
                      <w:tcPr>
                        <w:tcW w:w="1612" w:type="dxa"/>
                      </w:tcPr>
                      <w:p>
                        <w:pPr>
                          <w:pStyle w:val="TableParagraph"/>
                          <w:spacing w:line="229" w:lineRule="exact"/>
                          <w:rPr>
                            <w:sz w:val="20"/>
                          </w:rPr>
                        </w:pPr>
                        <w:r>
                          <w:rPr>
                            <w:color w:val="231F20"/>
                            <w:sz w:val="20"/>
                          </w:rPr>
                          <w:t>34.9%</w:t>
                        </w:r>
                      </w:p>
                    </w:tc>
                  </w:tr>
                  <w:tr>
                    <w:trPr>
                      <w:trHeight w:val="229" w:hRule="exact"/>
                    </w:trPr>
                    <w:tc>
                      <w:tcPr>
                        <w:tcW w:w="4528" w:type="dxa"/>
                      </w:tcPr>
                      <w:p>
                        <w:pPr>
                          <w:pStyle w:val="TableParagraph"/>
                          <w:spacing w:line="229" w:lineRule="exact"/>
                          <w:ind w:left="50"/>
                          <w:jc w:val="left"/>
                          <w:rPr>
                            <w:sz w:val="20"/>
                          </w:rPr>
                        </w:pPr>
                        <w:r>
                          <w:rPr>
                            <w:color w:val="231F20"/>
                            <w:sz w:val="20"/>
                          </w:rPr>
                          <w:t>Fourth Quarter 2013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1,367</w:t>
                        </w:r>
                      </w:p>
                    </w:tc>
                    <w:tc>
                      <w:tcPr>
                        <w:tcW w:w="1380" w:type="dxa"/>
                      </w:tcPr>
                      <w:p>
                        <w:pPr>
                          <w:pStyle w:val="TableParagraph"/>
                          <w:tabs>
                            <w:tab w:pos="1029" w:val="left" w:leader="none"/>
                          </w:tabs>
                          <w:spacing w:line="229" w:lineRule="exact"/>
                          <w:ind w:left="79"/>
                          <w:jc w:val="center"/>
                          <w:rPr>
                            <w:sz w:val="20"/>
                          </w:rPr>
                        </w:pPr>
                        <w:r>
                          <w:rPr>
                            <w:color w:val="231F20"/>
                            <w:sz w:val="20"/>
                          </w:rPr>
                          <w:t>$</w:t>
                          <w:tab/>
                          <w:t>3.08</w:t>
                        </w:r>
                      </w:p>
                    </w:tc>
                    <w:tc>
                      <w:tcPr>
                        <w:tcW w:w="160" w:type="dxa"/>
                      </w:tcPr>
                      <w:p>
                        <w:pPr/>
                      </w:p>
                    </w:tc>
                    <w:tc>
                      <w:tcPr>
                        <w:tcW w:w="1612" w:type="dxa"/>
                      </w:tcPr>
                      <w:p>
                        <w:pPr>
                          <w:pStyle w:val="TableParagraph"/>
                          <w:spacing w:line="229" w:lineRule="exact"/>
                          <w:rPr>
                            <w:sz w:val="20"/>
                          </w:rPr>
                        </w:pPr>
                        <w:r>
                          <w:rPr>
                            <w:color w:val="231F20"/>
                            <w:sz w:val="20"/>
                          </w:rPr>
                          <w:t>33.8%</w:t>
                        </w:r>
                      </w:p>
                    </w:tc>
                  </w:tr>
                </w:tbl>
                <w:p>
                  <w:pPr>
                    <w:pStyle w:val="BodyText"/>
                  </w:pPr>
                </w:p>
              </w:txbxContent>
            </v:textbox>
            <w10:wrap type="none"/>
          </v:shape>
        </w:pict>
      </w:r>
      <w:r>
        <w:rPr>
          <w:color w:val="231F20"/>
        </w:rPr>
        <w:t>The Company enters into fuel derivative contracts to manage its risk associated with significant increases in fuel prices; however, because energy prices can fluctuate significantly in a relatively short amount of time, the Company must also continually monitor and adjust its fuel hedge portfolio and strategies to address not only fuel price increases, but also fuel price volatility and hedge collateral requirements. Although jet fuel prices were less volatile in 2013 than in some previous years, they remain at high levels and continue to be subject to extreme volatility based on a variety of factors. In addition, the cost of hedging has increased in recent years with current sustained high jet fuel prices and the potential for volatility in the fuel market. The Company’s fuel hedging activities are discussed in more detail below under “Risk Factors,” “Management’s Discussion and Analysis of Financial Condition and Results of Operations,” and Note 10 to the Consolidated Financial Statements.</w:t>
      </w:r>
    </w:p>
    <w:p>
      <w:pPr>
        <w:spacing w:after="0" w:line="249" w:lineRule="auto"/>
        <w:sectPr>
          <w:type w:val="continuous"/>
          <w:pgSz w:w="11880" w:h="15480"/>
          <w:pgMar w:top="1200" w:bottom="280" w:left="1220" w:right="1280"/>
        </w:sectPr>
      </w:pPr>
    </w:p>
    <w:p>
      <w:pPr>
        <w:pStyle w:val="Heading3"/>
        <w:spacing w:before="73"/>
        <w:ind w:left="0" w:right="7347"/>
        <w:jc w:val="center"/>
      </w:pPr>
      <w:r>
        <w:rPr>
          <w:color w:val="231F20"/>
        </w:rPr>
        <w:t>Fare Structure</w:t>
      </w:r>
    </w:p>
    <w:p>
      <w:pPr>
        <w:pStyle w:val="Heading4"/>
        <w:spacing w:before="189"/>
        <w:ind w:left="590"/>
        <w:rPr>
          <w:i/>
        </w:rPr>
      </w:pPr>
      <w:r>
        <w:rPr>
          <w:i/>
          <w:color w:val="231F20"/>
        </w:rPr>
        <w:t>Southwest</w:t>
      </w:r>
    </w:p>
    <w:p>
      <w:pPr>
        <w:pStyle w:val="BodyText"/>
        <w:spacing w:line="249" w:lineRule="auto" w:before="189"/>
        <w:ind w:left="100" w:right="209" w:firstLine="490"/>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5"/>
        </w:rPr>
        <w:t>®</w:t>
      </w:r>
      <w:r>
        <w:rPr>
          <w:color w:val="231F20"/>
        </w:rPr>
        <w:t>,” “Anytime</w:t>
      </w:r>
      <w:r>
        <w:rPr>
          <w:color w:val="231F20"/>
          <w:position w:val="5"/>
          <w:sz w:val="13"/>
        </w:rPr>
        <w:t>SM</w:t>
      </w:r>
      <w:r>
        <w:rPr>
          <w:color w:val="231F20"/>
        </w:rPr>
        <w:t>,” and “Business Select</w:t>
      </w:r>
      <w:r>
        <w:rPr>
          <w:color w:val="231F20"/>
          <w:position w:val="5"/>
          <w:sz w:val="15"/>
        </w:rPr>
        <w:t>®</w:t>
      </w:r>
      <w:r>
        <w:rPr>
          <w:color w:val="231F20"/>
        </w:rPr>
        <w:t>,” with the goal of making it easier for Customers to choose the fare they prefer.</w:t>
      </w:r>
    </w:p>
    <w:p>
      <w:pPr>
        <w:pStyle w:val="ListParagraph"/>
        <w:numPr>
          <w:ilvl w:val="0"/>
          <w:numId w:val="1"/>
        </w:numPr>
        <w:tabs>
          <w:tab w:pos="1077" w:val="left" w:leader="none"/>
          <w:tab w:pos="1078" w:val="left" w:leader="none"/>
        </w:tabs>
        <w:spacing w:line="249" w:lineRule="auto" w:before="181" w:after="0"/>
        <w:ind w:left="1078" w:right="173" w:hanging="366"/>
        <w:jc w:val="left"/>
        <w:rPr>
          <w:sz w:val="20"/>
        </w:rPr>
      </w:pPr>
      <w:r>
        <w:rPr>
          <w:color w:val="231F20"/>
          <w:sz w:val="20"/>
        </w:rPr>
        <w:t>“Wanna Get Away” fares are generally the lowest fares and are subject to advance purchase requirements. They are nonrefundable but, subject to compliance with Southwest’s No Show policy, funds may be applied to future travel on Southwest. As discussed below under “Operating Strategies and Initiatives — Ancillary Services and Fees,” during 2013, Southwest implemented a No Show policy associated with Wanna Get Away tickets that are not canceled or changed at least ten minutes prior to a flight’s scheduled</w:t>
      </w:r>
      <w:r>
        <w:rPr>
          <w:color w:val="231F20"/>
          <w:spacing w:val="4"/>
          <w:sz w:val="20"/>
        </w:rPr>
        <w:t> </w:t>
      </w:r>
      <w:r>
        <w:rPr>
          <w:color w:val="231F20"/>
          <w:sz w:val="20"/>
        </w:rPr>
        <w:t>departure.</w:t>
      </w:r>
    </w:p>
    <w:p>
      <w:pPr>
        <w:pStyle w:val="ListParagraph"/>
        <w:numPr>
          <w:ilvl w:val="0"/>
          <w:numId w:val="1"/>
        </w:numPr>
        <w:tabs>
          <w:tab w:pos="1078" w:val="left" w:leader="none"/>
        </w:tabs>
        <w:spacing w:line="249" w:lineRule="auto" w:before="181" w:after="0"/>
        <w:ind w:left="1078" w:right="216" w:hanging="366"/>
        <w:jc w:val="both"/>
        <w:rPr>
          <w:sz w:val="20"/>
        </w:rPr>
      </w:pPr>
      <w:r>
        <w:rPr>
          <w:color w:val="231F20"/>
          <w:sz w:val="20"/>
        </w:rPr>
        <w:t>“Anytime” fares are refundable and changeable, and funds may also be applied toward future travel on Southwest. Anytime fares also include a higher frequent flyer point multiplier under Southwest’s Rapid Rewards</w:t>
      </w:r>
      <w:r>
        <w:rPr>
          <w:color w:val="231F20"/>
          <w:position w:val="5"/>
          <w:sz w:val="15"/>
        </w:rPr>
        <w:t>® </w:t>
      </w:r>
      <w:r>
        <w:rPr>
          <w:color w:val="231F20"/>
          <w:sz w:val="20"/>
        </w:rPr>
        <w:t>frequent flyer program than do Wanna Get Away</w:t>
      </w:r>
      <w:r>
        <w:rPr>
          <w:color w:val="231F20"/>
          <w:spacing w:val="2"/>
          <w:sz w:val="20"/>
        </w:rPr>
        <w:t> </w:t>
      </w:r>
      <w:r>
        <w:rPr>
          <w:color w:val="231F20"/>
          <w:sz w:val="20"/>
        </w:rPr>
        <w:t>fares.</w:t>
      </w:r>
    </w:p>
    <w:p>
      <w:pPr>
        <w:pStyle w:val="ListParagraph"/>
        <w:numPr>
          <w:ilvl w:val="0"/>
          <w:numId w:val="1"/>
        </w:numPr>
        <w:tabs>
          <w:tab w:pos="1077" w:val="left" w:leader="none"/>
          <w:tab w:pos="1078" w:val="left" w:leader="none"/>
        </w:tabs>
        <w:spacing w:line="249" w:lineRule="auto" w:before="180" w:after="0"/>
        <w:ind w:left="1078" w:right="148" w:hanging="366"/>
        <w:jc w:val="left"/>
        <w:rPr>
          <w:sz w:val="20"/>
        </w:rPr>
      </w:pPr>
      <w:r>
        <w:rPr>
          <w:color w:val="231F20"/>
          <w:sz w:val="20"/>
        </w:rPr>
        <w:t>“Business Select” fares are refundable and changeable, and funds may be applied toward future travel on Southwest. Business Select fares also include additional perks such as priority boarding, a higher frequent flyer point multiplier than other Southwest fares (including twice as many points per dollar spent as compared to Wanna Get Away fares), priority security and ticket counter access in select airports, and one complimentary adult beverage coupon for the day of travel (for Customers of legal drinking</w:t>
      </w:r>
      <w:r>
        <w:rPr>
          <w:color w:val="231F20"/>
          <w:spacing w:val="2"/>
          <w:sz w:val="20"/>
        </w:rPr>
        <w:t> </w:t>
      </w:r>
      <w:r>
        <w:rPr>
          <w:color w:val="231F20"/>
          <w:sz w:val="20"/>
        </w:rPr>
        <w:t>age).</w:t>
      </w:r>
    </w:p>
    <w:p>
      <w:pPr>
        <w:pStyle w:val="Heading4"/>
        <w:spacing w:before="180"/>
        <w:ind w:left="590"/>
        <w:rPr>
          <w:i/>
        </w:rPr>
      </w:pPr>
      <w:r>
        <w:rPr>
          <w:i/>
          <w:color w:val="231F20"/>
        </w:rPr>
        <w:t>AirTran</w:t>
      </w:r>
    </w:p>
    <w:p>
      <w:pPr>
        <w:pStyle w:val="BodyText"/>
        <w:spacing w:line="249" w:lineRule="auto" w:before="189"/>
        <w:ind w:left="100" w:right="128" w:firstLine="490"/>
      </w:pPr>
      <w:r>
        <w:rPr>
          <w:color w:val="231F20"/>
        </w:rPr>
        <w:t>AirTran also offers a user-friendly fare structure that features a variety of competitive fares and products. Unlike Southwest, AirTran currently offers a Business Class product. With the exception of Business Class fares, all AirTran fares are nonrefundable, but can be changed prior to departure, subject to payment of a service charge. AirTran Business Class fares are refundable and changeable and include additional perks such as priority boarding, oversized seats with additional leg room, bonus frequent flyer credit, no first or second bag fees, and complimentary cocktails onboard. In addition, AirTran’s Business Class product can be purchased separately or through an upgrade of a non-Business Class fare within 24 hours of</w:t>
      </w:r>
      <w:r>
        <w:rPr>
          <w:color w:val="231F20"/>
          <w:spacing w:val="2"/>
        </w:rPr>
        <w:t> </w:t>
      </w:r>
      <w:r>
        <w:rPr>
          <w:color w:val="231F20"/>
        </w:rPr>
        <w:t>travel.</w:t>
      </w:r>
    </w:p>
    <w:p>
      <w:pPr>
        <w:pStyle w:val="Heading3"/>
        <w:spacing w:before="180"/>
        <w:ind w:left="350"/>
      </w:pPr>
      <w:r>
        <w:rPr>
          <w:color w:val="231F20"/>
        </w:rPr>
        <w:t>Websites</w:t>
      </w:r>
    </w:p>
    <w:p>
      <w:pPr>
        <w:pStyle w:val="Heading4"/>
        <w:spacing w:before="189"/>
        <w:ind w:left="590"/>
        <w:rPr>
          <w:i/>
        </w:rPr>
      </w:pPr>
      <w:r>
        <w:rPr>
          <w:i/>
          <w:color w:val="231F20"/>
        </w:rPr>
        <w:t>Southwest.com and AirTran.com</w:t>
      </w:r>
    </w:p>
    <w:p>
      <w:pPr>
        <w:pStyle w:val="BodyText"/>
        <w:spacing w:line="249" w:lineRule="auto" w:before="186"/>
        <w:ind w:left="100" w:right="104" w:firstLine="490"/>
      </w:pPr>
      <w:r>
        <w:rPr>
          <w:color w:val="231F20"/>
        </w:rPr>
        <w:t>The Company’s Internet website, southwest.com</w:t>
      </w:r>
      <w:r>
        <w:rPr>
          <w:color w:val="231F20"/>
          <w:position w:val="5"/>
          <w:sz w:val="15"/>
        </w:rPr>
        <w:t>®</w:t>
      </w:r>
      <w:r>
        <w:rPr>
          <w:color w:val="231F20"/>
        </w:rPr>
        <w:t>, is the only avenue for Southwest Customers to purchase and manage travel online. Any part of a Customer’s trip can be planned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shopping cart functionality allowing Customers to purchase air, hotel, and car all at once. Southwest.com highlights points of differentiation between Southwest and other air carriers, as well as the fact that southwest.com is the only place where Customers can purchase Southwest fares online. In addition, southwest.com and swabiz.com (the Company’s business travel reservation web page) are available in a translated Spanish version, which provides Customers who prefer to transact in Spanish the same level of Customer Service provided by the English versions of the websites. Additionally, as discussed further below under “Other Initiatives — Mobile Website and Mobile Boarding Passes,” Southwest offers Customers a mobile website and apps to provide Customers the ability to transact with Southwest anytime they have access to their mobile</w:t>
      </w:r>
      <w:r>
        <w:rPr>
          <w:color w:val="231F20"/>
          <w:spacing w:val="1"/>
        </w:rPr>
        <w:t> </w:t>
      </w:r>
      <w:r>
        <w:rPr>
          <w:color w:val="231F20"/>
        </w:rPr>
        <w:t>device.</w:t>
      </w:r>
    </w:p>
    <w:p>
      <w:pPr>
        <w:spacing w:after="0" w:line="249" w:lineRule="auto"/>
        <w:sectPr>
          <w:pgSz w:w="11880" w:h="15480"/>
          <w:pgMar w:header="0" w:footer="1253" w:top="1240" w:bottom="1440" w:left="1280" w:right="1280"/>
        </w:sectPr>
      </w:pPr>
    </w:p>
    <w:p>
      <w:pPr>
        <w:pStyle w:val="BodyText"/>
        <w:spacing w:line="249" w:lineRule="auto" w:before="73"/>
        <w:ind w:left="120" w:right="146" w:firstLine="490"/>
      </w:pPr>
      <w:r>
        <w:rPr>
          <w:color w:val="231F20"/>
        </w:rPr>
        <w:t>The Internet is also an integral part of AirTran’s distribution network. In addition to being user-friendly and simple, AirTran’s website is designed to sell tickets efficiently. AirTran.com allows Customers to easily book and manage their travel, including the ability to retrieve and change future flight reservations, make seat selections, and check in online. As part of the Company’s network connectivity efforts, Customers can now book AirTran flights on southwest.com, including itineraries that include both an AirTran and Southwest</w:t>
      </w:r>
      <w:r>
        <w:rPr>
          <w:color w:val="231F20"/>
          <w:spacing w:val="8"/>
        </w:rPr>
        <w:t> </w:t>
      </w:r>
      <w:r>
        <w:rPr>
          <w:color w:val="231F20"/>
        </w:rPr>
        <w:t>flight.</w:t>
      </w:r>
    </w:p>
    <w:p>
      <w:pPr>
        <w:pStyle w:val="BodyText"/>
        <w:spacing w:line="249" w:lineRule="auto" w:before="148"/>
        <w:ind w:left="120" w:right="173" w:firstLine="490"/>
      </w:pPr>
      <w:r>
        <w:rPr>
          <w:color w:val="231F20"/>
        </w:rPr>
        <w:t>During 2013, southwest.com and airtran.com together accounted for approximately 80 percent of all of the Company’s bookings. In addition, for the year ended December 31, 2013, approximately 84 percent of the Company’s Passenger revenues came through its websites (including revenues from SWABIZ</w:t>
      </w:r>
      <w:r>
        <w:rPr>
          <w:color w:val="231F20"/>
          <w:position w:val="5"/>
          <w:sz w:val="15"/>
        </w:rPr>
        <w:t>®</w:t>
      </w:r>
      <w:r>
        <w:rPr>
          <w:color w:val="231F20"/>
        </w:rPr>
        <w:t>).</w:t>
      </w:r>
    </w:p>
    <w:p>
      <w:pPr>
        <w:pStyle w:val="Heading3"/>
        <w:spacing w:before="148"/>
        <w:ind w:left="119"/>
      </w:pPr>
      <w:r>
        <w:rPr>
          <w:color w:val="231F20"/>
        </w:rPr>
        <w:t>Operating Strategies and Initiatives</w:t>
      </w:r>
    </w:p>
    <w:p>
      <w:pPr>
        <w:pStyle w:val="BodyText"/>
        <w:spacing w:line="249" w:lineRule="auto" w:before="157"/>
        <w:ind w:left="119" w:right="168" w:firstLine="490"/>
      </w:pPr>
      <w:r>
        <w:rPr>
          <w:color w:val="231F20"/>
        </w:rPr>
        <w:t>During 2013, the Company continued to focus on five strategic initiatives: (i) the integration of Southwest’s and AirTran’s network and operations, (ii) fleet modernization, (iii) the continued incorporation of the larger Boeing 737-800 aircraft into the Southwest fleet, (iv) international capabilities and new reservation system, and (v) the continued growth of Southwest’s Rapid Rewards frequent flyer program. In addition to the Company’s five strategic initiatives, the Company has continued to design, implement, and manage other initiatives to increase revenues, improve cost controls, and attract and retain Customers.</w:t>
      </w:r>
    </w:p>
    <w:p>
      <w:pPr>
        <w:pStyle w:val="Heading3"/>
        <w:spacing w:before="148"/>
        <w:ind w:left="369"/>
      </w:pPr>
      <w:r>
        <w:rPr>
          <w:color w:val="231F20"/>
        </w:rPr>
        <w:t>Strategic Initiatives</w:t>
      </w:r>
    </w:p>
    <w:p>
      <w:pPr>
        <w:pStyle w:val="Heading4"/>
        <w:spacing w:before="157"/>
        <w:ind w:left="609"/>
        <w:rPr>
          <w:i/>
        </w:rPr>
      </w:pPr>
      <w:r>
        <w:rPr>
          <w:i/>
          <w:color w:val="231F20"/>
        </w:rPr>
        <w:t>Integration of Southwest’s and AirTran’s Network and Operations</w:t>
      </w:r>
    </w:p>
    <w:p>
      <w:pPr>
        <w:pStyle w:val="BodyText"/>
        <w:spacing w:line="249" w:lineRule="auto" w:before="157"/>
        <w:ind w:left="119" w:right="319" w:firstLine="400"/>
      </w:pPr>
      <w:r>
        <w:rPr>
          <w:color w:val="231F20"/>
        </w:rPr>
        <w:t>The Company remains on track with its plan to fully integrate Southwest’s and AirTran’s network and operations by the end of 2014. During 2013, the Company continued the process of integrating AirTran into its operations and accomplished the following key integration milestones:</w:t>
      </w:r>
    </w:p>
    <w:p>
      <w:pPr>
        <w:pStyle w:val="ListParagraph"/>
        <w:numPr>
          <w:ilvl w:val="0"/>
          <w:numId w:val="1"/>
        </w:numPr>
        <w:tabs>
          <w:tab w:pos="1097" w:val="left" w:leader="none"/>
          <w:tab w:pos="1098" w:val="left" w:leader="none"/>
        </w:tabs>
        <w:spacing w:line="249" w:lineRule="auto" w:before="148" w:after="0"/>
        <w:ind w:left="1098" w:right="104" w:hanging="366"/>
        <w:jc w:val="left"/>
        <w:rPr>
          <w:sz w:val="20"/>
        </w:rPr>
      </w:pPr>
      <w:r>
        <w:rPr>
          <w:color w:val="231F20"/>
          <w:sz w:val="20"/>
        </w:rPr>
        <w:t>The Company fully deployed connecting capabilities between the Southwest and AirTran networks allowing Customers of both Southwest and AirTran to book connecting itineraries between the two carriers. Customers can now fly between any of the combined 96 Southwest and AirTran destinations on a single</w:t>
      </w:r>
      <w:r>
        <w:rPr>
          <w:color w:val="231F20"/>
          <w:spacing w:val="1"/>
          <w:sz w:val="20"/>
        </w:rPr>
        <w:t> </w:t>
      </w:r>
      <w:r>
        <w:rPr>
          <w:color w:val="231F20"/>
          <w:sz w:val="20"/>
        </w:rPr>
        <w:t>itinerary.</w:t>
      </w:r>
    </w:p>
    <w:p>
      <w:pPr>
        <w:pStyle w:val="ListParagraph"/>
        <w:numPr>
          <w:ilvl w:val="0"/>
          <w:numId w:val="1"/>
        </w:numPr>
        <w:tabs>
          <w:tab w:pos="1097" w:val="left" w:leader="none"/>
          <w:tab w:pos="1098" w:val="left" w:leader="none"/>
        </w:tabs>
        <w:spacing w:line="249" w:lineRule="auto" w:before="148" w:after="0"/>
        <w:ind w:left="1098" w:right="144" w:hanging="366"/>
        <w:jc w:val="left"/>
        <w:rPr>
          <w:sz w:val="20"/>
        </w:rPr>
      </w:pPr>
      <w:r>
        <w:rPr>
          <w:color w:val="231F20"/>
          <w:sz w:val="20"/>
        </w:rPr>
        <w:t>The Company continued to transfer AirTran Employees to Southwest. As of December 31, 2013, approximately 65 percent of AirTran Employees had been converted to Southwest Employees. The transfer of all remaining AirTran Employees, including flight crews and dispatchers whose transition is aligned with aircraft conversion, is scheduled for</w:t>
      </w:r>
      <w:r>
        <w:rPr>
          <w:color w:val="231F20"/>
          <w:spacing w:val="5"/>
          <w:sz w:val="20"/>
        </w:rPr>
        <w:t> </w:t>
      </w:r>
      <w:r>
        <w:rPr>
          <w:color w:val="231F20"/>
          <w:sz w:val="20"/>
        </w:rPr>
        <w:t>2014.</w:t>
      </w:r>
    </w:p>
    <w:p>
      <w:pPr>
        <w:pStyle w:val="ListParagraph"/>
        <w:numPr>
          <w:ilvl w:val="0"/>
          <w:numId w:val="1"/>
        </w:numPr>
        <w:tabs>
          <w:tab w:pos="1097" w:val="left" w:leader="none"/>
          <w:tab w:pos="1098" w:val="left" w:leader="none"/>
        </w:tabs>
        <w:spacing w:line="249" w:lineRule="auto" w:before="148" w:after="0"/>
        <w:ind w:left="1098" w:right="230" w:hanging="366"/>
        <w:jc w:val="left"/>
        <w:rPr>
          <w:sz w:val="20"/>
        </w:rPr>
      </w:pPr>
      <w:r>
        <w:rPr>
          <w:color w:val="231F20"/>
          <w:sz w:val="20"/>
        </w:rPr>
        <w:t>The Company continued to further optimize its route network by, among other things, transitioning AirTran’s operations at Hartsfield-Jackson Atlanta International Airport to a point-to-point operation, which is expected to enable efficiencies related to the scheduling of aircraft, flight crews, and ground staff.</w:t>
      </w:r>
    </w:p>
    <w:p>
      <w:pPr>
        <w:pStyle w:val="ListParagraph"/>
        <w:numPr>
          <w:ilvl w:val="0"/>
          <w:numId w:val="1"/>
        </w:numPr>
        <w:tabs>
          <w:tab w:pos="1097" w:val="left" w:leader="none"/>
          <w:tab w:pos="1098" w:val="left" w:leader="none"/>
        </w:tabs>
        <w:spacing w:line="249" w:lineRule="auto" w:before="148" w:after="0"/>
        <w:ind w:left="1098" w:right="186" w:hanging="366"/>
        <w:jc w:val="left"/>
        <w:rPr>
          <w:sz w:val="20"/>
        </w:rPr>
      </w:pPr>
      <w:r>
        <w:rPr>
          <w:color w:val="231F20"/>
          <w:sz w:val="20"/>
        </w:rPr>
        <w:t>The Company continued to convert AirTran 737-700 aircraft to the Southwest livery. As of December 31, 2013, 17 out of a total of 52 AirTran 737-700 aircraft had completed the conversion process and re-entered service as Southwest aircraft. The Company expects to convert the remaining 35 AirTran 737-700 aircraft during 2014 in conjunction with the expected conversion of AirTran’s seven international</w:t>
      </w:r>
      <w:r>
        <w:rPr>
          <w:color w:val="231F20"/>
          <w:spacing w:val="3"/>
          <w:sz w:val="20"/>
        </w:rPr>
        <w:t> </w:t>
      </w:r>
      <w:r>
        <w:rPr>
          <w:color w:val="231F20"/>
          <w:sz w:val="20"/>
        </w:rPr>
        <w:t>markets.</w:t>
      </w:r>
    </w:p>
    <w:p>
      <w:pPr>
        <w:pStyle w:val="ListParagraph"/>
        <w:numPr>
          <w:ilvl w:val="0"/>
          <w:numId w:val="1"/>
        </w:numPr>
        <w:tabs>
          <w:tab w:pos="1097" w:val="left" w:leader="none"/>
          <w:tab w:pos="1098" w:val="left" w:leader="none"/>
        </w:tabs>
        <w:spacing w:line="249" w:lineRule="auto" w:before="148" w:after="0"/>
        <w:ind w:left="1098" w:right="500" w:hanging="366"/>
        <w:jc w:val="left"/>
        <w:rPr>
          <w:sz w:val="20"/>
        </w:rPr>
      </w:pPr>
      <w:r>
        <w:rPr>
          <w:color w:val="231F20"/>
          <w:sz w:val="20"/>
        </w:rPr>
        <w:t>The Company continued its schedule optimization efforts by further coordinating Southwest and AirTran flight</w:t>
      </w:r>
      <w:r>
        <w:rPr>
          <w:color w:val="231F20"/>
          <w:spacing w:val="1"/>
          <w:sz w:val="20"/>
        </w:rPr>
        <w:t> </w:t>
      </w:r>
      <w:r>
        <w:rPr>
          <w:color w:val="231F20"/>
          <w:sz w:val="20"/>
        </w:rPr>
        <w:t>schedules.</w:t>
      </w:r>
    </w:p>
    <w:p>
      <w:pPr>
        <w:pStyle w:val="ListParagraph"/>
        <w:numPr>
          <w:ilvl w:val="0"/>
          <w:numId w:val="1"/>
        </w:numPr>
        <w:tabs>
          <w:tab w:pos="1097" w:val="left" w:leader="none"/>
          <w:tab w:pos="1098" w:val="left" w:leader="none"/>
        </w:tabs>
        <w:spacing w:line="249" w:lineRule="auto" w:before="148" w:after="0"/>
        <w:ind w:left="1098" w:right="153" w:hanging="366"/>
        <w:jc w:val="left"/>
        <w:rPr>
          <w:sz w:val="20"/>
        </w:rPr>
      </w:pPr>
      <w:r>
        <w:rPr>
          <w:color w:val="231F20"/>
          <w:sz w:val="20"/>
        </w:rPr>
        <w:t>The Company significantly grew the Southwest network by converting AirTran service to Southwest service in several new markets. The Company has established a Southwest presence in all domestic cities in Southwest’s and AirTran’s combined</w:t>
      </w:r>
      <w:r>
        <w:rPr>
          <w:color w:val="231F20"/>
          <w:spacing w:val="4"/>
          <w:sz w:val="20"/>
        </w:rPr>
        <w:t> </w:t>
      </w:r>
      <w:r>
        <w:rPr>
          <w:color w:val="231F20"/>
          <w:sz w:val="20"/>
        </w:rPr>
        <w:t>network.</w:t>
      </w:r>
    </w:p>
    <w:p>
      <w:pPr>
        <w:pStyle w:val="ListParagraph"/>
        <w:numPr>
          <w:ilvl w:val="0"/>
          <w:numId w:val="1"/>
        </w:numPr>
        <w:tabs>
          <w:tab w:pos="1097" w:val="left" w:leader="none"/>
          <w:tab w:pos="1098" w:val="left" w:leader="none"/>
        </w:tabs>
        <w:spacing w:line="249" w:lineRule="auto" w:before="148" w:after="0"/>
        <w:ind w:left="1098" w:right="319" w:hanging="366"/>
        <w:jc w:val="left"/>
        <w:rPr>
          <w:sz w:val="20"/>
        </w:rPr>
      </w:pPr>
      <w:r>
        <w:rPr>
          <w:color w:val="231F20"/>
          <w:sz w:val="20"/>
        </w:rPr>
        <w:t>The Company continued its progress towards integrating Southwest’s and AirTran’s unionized workforce. AirTran’s Flight Attendants, represented by the Association of Flight</w:t>
      </w:r>
      <w:r>
        <w:rPr>
          <w:color w:val="231F20"/>
          <w:spacing w:val="8"/>
          <w:sz w:val="20"/>
        </w:rPr>
        <w:t> </w:t>
      </w:r>
      <w:r>
        <w:rPr>
          <w:color w:val="231F20"/>
          <w:sz w:val="20"/>
        </w:rPr>
        <w:t>Attendants-CWA</w:t>
      </w:r>
    </w:p>
    <w:p>
      <w:pPr>
        <w:spacing w:after="0" w:line="249" w:lineRule="auto"/>
        <w:jc w:val="left"/>
        <w:rPr>
          <w:sz w:val="20"/>
        </w:rPr>
        <w:sectPr>
          <w:pgSz w:w="11880" w:h="15480"/>
          <w:pgMar w:header="0" w:footer="1253" w:top="1240" w:bottom="1440" w:left="1260" w:right="1280"/>
        </w:sectPr>
      </w:pPr>
    </w:p>
    <w:p>
      <w:pPr>
        <w:pStyle w:val="BodyText"/>
        <w:spacing w:line="249" w:lineRule="auto" w:before="73"/>
        <w:ind w:left="1098" w:right="291"/>
      </w:pPr>
      <w:r>
        <w:rPr>
          <w:color w:val="231F20"/>
        </w:rPr>
        <w:t>(“AFA”), voted to ratify a new collective-bargaining agreement with the Company. The collective- bargaining agreement became amendable in May 2013. This new agreement will apply to the AirTran Flight Attendants until they transition to Southwest. All AirTran Flight Attendants are expected to be moved to Southwest by the end of 2014.</w:t>
      </w:r>
    </w:p>
    <w:p>
      <w:pPr>
        <w:pStyle w:val="Heading4"/>
        <w:spacing w:before="160"/>
        <w:ind w:left="610"/>
        <w:rPr>
          <w:i/>
        </w:rPr>
      </w:pPr>
      <w:r>
        <w:rPr>
          <w:i/>
          <w:color w:val="231F20"/>
        </w:rPr>
        <w:t>Fleet Modernization</w:t>
      </w:r>
    </w:p>
    <w:p>
      <w:pPr>
        <w:pStyle w:val="BodyText"/>
        <w:spacing w:line="249" w:lineRule="auto" w:before="169"/>
        <w:ind w:left="120" w:right="108" w:firstLine="490"/>
      </w:pPr>
      <w:r>
        <w:rPr>
          <w:color w:val="231F20"/>
        </w:rPr>
        <w:t>As discussed below, the Company has multiple efforts underway to replace its older aircraft with newer aircraft that are less maintenance intensive and more fuel efficient and that also have a greater range. The Company expects its longterm fleet modernization plan to provide substantial flexibility to manage its fleet needs in a variety of economic conditions. The Company’s future aircraft delivery schedule is set forth in more detail under “Properties — Aircraft.”</w:t>
      </w:r>
    </w:p>
    <w:p>
      <w:pPr>
        <w:pStyle w:val="BodyText"/>
        <w:spacing w:line="249" w:lineRule="auto" w:before="160"/>
        <w:ind w:left="120" w:right="150" w:firstLine="490"/>
      </w:pPr>
      <w:r>
        <w:rPr>
          <w:i/>
          <w:color w:val="231F20"/>
          <w:u w:val="single" w:color="231F20"/>
        </w:rPr>
        <w:t>The Boeing 737 MAX. </w:t>
      </w:r>
      <w:r>
        <w:rPr>
          <w:color w:val="231F20"/>
        </w:rPr>
        <w:t>The Company is scheduled to be the launch customer for the new Boeing 737 MAX aircraft, which is designed to be more fuel efficient and environmentally friendly than the Company’s current Boeing aircraft. The Company has placed firm orders for 170 of the Boeing 737 MAX 8 aircraft and expects to begin to take delivery in 2017. Additionally, in 2013 the Company placed a firm order for 30 of the Boeing 737 MAX 7 aircraft and expects to begin to take delivery in 2019. The Company also has options to purchase an additional 191 Boeing 737 MAX aircraft during the period from 2021 through 2027. The Company believes the 737 MAX will (i) have the lowest operating unit costs in the single-aisle segment and (ii) benefit the Company with an engine/airframe combination that is uniquely designed to optimize operating performance of the Company’s fleet.</w:t>
      </w:r>
    </w:p>
    <w:p>
      <w:pPr>
        <w:pStyle w:val="BodyText"/>
        <w:spacing w:line="249" w:lineRule="auto" w:before="160"/>
        <w:ind w:left="120" w:right="130" w:firstLine="490"/>
      </w:pPr>
      <w:r>
        <w:rPr>
          <w:i/>
          <w:color w:val="231F20"/>
          <w:u w:val="single" w:color="231F20"/>
        </w:rPr>
        <w:t>The Boeing Next-Generation 737. </w:t>
      </w:r>
      <w:r>
        <w:rPr>
          <w:color w:val="231F20"/>
        </w:rPr>
        <w:t>The Company has also expanded its orders for the Boeing Next- Generation 737 aircraft. From 2012 through 2013, the Company purchased 45 Boeing Next-Generation 737-800 aircraft and leased, from third parties, seven Boeing 737-800 aircraft and two Boeing 737-700 aircraft. Including the 737 MAX firm orders described above, the Company has overall total firm orders with Boeing of 308 aircraft for 2014 through 2024. Additionally, for 2014 and 2015, combined, the Company has agreed to purchase, as of January 22, 2014, 15 pre-owned 737-700 aircraft from third parties and has agreed to lease two 737-700 aircraft from a third party. The orders and leases are intended to predominately serve as replacement aircraft in the Company’s fleet as it retires older 737-300 and 737-500 aircraft and transitions the 717-200 aircraft out of the Company’s fleet. The Company also has options with Boeing to purchase an additional 36 Boeing 737 Next- Generation aircraft during the period from 2016 through 2018.</w:t>
      </w:r>
    </w:p>
    <w:p>
      <w:pPr>
        <w:pStyle w:val="BodyText"/>
        <w:spacing w:line="249" w:lineRule="auto" w:before="160"/>
        <w:ind w:left="119" w:right="135" w:firstLine="490"/>
      </w:pPr>
      <w:r>
        <w:rPr>
          <w:i/>
          <w:color w:val="231F20"/>
          <w:u w:val="single" w:color="231F20"/>
        </w:rPr>
        <w:t>Southwest Cabin Refresh. </w:t>
      </w:r>
      <w:r>
        <w:rPr>
          <w:color w:val="231F20"/>
        </w:rPr>
        <w:t>During 2013 the Company completed the retrofit of Southwest’s 737-700 fleet with an updated cabin interior. </w:t>
      </w:r>
      <w:r>
        <w:rPr>
          <w:i/>
          <w:color w:val="231F20"/>
        </w:rPr>
        <w:t>Evolve: The New Southwest Experience </w:t>
      </w:r>
      <w:r>
        <w:rPr>
          <w:color w:val="231F20"/>
        </w:rPr>
        <w:t>is intended to enhance Customer comfort, personal space, and the overall travel experience, while improving fleet efficiency and being environmentally responsible. The cabin refresh features recyclable carpet, a brighter color-scheme, and more durable, eco- friendly, and comfortable seats that weigh less than the prior seats. By maximizing the space inside the plane, </w:t>
      </w:r>
      <w:r>
        <w:rPr>
          <w:i/>
          <w:color w:val="231F20"/>
        </w:rPr>
        <w:t>Evolve </w:t>
      </w:r>
      <w:r>
        <w:rPr>
          <w:color w:val="231F20"/>
        </w:rPr>
        <w:t>allows for the added benefit of six additional seats on each retrofitted aircraft, along with more climate- friendly and cost-effective materials. The Company also retrofitted 78 of its 737-300 aircraft with </w:t>
      </w:r>
      <w:r>
        <w:rPr>
          <w:i/>
          <w:color w:val="231F20"/>
        </w:rPr>
        <w:t>Evolve </w:t>
      </w:r>
      <w:r>
        <w:rPr>
          <w:color w:val="231F20"/>
        </w:rPr>
        <w:t>in 2013. In addition to the 737-700 and 737-300 retrofits, the 737-800 aircraft entering the Company’s fleet also feature the </w:t>
      </w:r>
      <w:r>
        <w:rPr>
          <w:i/>
          <w:color w:val="231F20"/>
        </w:rPr>
        <w:t>Evolve </w:t>
      </w:r>
      <w:r>
        <w:rPr>
          <w:color w:val="231F20"/>
        </w:rPr>
        <w:t>interior. The 17 AirTran 737-700 aircraft that had been converted to Southwest livery as of December 31, 2013, have received the new </w:t>
      </w:r>
      <w:r>
        <w:rPr>
          <w:i/>
          <w:color w:val="231F20"/>
        </w:rPr>
        <w:t>Evolve </w:t>
      </w:r>
      <w:r>
        <w:rPr>
          <w:color w:val="231F20"/>
        </w:rPr>
        <w:t>interior, and the remaining 35 AirTran 737-700 aircraft are scheduled to receive the new </w:t>
      </w:r>
      <w:r>
        <w:rPr>
          <w:i/>
          <w:color w:val="231F20"/>
        </w:rPr>
        <w:t>Evolve </w:t>
      </w:r>
      <w:r>
        <w:rPr>
          <w:color w:val="231F20"/>
        </w:rPr>
        <w:t>interior at the time of conversion to the Southwest</w:t>
      </w:r>
      <w:r>
        <w:rPr>
          <w:color w:val="231F20"/>
          <w:spacing w:val="6"/>
        </w:rPr>
        <w:t> </w:t>
      </w:r>
      <w:r>
        <w:rPr>
          <w:color w:val="231F20"/>
        </w:rPr>
        <w:t>fleet.</w:t>
      </w:r>
    </w:p>
    <w:p>
      <w:pPr>
        <w:pStyle w:val="BodyText"/>
        <w:spacing w:line="249" w:lineRule="auto" w:before="160"/>
        <w:ind w:left="120" w:right="194" w:firstLine="490"/>
      </w:pPr>
      <w:r>
        <w:rPr>
          <w:i/>
          <w:color w:val="231F20"/>
          <w:u w:val="single" w:color="231F20"/>
        </w:rPr>
        <w:t>Transition of Boeing 717 Aircraft. </w:t>
      </w:r>
      <w:r>
        <w:rPr>
          <w:color w:val="231F20"/>
        </w:rPr>
        <w:t>Pursuant to an agreement with Delta Air Lines, Inc. and Boeing Capital Corp., during 2013 the Company began leasing or subleasing AirTran’s 88 Boeing 717-200 aircraft to Delta.</w:t>
      </w:r>
    </w:p>
    <w:p>
      <w:pPr>
        <w:pStyle w:val="BodyText"/>
        <w:spacing w:line="249" w:lineRule="auto" w:before="1"/>
        <w:ind w:left="120" w:right="119"/>
      </w:pPr>
      <w:r>
        <w:rPr>
          <w:color w:val="231F20"/>
        </w:rPr>
        <w:t>Deliveries to Delta began in September 2013 and are expected to continue at the rate of approximately three aircraft per month. As of December 31, 2013, 22 of AirTran’s Boeing 717-200 aircraft had been removed from service and 13 had been delivered to Delta. From a fleet management perspective, this transition allows the Company to minimize the impact of this transaction on operations, as the Boeing 717 capacity lost is expected to be replaced through the capacity gained as a result of (i) the Company’s extension of the retirement dates for a portion of its 737-300 and 737-500 aircraft and (ii) deliveries from Boeing of new 737 aircraft or deliveries of</w:t>
      </w:r>
    </w:p>
    <w:p>
      <w:pPr>
        <w:spacing w:after="0" w:line="249" w:lineRule="auto"/>
        <w:sectPr>
          <w:pgSz w:w="11880" w:h="15480"/>
          <w:pgMar w:header="0" w:footer="1253" w:top="1240" w:bottom="1440" w:left="1260" w:right="1280"/>
        </w:sectPr>
      </w:pPr>
    </w:p>
    <w:p>
      <w:pPr>
        <w:pStyle w:val="BodyText"/>
        <w:spacing w:line="249" w:lineRule="auto" w:before="73"/>
        <w:ind w:left="120" w:right="173"/>
      </w:pPr>
      <w:r>
        <w:rPr>
          <w:color w:val="231F20"/>
        </w:rPr>
        <w:t>used 737 aircraft from other sources. Transitioning the Boeing 717 fleet to Delta avoids added complexity to the Company’s operations, as the Company has historically operated an all-Boeing 737 fleet. Replacement of the Boeing 717 aircraft capacity with Boeing 737 capacity provides revenue opportunities with more seats per aircraft, while costing approximately the same amount to fly on a per-trip basis as the smaller Boeing 717 aircraft.</w:t>
      </w:r>
    </w:p>
    <w:p>
      <w:pPr>
        <w:pStyle w:val="Heading4"/>
        <w:spacing w:before="181"/>
        <w:ind w:left="610"/>
        <w:rPr>
          <w:i/>
        </w:rPr>
      </w:pPr>
      <w:r>
        <w:rPr>
          <w:i/>
          <w:color w:val="231F20"/>
        </w:rPr>
        <w:t>Continued Incorporation of the Larger Boeing 737-800 into the Southwest Fleet</w:t>
      </w:r>
    </w:p>
    <w:p>
      <w:pPr>
        <w:pStyle w:val="BodyText"/>
        <w:spacing w:line="249" w:lineRule="auto" w:before="190"/>
        <w:ind w:left="120" w:right="112" w:firstLine="490"/>
      </w:pPr>
      <w:r>
        <w:rPr>
          <w:color w:val="231F20"/>
        </w:rPr>
        <w:t>To further support its fleet modernization efforts, during 2013, the Company continued to incorporate the Boeing 737-800 into the Southwest fleet. The 737-800’s all coach seating configuration of 175 offers significantly more Customer seating capacity than Southwest’s other aircraft. In addition to the 737-800’s added seating capacity, its configuration includes The Boeing Company’s Sky Interior, which features a quieter cabin, improved operational security features, and LED reading and ceiling lighting. In addition, the domestic airline industry has experienced a decline in shorthaul flying since 2000, and the 737-800 allows the Company to adjust its route network to allow for more longhaul flying. The Company expects the 737-800 will continue to enable it to (i) more economically serve longhaul routes; (ii) improve scheduling flexibility and more economically serve high-demand, slot-controlled, and gate-restricted airports by adding seats to such markets without increasing the number of flights; and (iii) boost fuel efficiency to reduce overall unit costs. Additionally, the Company expects the 737-800 will enable Southwest to profitably expand to new destinations, including extended routes over water, and potentially fly to more distant markets such as Hawaii, Alaska, Canada, Mexico, the Caribbean, and other near-international locations. The Company has taken delivery of 52 Boeing 737-800 aircraft from 2012 through 2013 and currently expects to take delivery of an additional 33 and 19 Boeing 737-800s during 2014 and 2015, respectively. The Company’s fleet composition and delivery schedule is discussed in more detail below under “Properties — Aircraft.”</w:t>
      </w:r>
    </w:p>
    <w:p>
      <w:pPr>
        <w:pStyle w:val="Heading4"/>
        <w:spacing w:before="181"/>
        <w:ind w:left="610"/>
        <w:rPr>
          <w:i/>
        </w:rPr>
      </w:pPr>
      <w:r>
        <w:rPr>
          <w:i/>
          <w:color w:val="231F20"/>
        </w:rPr>
        <w:t>International Capabilities and New Reservation System</w:t>
      </w:r>
    </w:p>
    <w:p>
      <w:pPr>
        <w:pStyle w:val="BodyText"/>
        <w:spacing w:line="249" w:lineRule="auto" w:before="190"/>
        <w:ind w:left="120" w:right="100" w:firstLine="490"/>
      </w:pPr>
      <w:r>
        <w:rPr>
          <w:color w:val="231F20"/>
        </w:rPr>
        <w:t>In January 2014, the Company launched an international reservation system and began selling its inaugural international daily nonstop service to be flown by Southwest aircraft beginning July 1, 2014, to Jamaica (Montego Bay), The Bahamas (Nassau), and Aruba (Oranjestad). In this first phase of the Company’s international conversion plan, AirTran will continue service between Atlanta and Nassau and between Chicago Midway and Montego Bay, as well as flights to/from Cancun, Mexico City, and Cabo San Lucas, Mexico, and Punta Cana, Dominican Republic. The Company expects to complete the launch of Southwest service to Mexico (Cancun, Mexico City, and Cabo San Lucas) and Dominican Republic (Punta Cana), AirTran’s remaining four international destinations, by the end of 2014. The Company worked with Amadeus IT Group to implement Amadeus’ Altea reservations solution to support the Company’s international service.</w:t>
      </w:r>
    </w:p>
    <w:p>
      <w:pPr>
        <w:pStyle w:val="BodyText"/>
        <w:spacing w:line="249" w:lineRule="auto" w:before="181"/>
        <w:ind w:left="120" w:right="383" w:firstLine="490"/>
      </w:pPr>
      <w:r>
        <w:rPr>
          <w:color w:val="231F20"/>
        </w:rPr>
        <w:t>The Company also intends to replace Southwest’s existing domestic reservation system with a comprehensive system that would provide Southwest with the ability to serve both domestic and international markets. The Company is currently in the planning stages of this multi-year project, and intends to select the vendor in the first half of 2014.</w:t>
      </w:r>
    </w:p>
    <w:p>
      <w:pPr>
        <w:pStyle w:val="Heading4"/>
        <w:spacing w:before="181"/>
        <w:ind w:left="610"/>
        <w:rPr>
          <w:i/>
        </w:rPr>
      </w:pPr>
      <w:r>
        <w:rPr>
          <w:i/>
          <w:color w:val="231F20"/>
        </w:rPr>
        <w:t>Continued Growth of Southwest’s Rapid Rewards Frequent Flyer Program</w:t>
      </w:r>
    </w:p>
    <w:p>
      <w:pPr>
        <w:pStyle w:val="BodyText"/>
        <w:spacing w:line="249" w:lineRule="auto" w:before="190"/>
        <w:ind w:left="119" w:right="208" w:firstLine="490"/>
      </w:pPr>
      <w:r>
        <w:rPr>
          <w:color w:val="231F20"/>
        </w:rPr>
        <w:t>In March 2011, Southwest launched its current Rapid Rewards frequent flyer program, under which members earn points for every dollar spent.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w:t>
      </w:r>
    </w:p>
    <w:p>
      <w:pPr>
        <w:pStyle w:val="BodyText"/>
        <w:spacing w:line="249" w:lineRule="auto" w:before="1"/>
        <w:ind w:left="119" w:right="196"/>
        <w:jc w:val="both"/>
      </w:pPr>
      <w:r>
        <w:rPr>
          <w:color w:val="231F20"/>
        </w:rPr>
        <w:t>(i) members are able to redeem their points for every available seat, every day, on every flight, with no blackout dates; and (ii) points do not expire so long as the Rapid Rewards Member has points-earning activity during the most recent 24 months.</w:t>
      </w:r>
    </w:p>
    <w:p>
      <w:pPr>
        <w:spacing w:after="0" w:line="249" w:lineRule="auto"/>
        <w:jc w:val="both"/>
        <w:sectPr>
          <w:pgSz w:w="11880" w:h="15480"/>
          <w:pgMar w:header="0" w:footer="1253" w:top="1240" w:bottom="1440" w:left="1260" w:right="1320"/>
        </w:sectPr>
      </w:pPr>
    </w:p>
    <w:p>
      <w:pPr>
        <w:pStyle w:val="BodyText"/>
        <w:spacing w:line="249" w:lineRule="auto" w:before="73"/>
        <w:ind w:left="120" w:right="168" w:firstLine="490"/>
      </w:pPr>
      <w:r>
        <w:rPr>
          <w:color w:val="231F20"/>
        </w:rPr>
        <w:t>Under the program, members continue to accumulate points until the time they decide to redeem them. As a result, the program provides members significant flexibility and options for earning and redeeming rewards.</w:t>
      </w:r>
    </w:p>
    <w:p>
      <w:pPr>
        <w:pStyle w:val="BodyText"/>
        <w:spacing w:line="249" w:lineRule="auto" w:before="1"/>
        <w:ind w:left="120" w:right="108"/>
      </w:pPr>
      <w:r>
        <w:rPr>
          <w:color w:val="231F20"/>
        </w:rPr>
        <w:t>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Rapid Rewards Members can also earn points through qualifying purchases with Rapid Rewards Partners (which include, for example, car rental agencies, hotels, restaurants, and retail locations), as well as by using Southwest’s co-branded Chase</w:t>
      </w:r>
      <w:r>
        <w:rPr>
          <w:color w:val="231F20"/>
          <w:position w:val="5"/>
          <w:sz w:val="15"/>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Rapid Rewards Members also have the ability to purchase points.</w:t>
      </w:r>
    </w:p>
    <w:p>
      <w:pPr>
        <w:pStyle w:val="BodyText"/>
        <w:spacing w:line="249" w:lineRule="auto" w:before="192"/>
        <w:ind w:left="119" w:right="186" w:firstLine="490"/>
      </w:pPr>
      <w:r>
        <w:rPr>
          <w:color w:val="231F20"/>
        </w:rPr>
        <w:t>Southwest’s Rapid Rewards frequent flyer program also features enhanced A-List and Companion Pass programs for the most active members and includes “A-List Preferred” status. Both A-List and A-List Preferred Members enjoy benefits such as “Fly By</w:t>
      </w:r>
      <w:r>
        <w:rPr>
          <w:color w:val="231F20"/>
          <w:position w:val="5"/>
          <w:sz w:val="15"/>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Rapid Rewards Members who attain A-List or A-List Preferred status receive priority boarding privileges for an entire year. When these Customers purchase travel at least 36 hours prior to flight time, they receive the best boarding pass number available (generally, an “A” boarding pass). “A-List” or “A-List Preferred” Customers are automatically checked in for their flight in advance of departure. Rapid Rewards Members who fly 100 qualifying one-way flights or earn 110,000 qualifying points in a calendar year automatically receive a Companion Pass, which provides for unlimited free roundtrip travel for one year to any destination available on Southwest for a designated companion of the qualifying Rapid Rewards Member. The Rapid Rewards Member and designated companion must travel together on the same flight.</w:t>
      </w:r>
    </w:p>
    <w:p>
      <w:pPr>
        <w:pStyle w:val="BodyText"/>
        <w:spacing w:before="192"/>
        <w:ind w:left="609"/>
      </w:pPr>
      <w:r>
        <w:rPr>
          <w:color w:val="231F20"/>
        </w:rPr>
        <w:t>Southwest’s Rapid Rewards frequent flyer program has been designed to drive more revenue by</w:t>
      </w:r>
    </w:p>
    <w:p>
      <w:pPr>
        <w:pStyle w:val="ListParagraph"/>
        <w:numPr>
          <w:ilvl w:val="0"/>
          <w:numId w:val="2"/>
        </w:numPr>
        <w:tabs>
          <w:tab w:pos="360" w:val="left" w:leader="none"/>
        </w:tabs>
        <w:spacing w:line="249" w:lineRule="auto" w:before="10" w:after="0"/>
        <w:ind w:left="120" w:right="183" w:firstLine="0"/>
        <w:jc w:val="left"/>
        <w:rPr>
          <w:sz w:val="20"/>
        </w:rPr>
      </w:pPr>
      <w:r>
        <w:rPr>
          <w:color w:val="231F20"/>
          <w:sz w:val="20"/>
        </w:rPr>
        <w:t>bringing in new Customers, including new Rapid Rewards Members, as well as new holders of Southwest’s co-branded Chase Visa credit card; (ii) increasing business from existing Customers; and (iii) strengthening the Company’s Rapid Rewards hotel, rental car, credit card, and retail partnerships. To date, the program has exceeded the Company’s expectations with respect to the number of frequent flyer members added, the amount spent per member on airfare, the number of flights taken by members, the number of Southwest’s co-branded Chase Visa credit card holders added, the number of points sold to business partners, and the number of frequent flyer points purchased by program</w:t>
      </w:r>
      <w:r>
        <w:rPr>
          <w:color w:val="231F20"/>
          <w:spacing w:val="4"/>
          <w:sz w:val="20"/>
        </w:rPr>
        <w:t> </w:t>
      </w:r>
      <w:r>
        <w:rPr>
          <w:color w:val="231F20"/>
          <w:sz w:val="20"/>
        </w:rPr>
        <w:t>members.</w:t>
      </w:r>
    </w:p>
    <w:p>
      <w:pPr>
        <w:pStyle w:val="BodyText"/>
        <w:spacing w:line="249" w:lineRule="auto" w:before="192"/>
        <w:ind w:left="119" w:right="111" w:firstLine="490"/>
      </w:pPr>
      <w:r>
        <w:rPr>
          <w:color w:val="231F20"/>
        </w:rPr>
        <w:t>AirTran’s A+ Rewards frequent flyer program currently offers a number of ways to earn free travel, including bonus earnings for Business Class travel. A+ Rewards members currently can earn a credit for each one-way trip flown or 1.5 credits for one-way Business Class travel. A+ Rewards credits currently can also be earned for purchases made with an AirTran Airways A+ Visa card or an AirTran A+ Rewards Chase Visa credit card, qualifying car rentals from Hertz, for purchases from other A+ Rewards partners, and in conjunction with marketing promotions that AirTran may run from time to time. A+ Rewards members currently may purchase  A+ Rewards credits, extend the expiration of A+ credits, or give A+ credits to another member to help earn a free flight</w:t>
      </w:r>
      <w:r>
        <w:rPr>
          <w:color w:val="231F20"/>
          <w:spacing w:val="1"/>
        </w:rPr>
        <w:t> </w:t>
      </w:r>
      <w:r>
        <w:rPr>
          <w:color w:val="231F20"/>
        </w:rPr>
        <w:t>faster.</w:t>
      </w:r>
    </w:p>
    <w:p>
      <w:pPr>
        <w:pStyle w:val="BodyText"/>
        <w:spacing w:line="249" w:lineRule="auto" w:before="192"/>
        <w:ind w:left="119" w:right="180" w:firstLine="490"/>
      </w:pPr>
      <w:r>
        <w:rPr>
          <w:color w:val="231F20"/>
        </w:rPr>
        <w:t>The Company has enabled Customers to transfer their loyalty rewards between the Southwest and AirTran frequent flyer programs. As a result, members have the benefit of the entire combined network for redemption.</w:t>
      </w:r>
    </w:p>
    <w:p>
      <w:pPr>
        <w:pStyle w:val="BodyText"/>
        <w:spacing w:line="249" w:lineRule="auto" w:before="192"/>
        <w:ind w:left="119" w:right="119" w:firstLine="490"/>
      </w:pPr>
      <w:r>
        <w:rPr>
          <w:color w:val="231F20"/>
        </w:rPr>
        <w:t>For the Company’s 2013 consolidated results, Customers of Southwest and AirTran redeemed approximately 5.4 million flight awards, accounting for approximately 9.5 percent of revenue passenger miles flown. For the Company’s 2012 consolidated results, Customers of Southwest and AirTran redeemed approximately 4.5 million flight awards, accounting for approximately 9.0 percent of revenue passenger miles</w:t>
      </w:r>
    </w:p>
    <w:p>
      <w:pPr>
        <w:spacing w:after="0" w:line="249" w:lineRule="auto"/>
        <w:sectPr>
          <w:pgSz w:w="11880" w:h="15480"/>
          <w:pgMar w:header="0" w:footer="1253" w:top="1240" w:bottom="1440" w:left="1260" w:right="1280"/>
        </w:sectPr>
      </w:pPr>
    </w:p>
    <w:p>
      <w:pPr>
        <w:pStyle w:val="BodyText"/>
        <w:spacing w:line="249" w:lineRule="auto" w:before="73"/>
        <w:ind w:left="100" w:right="175"/>
      </w:pPr>
      <w:r>
        <w:rPr>
          <w:color w:val="231F20"/>
        </w:rPr>
        <w:t>flown. For the Company’s 2011 consolidated results, which include AirTran results from May 2, 2011, through December 31, 2011, Customers of Southwest and AirTran redeemed approximately 3.7 million flight awards, accounting for approximately 8.6 percent of revenue passenger miles flown. The Company’s accounting policies with respect to its frequent flyer programs are discussed in more detail in Note 1 to the Consolidated Financial Statements.</w:t>
      </w:r>
    </w:p>
    <w:p>
      <w:pPr>
        <w:pStyle w:val="Heading3"/>
        <w:spacing w:before="185"/>
        <w:ind w:left="350"/>
      </w:pPr>
      <w:r>
        <w:rPr>
          <w:color w:val="231F20"/>
        </w:rPr>
        <w:t>Other Initiatives</w:t>
      </w:r>
    </w:p>
    <w:p>
      <w:pPr>
        <w:pStyle w:val="Heading4"/>
        <w:spacing w:before="194"/>
        <w:ind w:left="590"/>
        <w:rPr>
          <w:i/>
        </w:rPr>
      </w:pPr>
      <w:r>
        <w:rPr>
          <w:i/>
          <w:color w:val="231F20"/>
        </w:rPr>
        <w:t>Network Optimization and Revenue Management</w:t>
      </w:r>
    </w:p>
    <w:p>
      <w:pPr>
        <w:pStyle w:val="BodyText"/>
        <w:spacing w:line="249" w:lineRule="auto" w:before="194"/>
        <w:ind w:left="100" w:right="129" w:firstLine="490"/>
      </w:pPr>
      <w:r>
        <w:rPr>
          <w:color w:val="231F20"/>
        </w:rPr>
        <w:t>The Company uses profitability management tools to manage capacity and route expansion though optimization of its flight schedule to, among other things, better match demand in certain markets. Using its profitability management tools, the Company continually adjusts the Southwest and AirTran networks through the addition of new markets and routes, the adjustment of frequencies in existing markets, and the exiting of certain unsustainable markets and redeployment of aircraft to other markets. For example, prior to 2013, in response to high fuel prices, the Company discontinued service in 15 AirTran destinations. As part of its network optimization efforts, the Company ceased service to Bermuda during 2013. The Company improved its operational network efficiency during 2013 by tightening its scheduled aircraft flying hours per day and turn times to better utilize available aircraft time during the peak flying hours of each day. These efforts contributed to higher yields, strong load factors, and improved revenues. As part of its continuing network optimization efforts, the Company has announced its plans to cease Southwest operations in Branson, Missouri; Key West, Florida; and Jackson, Mississippi beginning in June 2014. The Company believes the optimization and alignment of the Southwest and AirTran schedules and networks can continue to yield significant synergies and other benefits. Over the next several years, the Company also plans to develop new systems to support international service and improve revenue management</w:t>
      </w:r>
      <w:r>
        <w:rPr>
          <w:color w:val="231F20"/>
          <w:spacing w:val="5"/>
        </w:rPr>
        <w:t> </w:t>
      </w:r>
      <w:r>
        <w:rPr>
          <w:color w:val="231F20"/>
        </w:rPr>
        <w:t>capabilities.</w:t>
      </w:r>
    </w:p>
    <w:p>
      <w:pPr>
        <w:pStyle w:val="Heading4"/>
        <w:spacing w:before="185"/>
        <w:ind w:left="590"/>
        <w:rPr>
          <w:i/>
        </w:rPr>
      </w:pPr>
      <w:r>
        <w:rPr>
          <w:i/>
          <w:color w:val="231F20"/>
        </w:rPr>
        <w:t>Cost Containment</w:t>
      </w:r>
    </w:p>
    <w:p>
      <w:pPr>
        <w:pStyle w:val="BodyText"/>
        <w:spacing w:line="249" w:lineRule="auto" w:before="193"/>
        <w:ind w:left="100" w:right="113" w:firstLine="490"/>
      </w:pPr>
      <w:r>
        <w:rPr>
          <w:color w:val="231F20"/>
        </w:rPr>
        <w:t>Over the last several years, the Company has undertaken a number of cost-containment projects for the purpose of preserving Southwest’s low-cost advantage and low-fare brand. These have included the fleet modernization and network optimization strategies discussed above. Among other things, fleet modernization has contributed to lower maintenance and repair expenses, and network optimization is enabling Employee scheduling efficiencies.</w:t>
      </w:r>
    </w:p>
    <w:p>
      <w:pPr>
        <w:pStyle w:val="BodyText"/>
        <w:spacing w:line="249" w:lineRule="auto" w:before="184"/>
        <w:ind w:left="100" w:right="374" w:firstLine="400"/>
      </w:pPr>
      <w:r>
        <w:rPr>
          <w:color w:val="231F20"/>
        </w:rPr>
        <w:t>In addition, these cost-containment projects have included various fuel conservation and carbon emission reduction initiatives such as the following:</w:t>
      </w:r>
    </w:p>
    <w:p>
      <w:pPr>
        <w:pStyle w:val="ListParagraph"/>
        <w:numPr>
          <w:ilvl w:val="1"/>
          <w:numId w:val="2"/>
        </w:numPr>
        <w:tabs>
          <w:tab w:pos="1077" w:val="left" w:leader="none"/>
          <w:tab w:pos="1078" w:val="left" w:leader="none"/>
        </w:tabs>
        <w:spacing w:line="240" w:lineRule="auto" w:before="184" w:after="0"/>
        <w:ind w:left="1078" w:right="0" w:hanging="366"/>
        <w:jc w:val="left"/>
        <w:rPr>
          <w:sz w:val="20"/>
        </w:rPr>
      </w:pPr>
      <w:r>
        <w:rPr>
          <w:color w:val="231F20"/>
          <w:sz w:val="20"/>
        </w:rPr>
        <w:t>installation of blended winglets, which reduce drag and increase fuel efficiency, on all</w:t>
      </w:r>
      <w:r>
        <w:rPr>
          <w:color w:val="231F20"/>
          <w:spacing w:val="10"/>
          <w:sz w:val="20"/>
        </w:rPr>
        <w:t> </w:t>
      </w:r>
      <w:r>
        <w:rPr>
          <w:color w:val="231F20"/>
          <w:sz w:val="20"/>
        </w:rPr>
        <w:t>Boeing</w:t>
      </w:r>
    </w:p>
    <w:p>
      <w:pPr>
        <w:pStyle w:val="BodyText"/>
        <w:spacing w:before="9"/>
        <w:ind w:left="1077"/>
      </w:pPr>
      <w:r>
        <w:rPr>
          <w:color w:val="231F20"/>
        </w:rPr>
        <w:t>737-700 and 737-800 aircraft in Southwest’s fleet and on a majority of Southwest’s 737-300 aircraft;</w:t>
      </w:r>
    </w:p>
    <w:p>
      <w:pPr>
        <w:pStyle w:val="ListParagraph"/>
        <w:numPr>
          <w:ilvl w:val="1"/>
          <w:numId w:val="2"/>
        </w:numPr>
        <w:tabs>
          <w:tab w:pos="1077" w:val="left" w:leader="none"/>
          <w:tab w:pos="1078" w:val="left" w:leader="none"/>
        </w:tabs>
        <w:spacing w:line="249" w:lineRule="auto" w:before="193" w:after="0"/>
        <w:ind w:left="1078" w:right="328" w:hanging="366"/>
        <w:jc w:val="left"/>
        <w:rPr>
          <w:sz w:val="20"/>
        </w:rPr>
      </w:pPr>
      <w:r>
        <w:rPr>
          <w:color w:val="231F20"/>
          <w:sz w:val="20"/>
        </w:rPr>
        <w:t>commitment to upgrade the Company’s 737-800 fleet during the 2014-2015 timeframe with newly designed, split scimitar</w:t>
      </w:r>
      <w:r>
        <w:rPr>
          <w:color w:val="231F20"/>
          <w:spacing w:val="4"/>
          <w:sz w:val="20"/>
        </w:rPr>
        <w:t> </w:t>
      </w:r>
      <w:r>
        <w:rPr>
          <w:color w:val="231F20"/>
          <w:sz w:val="20"/>
        </w:rPr>
        <w:t>winglets;</w:t>
      </w:r>
    </w:p>
    <w:p>
      <w:pPr>
        <w:pStyle w:val="ListParagraph"/>
        <w:numPr>
          <w:ilvl w:val="1"/>
          <w:numId w:val="2"/>
        </w:numPr>
        <w:tabs>
          <w:tab w:pos="1077" w:val="left" w:leader="none"/>
          <w:tab w:pos="1078" w:val="left" w:leader="none"/>
        </w:tabs>
        <w:spacing w:line="240" w:lineRule="auto" w:before="184" w:after="0"/>
        <w:ind w:left="1078" w:right="0" w:hanging="366"/>
        <w:jc w:val="left"/>
        <w:rPr>
          <w:sz w:val="20"/>
        </w:rPr>
      </w:pPr>
      <w:r>
        <w:rPr>
          <w:color w:val="231F20"/>
          <w:sz w:val="20"/>
        </w:rPr>
        <w:t>periodic engine</w:t>
      </w:r>
      <w:r>
        <w:rPr>
          <w:color w:val="231F20"/>
          <w:spacing w:val="1"/>
          <w:sz w:val="20"/>
        </w:rPr>
        <w:t> </w:t>
      </w:r>
      <w:r>
        <w:rPr>
          <w:color w:val="231F20"/>
          <w:sz w:val="20"/>
        </w:rPr>
        <w:t>washes;</w:t>
      </w:r>
    </w:p>
    <w:p>
      <w:pPr>
        <w:pStyle w:val="ListParagraph"/>
        <w:numPr>
          <w:ilvl w:val="1"/>
          <w:numId w:val="2"/>
        </w:numPr>
        <w:tabs>
          <w:tab w:pos="1077" w:val="left" w:leader="none"/>
          <w:tab w:pos="1078" w:val="left" w:leader="none"/>
        </w:tabs>
        <w:spacing w:line="249" w:lineRule="auto" w:before="193" w:after="0"/>
        <w:ind w:left="1078" w:right="223" w:hanging="366"/>
        <w:jc w:val="left"/>
        <w:rPr>
          <w:sz w:val="20"/>
        </w:rPr>
      </w:pPr>
      <w:r>
        <w:rPr>
          <w:color w:val="231F20"/>
          <w:sz w:val="20"/>
        </w:rPr>
        <w:t>use of electric ground power for aircraft air and power at the gate and for ground support equipment at select</w:t>
      </w:r>
      <w:r>
        <w:rPr>
          <w:color w:val="231F20"/>
          <w:spacing w:val="1"/>
          <w:sz w:val="20"/>
        </w:rPr>
        <w:t> </w:t>
      </w:r>
      <w:r>
        <w:rPr>
          <w:color w:val="231F20"/>
          <w:sz w:val="20"/>
        </w:rPr>
        <w:t>locations;</w:t>
      </w:r>
    </w:p>
    <w:p>
      <w:pPr>
        <w:pStyle w:val="ListParagraph"/>
        <w:numPr>
          <w:ilvl w:val="1"/>
          <w:numId w:val="2"/>
        </w:numPr>
        <w:tabs>
          <w:tab w:pos="1077" w:val="left" w:leader="none"/>
          <w:tab w:pos="1078" w:val="left" w:leader="none"/>
        </w:tabs>
        <w:spacing w:line="240" w:lineRule="auto" w:before="184" w:after="0"/>
        <w:ind w:left="1078" w:right="0" w:hanging="366"/>
        <w:jc w:val="left"/>
        <w:rPr>
          <w:sz w:val="20"/>
        </w:rPr>
      </w:pPr>
      <w:r>
        <w:rPr>
          <w:color w:val="231F20"/>
          <w:sz w:val="20"/>
        </w:rPr>
        <w:t>deployment of auto-throttle and vertical navigation to maintain optimum cruising</w:t>
      </w:r>
      <w:r>
        <w:rPr>
          <w:color w:val="231F20"/>
          <w:spacing w:val="12"/>
          <w:sz w:val="20"/>
        </w:rPr>
        <w:t> </w:t>
      </w:r>
      <w:r>
        <w:rPr>
          <w:color w:val="231F20"/>
          <w:sz w:val="20"/>
        </w:rPr>
        <w:t>speeds;</w:t>
      </w:r>
    </w:p>
    <w:p>
      <w:pPr>
        <w:pStyle w:val="ListParagraph"/>
        <w:numPr>
          <w:ilvl w:val="1"/>
          <w:numId w:val="2"/>
        </w:numPr>
        <w:tabs>
          <w:tab w:pos="1077" w:val="left" w:leader="none"/>
          <w:tab w:pos="1078" w:val="left" w:leader="none"/>
        </w:tabs>
        <w:spacing w:line="249" w:lineRule="auto" w:before="193" w:after="0"/>
        <w:ind w:left="1078" w:right="228" w:hanging="366"/>
        <w:jc w:val="left"/>
        <w:rPr>
          <w:sz w:val="20"/>
        </w:rPr>
      </w:pPr>
      <w:r>
        <w:rPr>
          <w:color w:val="231F20"/>
          <w:sz w:val="20"/>
        </w:rPr>
        <w:t>implementation of new engine start procedures to support the introduction of new single engine taxi procedures;</w:t>
      </w:r>
    </w:p>
    <w:p>
      <w:pPr>
        <w:pStyle w:val="ListParagraph"/>
        <w:numPr>
          <w:ilvl w:val="1"/>
          <w:numId w:val="2"/>
        </w:numPr>
        <w:tabs>
          <w:tab w:pos="1077" w:val="left" w:leader="none"/>
          <w:tab w:pos="1078" w:val="left" w:leader="none"/>
        </w:tabs>
        <w:spacing w:line="249" w:lineRule="auto" w:before="184" w:after="0"/>
        <w:ind w:left="1078" w:right="615" w:hanging="366"/>
        <w:jc w:val="left"/>
        <w:rPr>
          <w:sz w:val="20"/>
        </w:rPr>
      </w:pPr>
      <w:r>
        <w:rPr>
          <w:color w:val="231F20"/>
          <w:sz w:val="20"/>
        </w:rPr>
        <w:t>adjustment of the timing of auxiliary power unit starts on originating flights to reduce auxiliary power unit usage;</w:t>
      </w:r>
    </w:p>
    <w:p>
      <w:pPr>
        <w:spacing w:after="0" w:line="249" w:lineRule="auto"/>
        <w:jc w:val="left"/>
        <w:rPr>
          <w:sz w:val="20"/>
        </w:rPr>
        <w:sectPr>
          <w:footerReference w:type="default" r:id="rId8"/>
          <w:pgSz w:w="11880" w:h="15480"/>
          <w:pgMar w:footer="1253" w:header="0" w:top="1240" w:bottom="1440" w:left="1280" w:right="1280"/>
        </w:sectPr>
      </w:pPr>
    </w:p>
    <w:p>
      <w:pPr>
        <w:pStyle w:val="ListParagraph"/>
        <w:numPr>
          <w:ilvl w:val="1"/>
          <w:numId w:val="2"/>
        </w:numPr>
        <w:tabs>
          <w:tab w:pos="1097" w:val="left" w:leader="none"/>
          <w:tab w:pos="1098" w:val="left" w:leader="none"/>
        </w:tabs>
        <w:spacing w:line="240" w:lineRule="auto" w:before="73" w:after="0"/>
        <w:ind w:left="1098" w:right="0" w:hanging="366"/>
        <w:jc w:val="left"/>
        <w:rPr>
          <w:sz w:val="20"/>
        </w:rPr>
      </w:pPr>
      <w:r>
        <w:rPr>
          <w:color w:val="231F20"/>
          <w:sz w:val="20"/>
        </w:rPr>
        <w:t>fuel planning initiatives to safely reduce loading of excess</w:t>
      </w:r>
      <w:r>
        <w:rPr>
          <w:color w:val="231F20"/>
          <w:spacing w:val="9"/>
          <w:sz w:val="20"/>
        </w:rPr>
        <w:t> </w:t>
      </w:r>
      <w:r>
        <w:rPr>
          <w:color w:val="231F20"/>
          <w:sz w:val="20"/>
        </w:rPr>
        <w:t>fuel;</w:t>
      </w:r>
    </w:p>
    <w:p>
      <w:pPr>
        <w:pStyle w:val="ListParagraph"/>
        <w:numPr>
          <w:ilvl w:val="1"/>
          <w:numId w:val="2"/>
        </w:numPr>
        <w:tabs>
          <w:tab w:pos="1097" w:val="left" w:leader="none"/>
          <w:tab w:pos="1098" w:val="left" w:leader="none"/>
        </w:tabs>
        <w:spacing w:line="240" w:lineRule="auto" w:before="183" w:after="0"/>
        <w:ind w:left="1098" w:right="0" w:hanging="366"/>
        <w:jc w:val="left"/>
        <w:rPr>
          <w:sz w:val="20"/>
        </w:rPr>
      </w:pPr>
      <w:r>
        <w:rPr>
          <w:i/>
          <w:color w:val="231F20"/>
          <w:sz w:val="20"/>
        </w:rPr>
        <w:t>Evolve </w:t>
      </w:r>
      <w:r>
        <w:rPr>
          <w:color w:val="231F20"/>
          <w:sz w:val="20"/>
        </w:rPr>
        <w:t>cabin refresh as discussed in “Operating Strategies and Initiatives — Fleet</w:t>
      </w:r>
      <w:r>
        <w:rPr>
          <w:color w:val="231F20"/>
          <w:spacing w:val="10"/>
          <w:sz w:val="20"/>
        </w:rPr>
        <w:t> </w:t>
      </w:r>
      <w:r>
        <w:rPr>
          <w:color w:val="231F20"/>
          <w:sz w:val="20"/>
        </w:rPr>
        <w:t>Modernization;”</w:t>
      </w:r>
    </w:p>
    <w:p>
      <w:pPr>
        <w:pStyle w:val="ListParagraph"/>
        <w:numPr>
          <w:ilvl w:val="1"/>
          <w:numId w:val="2"/>
        </w:numPr>
        <w:tabs>
          <w:tab w:pos="1097" w:val="left" w:leader="none"/>
          <w:tab w:pos="1098" w:val="left" w:leader="none"/>
        </w:tabs>
        <w:spacing w:line="240" w:lineRule="auto" w:before="183" w:after="0"/>
        <w:ind w:left="1098" w:right="0" w:hanging="366"/>
        <w:jc w:val="left"/>
        <w:rPr>
          <w:sz w:val="20"/>
        </w:rPr>
      </w:pPr>
      <w:r>
        <w:rPr>
          <w:color w:val="231F20"/>
          <w:sz w:val="20"/>
        </w:rPr>
        <w:t>reduced aircraft engine idle speed while on the ground, which also increases engine life;</w:t>
      </w:r>
      <w:r>
        <w:rPr>
          <w:color w:val="231F20"/>
          <w:spacing w:val="7"/>
          <w:sz w:val="20"/>
        </w:rPr>
        <w:t> </w:t>
      </w:r>
      <w:r>
        <w:rPr>
          <w:color w:val="231F20"/>
          <w:sz w:val="20"/>
        </w:rPr>
        <w:t>and</w:t>
      </w:r>
    </w:p>
    <w:p>
      <w:pPr>
        <w:pStyle w:val="ListParagraph"/>
        <w:numPr>
          <w:ilvl w:val="1"/>
          <w:numId w:val="2"/>
        </w:numPr>
        <w:tabs>
          <w:tab w:pos="1097" w:val="left" w:leader="none"/>
          <w:tab w:pos="1098" w:val="left" w:leader="none"/>
        </w:tabs>
        <w:spacing w:line="240" w:lineRule="auto" w:before="183" w:after="0"/>
        <w:ind w:left="1098" w:right="0" w:hanging="366"/>
        <w:jc w:val="left"/>
        <w:rPr>
          <w:sz w:val="20"/>
        </w:rPr>
      </w:pPr>
      <w:r>
        <w:rPr>
          <w:color w:val="231F20"/>
          <w:sz w:val="20"/>
        </w:rPr>
        <w:t>galley refresh with dry goods weight</w:t>
      </w:r>
      <w:r>
        <w:rPr>
          <w:color w:val="231F20"/>
          <w:spacing w:val="2"/>
          <w:sz w:val="20"/>
        </w:rPr>
        <w:t> </w:t>
      </w:r>
      <w:r>
        <w:rPr>
          <w:color w:val="231F20"/>
          <w:sz w:val="20"/>
        </w:rPr>
        <w:t>reduction.</w:t>
      </w:r>
    </w:p>
    <w:p>
      <w:pPr>
        <w:pStyle w:val="BodyText"/>
        <w:spacing w:line="249" w:lineRule="auto" w:before="183"/>
        <w:ind w:left="119" w:right="129" w:firstLine="490"/>
      </w:pPr>
      <w:r>
        <w:rPr>
          <w:color w:val="231F20"/>
        </w:rPr>
        <w:t>The Company has also taken significant steps towards Required Navigation Performance (“RNP”) operations which are intended to modernize the U.S. Air Traffic Control System by addressing limitations on air transportation capacity and making more efficient use of airspace. RNP combines the capabilities of advanced aircraft avionics, GPS (Global Positioning System)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w:t>
      </w:r>
    </w:p>
    <w:p>
      <w:pPr>
        <w:pStyle w:val="BodyText"/>
        <w:spacing w:line="249" w:lineRule="auto" w:before="1"/>
        <w:ind w:left="119" w:right="188"/>
      </w:pPr>
      <w:r>
        <w:rPr>
          <w:color w:val="231F20"/>
        </w:rPr>
        <w:t>Southwest began conducting GPS approach procedures during the first quarter of 2010, completed RNP training of nearly 6,000 pilots in November 2010, and commenced RNP procedures in revenue service in January 2011. By the end of 2013, Southwest had conducted close to 14,000 RNP approaches, including over 4,000 in 2013. Southwest must rely on RNP approaches published by the FAA, and the rate of introduction of RNP approaches has been slower than expected, with fuel efficient RNP approaches currently available at only 36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 RNP. As a result of the FAA’s recent lack of emphasis on continuing to implement this technology and the Company’s continued retirement of its older Classic (737-300/500) aircraft, the Company has decided not to equip its Classic aircraft with RNP capabilities.</w:t>
      </w:r>
    </w:p>
    <w:p>
      <w:pPr>
        <w:pStyle w:val="Heading4"/>
        <w:spacing w:before="175"/>
        <w:ind w:left="609"/>
        <w:rPr>
          <w:i/>
        </w:rPr>
      </w:pPr>
      <w:r>
        <w:rPr>
          <w:i/>
          <w:color w:val="231F20"/>
        </w:rPr>
        <w:t>Aggressive Promotion of the Company’s Points of Differentiation from its Competitors</w:t>
      </w:r>
    </w:p>
    <w:p>
      <w:pPr>
        <w:pStyle w:val="BodyText"/>
        <w:spacing w:line="249" w:lineRule="auto" w:before="183"/>
        <w:ind w:left="119" w:right="97" w:firstLine="490"/>
      </w:pPr>
      <w:r>
        <w:rPr>
          <w:color w:val="231F20"/>
        </w:rPr>
        <w:t>During 2013, the Company continued to benefit from, and aggressively market, Southwest’s points of differentiation from its competitors. For example, Southwest continues to be the only major U.S. airline that does not impose additional fees for first and second checked bags. Through both its national and local marketing campaigns, Southwest has continued to aggressively promote this point of differentiation from its competitors with its “Bags Fly Free</w:t>
      </w:r>
      <w:r>
        <w:rPr>
          <w:color w:val="231F20"/>
          <w:position w:val="5"/>
          <w:sz w:val="15"/>
        </w:rPr>
        <w:t>®</w:t>
      </w:r>
      <w:r>
        <w:rPr>
          <w:color w:val="231F20"/>
        </w:rPr>
        <w:t>” message. The Company believes its decision not to charge for first and second checked bags on Southwest, as reinforced by the Company’s related marketing campaign, has driven an increase in Southwest’s market share and a resulting net increase in revenues.</w:t>
      </w:r>
    </w:p>
    <w:p>
      <w:pPr>
        <w:pStyle w:val="BodyText"/>
        <w:spacing w:line="249" w:lineRule="auto" w:before="174"/>
        <w:ind w:left="120" w:right="161" w:firstLine="490"/>
      </w:pPr>
      <w:r>
        <w:rPr>
          <w:color w:val="231F20"/>
        </w:rPr>
        <w:t>Southwest is also the only major U.S. airline that does not impose a fee on any of its fares for a Customer change in flight plans.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pStyle w:val="BodyText"/>
        <w:spacing w:line="249" w:lineRule="auto" w:before="174"/>
        <w:ind w:left="120" w:right="213" w:firstLine="490"/>
      </w:pPr>
      <w:r>
        <w:rPr>
          <w:color w:val="231F20"/>
        </w:rPr>
        <w:t>Also unlike most of its competitors, Southwest does not impose additional fees for items such as seat selection, fuel surcharges, snacks, curb-side checkin, and telephone reservations. In addition, Southwest allows each ticketed Customer to check one stroller and one car seat free of charge, in addition to the two free checked bags.</w:t>
      </w:r>
    </w:p>
    <w:p>
      <w:pPr>
        <w:pStyle w:val="BodyText"/>
        <w:spacing w:line="249" w:lineRule="auto" w:before="174"/>
        <w:ind w:left="120" w:right="213" w:firstLine="490"/>
      </w:pPr>
      <w:r>
        <w:rPr>
          <w:color w:val="231F20"/>
        </w:rPr>
        <w:t>The Company also continues to promote all of the many other reasons to fly Southwest such as its low fares, network size, Customer Service, free live television offerings (discussed below under “Inflight WiFi and Entertainment”), and its Rapid Rewards frequent flyer program.</w:t>
      </w:r>
    </w:p>
    <w:p>
      <w:pPr>
        <w:pStyle w:val="Heading4"/>
        <w:spacing w:before="174"/>
        <w:ind w:left="610"/>
        <w:rPr>
          <w:i/>
        </w:rPr>
      </w:pPr>
      <w:r>
        <w:rPr>
          <w:i/>
          <w:color w:val="231F20"/>
        </w:rPr>
        <w:t>Business Traveler Amenities</w:t>
      </w:r>
    </w:p>
    <w:p>
      <w:pPr>
        <w:pStyle w:val="BodyText"/>
        <w:spacing w:before="183"/>
        <w:ind w:left="610"/>
      </w:pPr>
      <w:r>
        <w:rPr>
          <w:color w:val="231F20"/>
        </w:rPr>
        <w:t>Southwest offers several products that have been designed to attract business/full fare travelers.</w:t>
      </w:r>
    </w:p>
    <w:p>
      <w:pPr>
        <w:spacing w:after="0"/>
        <w:sectPr>
          <w:footerReference w:type="default" r:id="rId9"/>
          <w:pgSz w:w="11880" w:h="15480"/>
          <w:pgMar w:footer="1253" w:header="0" w:top="1240" w:bottom="1440" w:left="1260" w:right="1300"/>
          <w:pgNumType w:start="11"/>
        </w:sectPr>
      </w:pPr>
    </w:p>
    <w:p>
      <w:pPr>
        <w:pStyle w:val="BodyText"/>
        <w:spacing w:line="249" w:lineRule="auto" w:before="73"/>
        <w:ind w:left="120" w:right="97" w:firstLine="490"/>
      </w:pPr>
      <w:r>
        <w:rPr>
          <w:i/>
          <w:color w:val="231F20"/>
        </w:rPr>
        <w:t>Business Select. </w:t>
      </w:r>
      <w:r>
        <w:rPr>
          <w:color w:val="231F20"/>
        </w:rPr>
        <w:t>As discussed above, Southwest’s “Business Select” product includes perks such as priority boarding, a higher frequent flyer point multiplier than other Southwest fares (including twice as many points per dollar spent as compared to Wanna Get Away fares), priority ticket counter and security checkpoint access in select airports, and one complimentary adult beverage coupon for the day of travel (for Customers of legal drinking age).</w:t>
      </w:r>
    </w:p>
    <w:p>
      <w:pPr>
        <w:pStyle w:val="BodyText"/>
        <w:spacing w:line="249" w:lineRule="auto" w:before="146"/>
        <w:ind w:left="120" w:right="97" w:firstLine="490"/>
      </w:pPr>
      <w:r>
        <w:rPr>
          <w:i/>
          <w:color w:val="231F20"/>
        </w:rPr>
        <w:t>Fly By</w:t>
      </w:r>
      <w:r>
        <w:rPr>
          <w:color w:val="231F20"/>
          <w:position w:val="5"/>
          <w:sz w:val="15"/>
        </w:rPr>
        <w:t>® </w:t>
      </w:r>
      <w:r>
        <w:rPr>
          <w:i/>
          <w:color w:val="231F20"/>
        </w:rPr>
        <w:t>Priority Lanes. </w:t>
      </w:r>
      <w:r>
        <w:rPr>
          <w:color w:val="231F20"/>
        </w:rPr>
        <w:t>Southwest provides Fly By Priority Lane access for its Business Select Customers and Rapid Rewards A-List Members at many of its airports. Fly By Priority Lanes are priority access lanes located at select ticket counters and security checkpoints. The lanes allow Business Select Customers and Rapid Rewards A-List Members direct access to the front of the line at the ticket counter and/or security checkpoint. As of December 31, 2013, Fly By Priority Lane access was available at 68 airports.</w:t>
      </w:r>
    </w:p>
    <w:p>
      <w:pPr>
        <w:pStyle w:val="BodyText"/>
        <w:spacing w:line="249" w:lineRule="auto" w:before="149"/>
        <w:ind w:left="120" w:right="282" w:firstLine="490"/>
      </w:pPr>
      <w:r>
        <w:rPr>
          <w:i/>
          <w:color w:val="231F20"/>
        </w:rPr>
        <w:t>SWABIZ. </w:t>
      </w:r>
      <w:r>
        <w:rPr>
          <w:color w:val="231F20"/>
        </w:rPr>
        <w:t>SWABIZ is Southwest’s business travel reservation web page. SWABIZ allows business travelers to plan, book, and purchase Ticketless Travel on Southwest and to efficiently obtain their lowest fares and maximum frequent flyer credit.</w:t>
      </w:r>
    </w:p>
    <w:p>
      <w:pPr>
        <w:pStyle w:val="BodyText"/>
        <w:spacing w:line="249" w:lineRule="auto" w:before="149"/>
        <w:ind w:left="120" w:right="213" w:firstLine="490"/>
      </w:pPr>
      <w:r>
        <w:rPr>
          <w:color w:val="231F20"/>
        </w:rPr>
        <w:t>In addition, as discussed below under “Inflight WiFi and Entertainment,” Southwest has continued to install equipment on its fleet to provide access to WiFi connectivity and live television utilizing the Customer’s mobile device.</w:t>
      </w:r>
    </w:p>
    <w:p>
      <w:pPr>
        <w:pStyle w:val="BodyText"/>
        <w:spacing w:line="249" w:lineRule="auto" w:before="149"/>
        <w:ind w:left="120" w:right="247" w:firstLine="490"/>
      </w:pPr>
      <w:r>
        <w:rPr>
          <w:color w:val="231F20"/>
        </w:rPr>
        <w:t>AirTran currently offers Business Class on every flight; however the Company has stated it intends, upon full integration of AirTran, to have a consistent all-coach product offering.</w:t>
      </w:r>
    </w:p>
    <w:p>
      <w:pPr>
        <w:pStyle w:val="Heading4"/>
        <w:spacing w:before="149"/>
        <w:ind w:left="610"/>
        <w:rPr>
          <w:i/>
        </w:rPr>
      </w:pPr>
      <w:r>
        <w:rPr>
          <w:i/>
          <w:color w:val="231F20"/>
        </w:rPr>
        <w:t>Ancillary Services and Fees</w:t>
      </w:r>
    </w:p>
    <w:p>
      <w:pPr>
        <w:pStyle w:val="BodyText"/>
        <w:spacing w:line="249" w:lineRule="auto" w:before="158"/>
        <w:ind w:left="119" w:right="103" w:firstLine="490"/>
      </w:pPr>
      <w:r>
        <w:rPr>
          <w:color w:val="231F20"/>
        </w:rPr>
        <w:t>During 2013, the Company continued to experience revenue benefits from service offerings such as Southwest’s EarlyBird Check-in</w:t>
      </w:r>
      <w:r>
        <w:rPr>
          <w:color w:val="231F20"/>
          <w:position w:val="5"/>
          <w:sz w:val="15"/>
        </w:rPr>
        <w:t>® </w:t>
      </w:r>
      <w:r>
        <w:rPr>
          <w:color w:val="231F20"/>
        </w:rPr>
        <w:t>and Pets Are Welcome on Southwest (P.A.W.S.) products. EarlyBird Check-in provides Customers with automatic checkin so Customers are checked in 12 hours before general boarding positions become available, improving Customers’ seat selection options. Customers can purchase EarlyBird Check-in for an additional $12.50 each way (priority boarding privileges are already included in the purchase of a Business Select fare and are a benefit of being an A-List frequent flyer — see “Southwest’s Rapid Rewards Frequent Flyer Program” above). Southwest’s P.A.W.S. offering allows Customers to bring a small cat or dog into the aircraft cabin for a $95 one-way fare. In 2013, as part of the Company’s network connectivity efforts, it began enabling Customers to book a small cat or dog into the aircraft cabin on domestic shared itineraries with AirTran. Southwest also charges an additional $50 per one-way trip for unaccompanied minor travel to address the administrative costs and the extra care necessary to safely transport these Customers. The Company also expects to continue to benefit from ancillary revenue opportunities created by Southwest’s Rapid Rewards frequent flyer</w:t>
      </w:r>
      <w:r>
        <w:rPr>
          <w:color w:val="231F20"/>
          <w:spacing w:val="2"/>
        </w:rPr>
        <w:t> </w:t>
      </w:r>
      <w:r>
        <w:rPr>
          <w:color w:val="231F20"/>
        </w:rPr>
        <w:t>program.</w:t>
      </w:r>
    </w:p>
    <w:p>
      <w:pPr>
        <w:pStyle w:val="BodyText"/>
        <w:spacing w:line="249" w:lineRule="auto" w:before="149"/>
        <w:ind w:left="119" w:right="328" w:firstLine="490"/>
      </w:pPr>
      <w:r>
        <w:rPr>
          <w:color w:val="231F20"/>
        </w:rPr>
        <w:t>During January 2013, Southwest began selling open premium boarding positions systemwide at the gate for a $40 charge per flight. Southwest’s sale of open premium boarding positions at the gate provides another early boarding choice for its Customers in addition to Southwest’s “Business Select” product and EarlyBird Check-in. Also in 2013, as part of the Company’s network connectivity efforts, it began enabling Customers booking shared itineraries through AirTran channels to purchase these open premium boarding positions at the gate on Southwest-operated flights.</w:t>
      </w:r>
    </w:p>
    <w:p>
      <w:pPr>
        <w:pStyle w:val="BodyText"/>
        <w:spacing w:line="249" w:lineRule="auto" w:before="149"/>
        <w:ind w:left="119" w:right="142" w:firstLine="490"/>
      </w:pPr>
      <w:r>
        <w:rPr>
          <w:color w:val="231F20"/>
        </w:rPr>
        <w:t>During second quarter 2013, Southwest announced its implementation of a No Show policy that applies to nonrefundable fares that are not canceled or changed by a Customer at least ten minutes prior to a flight’s scheduled departure. If a Customer has booked a nonrefundable fare anywhere in his/her itinerary and that portion of the flight is not used and not canceled or changed by the Customer at least ten minutes prior to scheduled departure, all unused funds on the full itinerary will be forfeited, and the remaining reservation will be canceled. This policy does not apply to military fares, senior fares, or travel during certain irregular operations, including severe weather conditions. The No Show policy will not impact Customers who simply cancel a Wanna Get Away or DING! </w:t>
      </w:r>
      <w:r>
        <w:rPr>
          <w:color w:val="231F20"/>
          <w:position w:val="5"/>
          <w:sz w:val="15"/>
        </w:rPr>
        <w:t>® </w:t>
      </w:r>
      <w:r>
        <w:rPr>
          <w:color w:val="231F20"/>
        </w:rPr>
        <w:t>fare at least ten minutes prior to scheduled departure; in this case, Customers may reuse their funds toward future travel on Southwest, without a change fee, as they have always done. Customers</w:t>
      </w:r>
    </w:p>
    <w:p>
      <w:pPr>
        <w:spacing w:after="0" w:line="249" w:lineRule="auto"/>
        <w:sectPr>
          <w:pgSz w:w="11880" w:h="15480"/>
          <w:pgMar w:header="0" w:footer="1253" w:top="1240" w:bottom="1440" w:left="1260" w:right="1300"/>
        </w:sectPr>
      </w:pPr>
    </w:p>
    <w:p>
      <w:pPr>
        <w:pStyle w:val="BodyText"/>
        <w:spacing w:line="249" w:lineRule="auto" w:before="73"/>
        <w:ind w:left="100" w:right="109"/>
      </w:pPr>
      <w:r>
        <w:rPr>
          <w:color w:val="231F20"/>
        </w:rPr>
        <w:t>who are traveling on a fully refundable itinerary that does not contain a Wanna Get Away or DING! fare will continue to have the option of either requesting a refund or holding funds for future travel. Southwest expects that the No Show policy will promote Customer behavior that will enable Southwest to re-sell the open seat prior to departure.</w:t>
      </w:r>
    </w:p>
    <w:p>
      <w:pPr>
        <w:pStyle w:val="BodyText"/>
        <w:spacing w:line="249" w:lineRule="auto" w:before="181"/>
        <w:ind w:left="100" w:right="327" w:firstLine="490"/>
      </w:pPr>
      <w:r>
        <w:rPr>
          <w:color w:val="231F20"/>
        </w:rPr>
        <w:t>AirTran currently charges fees for checked baggage, carriage of pets, liquor sales, advance seat assignments, call center services, priority seat selection, special services such as the transportation of unaccompanied minors, and extension or transfer of A+ Miles Rewards (in addition to fees for the purchase of A+ Miles Rewards). The Company intends, upon full integration of AirTran, to have a consistent product offering.</w:t>
      </w:r>
    </w:p>
    <w:p>
      <w:pPr>
        <w:pStyle w:val="Heading4"/>
        <w:spacing w:before="181"/>
        <w:ind w:left="590"/>
        <w:rPr>
          <w:i/>
        </w:rPr>
      </w:pPr>
      <w:r>
        <w:rPr>
          <w:i/>
          <w:color w:val="231F20"/>
        </w:rPr>
        <w:t>Inflight WiFi and Entertainment</w:t>
      </w:r>
    </w:p>
    <w:p>
      <w:pPr>
        <w:pStyle w:val="BodyText"/>
        <w:spacing w:line="249" w:lineRule="auto" w:before="189"/>
        <w:ind w:left="100" w:right="184" w:firstLine="490"/>
      </w:pPr>
      <w:r>
        <w:rPr>
          <w:color w:val="231F20"/>
        </w:rPr>
        <w:t>Southwest offers inflight satellite-based WiFi service on all of its 737-700 and 737-800 aircraft, representing over 75 percent of Southwest’s fleet. Southwest’s arrangement with its WiFi provider enables the Company to control the pricing of the WiFi service, which is currently $8 a day per device, including stops and connections. As discussed below in “Economic and Operational Regulation — Operational, Safety, and Health Regulation,” Southwest’s Customers are now able to use small portable electronic devices to utilize the airline’s onboard WiFi from gate-to-gate when travelling on a Southwest WiFi-equipped airplane. Southwest is currently the only carrier to offer gate-to-gate connectivity.</w:t>
      </w:r>
    </w:p>
    <w:p>
      <w:pPr>
        <w:pStyle w:val="BodyText"/>
        <w:spacing w:line="249" w:lineRule="auto" w:before="180"/>
        <w:ind w:left="100" w:right="283" w:firstLine="490"/>
      </w:pPr>
      <w:r>
        <w:rPr>
          <w:color w:val="231F20"/>
        </w:rPr>
        <w:t>AirTran currently offers GoGo’s inflight internet connectivity on every Air Tran flight. Gogo establishes the charges for the service, which are based on flight length.</w:t>
      </w:r>
    </w:p>
    <w:p>
      <w:pPr>
        <w:pStyle w:val="BodyText"/>
        <w:spacing w:line="249" w:lineRule="auto" w:before="180"/>
        <w:ind w:left="100" w:right="116" w:firstLine="490"/>
      </w:pPr>
      <w:r>
        <w:rPr>
          <w:color w:val="231F20"/>
        </w:rPr>
        <w:t>In 2013, Southwest continued to grow the onboard entertainment options on WiFi-equipped aircraft for viewing on Customers’ personal wireless devices. In July 2013, the Company joined with DISH Network to give Customers on WiFi-equipped aircraft free access to Southwest’s live and on-demand television product. In January 2014, the Company and DISH Network agreed to extend this promotion through the end of 2014. The television product currently consists of 17 live channels and up to 75 on-demand recorded episodes from popular television series.</w:t>
      </w:r>
    </w:p>
    <w:p>
      <w:pPr>
        <w:pStyle w:val="BodyText"/>
        <w:spacing w:line="249" w:lineRule="auto" w:before="180"/>
        <w:ind w:left="100" w:right="346" w:firstLine="490"/>
        <w:jc w:val="both"/>
      </w:pPr>
      <w:r>
        <w:rPr>
          <w:color w:val="231F20"/>
        </w:rPr>
        <w:t>Southwest also added movies-on-demand, which are currently priced at $5 per movie and, in December 2013, became the first airline to offer a Messaging-only option for $2 a day per device, including all stops and connections. Messaging is currently only available for Apple’s iMessage service, but is expected to expand in early 2014 to other messaging platforms.</w:t>
      </w:r>
    </w:p>
    <w:p>
      <w:pPr>
        <w:pStyle w:val="BodyText"/>
        <w:spacing w:line="249" w:lineRule="auto" w:before="180"/>
        <w:ind w:left="100" w:right="836" w:firstLine="490"/>
      </w:pPr>
      <w:r>
        <w:rPr>
          <w:color w:val="231F20"/>
        </w:rPr>
        <w:t>Customers do not have to purchase WiFi to access television offerings, movies-on-demand, or the Messaging-only service.</w:t>
      </w:r>
    </w:p>
    <w:p>
      <w:pPr>
        <w:pStyle w:val="Heading4"/>
        <w:spacing w:before="180"/>
        <w:ind w:left="590"/>
        <w:rPr>
          <w:i/>
        </w:rPr>
      </w:pPr>
      <w:r>
        <w:rPr>
          <w:i/>
          <w:color w:val="231F20"/>
        </w:rPr>
        <w:t>Proactive Customer Communications</w:t>
      </w:r>
    </w:p>
    <w:p>
      <w:pPr>
        <w:pStyle w:val="BodyText"/>
        <w:spacing w:line="249" w:lineRule="auto" w:before="189"/>
        <w:ind w:left="100" w:right="98" w:firstLine="490"/>
      </w:pPr>
      <w:r>
        <w:rPr>
          <w:color w:val="231F20"/>
        </w:rPr>
        <w:t>The Company’s Automated Outbound Messaging (“AOM”) service enables it to (i) proactively deliver customized automated voice, text, and e-mail messages to Southwest Customers when there has been a change in their flight status as a result of a cancellation or flight delay (of 30 minutes or more), as well as potential disruptions to Southwest’s scheduled service; and (ii) give Southwest Customers the option to connect to a Customer Representative or rebook online in the case of cancelled flights. Southwest Customers who book their travel on southwest.com have the option to receive these notifications via telephone (landline or mobile), SMS texting, or email. In addition to providing flight information to Southwest Customers using their preferred contact method, if applicable, the Company directs Southwest Customers to rebook their flights online via southwest.com/rebook. The AOM strategy is designed to increase proactive Customer outreach and accommodations, reduce inbound calls, improve contact center management, save costs, and provide a better overall</w:t>
      </w:r>
      <w:r>
        <w:rPr>
          <w:color w:val="231F20"/>
          <w:spacing w:val="1"/>
        </w:rPr>
        <w:t> </w:t>
      </w:r>
      <w:r>
        <w:rPr>
          <w:color w:val="231F20"/>
        </w:rPr>
        <w:t>experience.</w:t>
      </w:r>
    </w:p>
    <w:p>
      <w:pPr>
        <w:spacing w:after="0" w:line="249" w:lineRule="auto"/>
        <w:sectPr>
          <w:pgSz w:w="11880" w:h="15480"/>
          <w:pgMar w:header="0" w:footer="1253" w:top="1240" w:bottom="1440" w:left="1280" w:right="1320"/>
        </w:sectPr>
      </w:pPr>
    </w:p>
    <w:p>
      <w:pPr>
        <w:pStyle w:val="Heading4"/>
        <w:spacing w:before="73"/>
        <w:ind w:left="590"/>
        <w:rPr>
          <w:i/>
        </w:rPr>
      </w:pPr>
      <w:r>
        <w:rPr>
          <w:i/>
          <w:color w:val="231F20"/>
        </w:rPr>
        <w:t>Mobile Website and Mobile Boarding Passes</w:t>
      </w:r>
    </w:p>
    <w:p>
      <w:pPr>
        <w:pStyle w:val="BodyText"/>
        <w:spacing w:before="10"/>
        <w:rPr>
          <w:b/>
          <w:i/>
          <w:sz w:val="17"/>
        </w:rPr>
      </w:pPr>
    </w:p>
    <w:p>
      <w:pPr>
        <w:pStyle w:val="BodyText"/>
        <w:spacing w:line="249" w:lineRule="auto"/>
        <w:ind w:left="100" w:right="116" w:firstLine="490"/>
      </w:pPr>
      <w:r>
        <w:rPr>
          <w:color w:val="231F20"/>
        </w:rPr>
        <w:t>In 2013, Southwest introduced a new completely redesigned Southwest mobile website and app for iPhone and Android. Southwest added new features and functionality, and also updated the design and navigation to provide a more contextual and personalized online experience than the prior mobile website. With the redesigned mobile experience, Southwest began the rollout of its mobile boarding pass pilot launched during November 2013. The rollout began with single Passengers on nonstop and direct flights originating from Austin, Texas, and Southwest expects to continue the rollout of mobile boarding pass to other cities across its network throughout 2014.</w:t>
      </w:r>
    </w:p>
    <w:p>
      <w:pPr>
        <w:spacing w:before="197"/>
        <w:ind w:left="100" w:right="0" w:firstLine="0"/>
        <w:jc w:val="left"/>
        <w:rPr>
          <w:b/>
          <w:sz w:val="20"/>
        </w:rPr>
      </w:pPr>
      <w:r>
        <w:rPr>
          <w:b/>
          <w:color w:val="231F20"/>
          <w:sz w:val="20"/>
        </w:rPr>
        <w:t>Management Information Systems</w:t>
      </w:r>
    </w:p>
    <w:p>
      <w:pPr>
        <w:pStyle w:val="BodyText"/>
        <w:spacing w:before="10"/>
        <w:rPr>
          <w:b/>
          <w:sz w:val="17"/>
        </w:rPr>
      </w:pPr>
    </w:p>
    <w:p>
      <w:pPr>
        <w:pStyle w:val="BodyText"/>
        <w:spacing w:line="249" w:lineRule="auto"/>
        <w:ind w:left="100" w:right="320" w:firstLine="490"/>
      </w:pPr>
      <w:r>
        <w:rPr>
          <w:color w:val="231F20"/>
        </w:rPr>
        <w:t>The Company has continued its commitment to technology improvements to support its ongoing operations and initiatives. The Company has continued to invest in significant technology necessary to support several of its initiatives, including the implementation of connecting capabilities between the Southwest and AirTran reservation systems, Southwest’s Rapid Rewards frequent flyer program, enhanced southwest.com website, WiFi implementation, live television connectivity, and its introduction of the Boeing 737-800 aircraft into the Southwest fleet. In addition, the Company has added new reservation system technology to support Southwest’s international itineraries and, in January 2014, began selling its first international itineraries to be flown by Southwest aircraft.</w:t>
      </w:r>
    </w:p>
    <w:p>
      <w:pPr>
        <w:pStyle w:val="BodyText"/>
        <w:spacing w:before="196"/>
        <w:ind w:left="590"/>
      </w:pPr>
      <w:r>
        <w:rPr>
          <w:color w:val="231F20"/>
        </w:rPr>
        <w:t>The Company intends to continue to devote significant technology resources towards, among other things,</w:t>
      </w:r>
    </w:p>
    <w:p>
      <w:pPr>
        <w:pStyle w:val="BodyText"/>
        <w:spacing w:line="249" w:lineRule="auto" w:before="9"/>
        <w:ind w:left="100" w:right="114"/>
      </w:pPr>
      <w:r>
        <w:rPr>
          <w:color w:val="231F20"/>
        </w:rPr>
        <w:t>(i) continued improvement of its revenue management technical capabilities, (ii) replacement of Southwest’s existing domestic reservation system with a comprehensive system that would provide Southwest with the ability to serve both domestic and international markets, and (iii) a new suite of operational tools that the Company expects will improve operational management.</w:t>
      </w:r>
    </w:p>
    <w:p>
      <w:pPr>
        <w:pStyle w:val="Heading3"/>
        <w:spacing w:before="196"/>
      </w:pPr>
      <w:r>
        <w:rPr>
          <w:color w:val="231F20"/>
        </w:rPr>
        <w:t>Regulation</w:t>
      </w:r>
    </w:p>
    <w:p>
      <w:pPr>
        <w:pStyle w:val="BodyText"/>
        <w:spacing w:before="9"/>
        <w:rPr>
          <w:b/>
          <w:sz w:val="17"/>
        </w:rPr>
      </w:pPr>
    </w:p>
    <w:p>
      <w:pPr>
        <w:pStyle w:val="BodyText"/>
        <w:spacing w:line="249" w:lineRule="auto" w:before="1"/>
        <w:ind w:left="100" w:right="398" w:firstLine="490"/>
      </w:pPr>
      <w:r>
        <w:rPr>
          <w:color w:val="231F20"/>
        </w:rPr>
        <w:t>The airline industry is heavily regulated, especially by the federal government. Examples of regulations affecting the Company and/or the industry are discussed below.</w:t>
      </w:r>
    </w:p>
    <w:p>
      <w:pPr>
        <w:pStyle w:val="Heading3"/>
        <w:spacing w:before="197"/>
        <w:ind w:left="350"/>
      </w:pPr>
      <w:r>
        <w:rPr>
          <w:color w:val="231F20"/>
        </w:rPr>
        <w:t>Economic and Operational Regulation</w:t>
      </w:r>
    </w:p>
    <w:p>
      <w:pPr>
        <w:pStyle w:val="BodyText"/>
        <w:spacing w:before="10"/>
        <w:rPr>
          <w:b/>
          <w:sz w:val="17"/>
        </w:rPr>
      </w:pPr>
    </w:p>
    <w:p>
      <w:pPr>
        <w:pStyle w:val="Heading4"/>
        <w:ind w:left="590"/>
        <w:rPr>
          <w:i/>
        </w:rPr>
      </w:pPr>
      <w:r>
        <w:rPr>
          <w:i/>
          <w:color w:val="231F20"/>
        </w:rPr>
        <w:t>Consumer Protection Regulation by the U.S. Department of Transportation</w:t>
      </w:r>
    </w:p>
    <w:p>
      <w:pPr>
        <w:pStyle w:val="BodyText"/>
        <w:spacing w:before="10"/>
        <w:rPr>
          <w:b/>
          <w:i/>
          <w:sz w:val="17"/>
        </w:rPr>
      </w:pPr>
    </w:p>
    <w:p>
      <w:pPr>
        <w:pStyle w:val="BodyText"/>
        <w:spacing w:line="249" w:lineRule="auto"/>
        <w:ind w:left="100" w:right="121" w:firstLine="490"/>
      </w:pPr>
      <w:r>
        <w:rPr>
          <w:color w:val="231F20"/>
        </w:rPr>
        <w:t>The U.S. Department of Transportation (the “DOT”) regulates aviation safety, as well as economic operating authority and consumer protection. The DOT may impose civil penalties on air carriers for violating its regulations.</w:t>
      </w:r>
    </w:p>
    <w:p>
      <w:pPr>
        <w:pStyle w:val="BodyText"/>
        <w:spacing w:line="249" w:lineRule="auto" w:before="197"/>
        <w:ind w:left="100" w:right="100" w:firstLine="490"/>
      </w:pPr>
      <w:r>
        <w:rPr>
          <w:color w:val="231F20"/>
        </w:rPr>
        <w:t>To provide passenger transportation in the United States, a domestic airline is required to hold a Certificate of Public Convenience and Necessity issued by the DOT. A certificate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line="249" w:lineRule="auto" w:before="197"/>
        <w:ind w:left="100" w:right="99" w:firstLine="490"/>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 and baggage liability requirements. The DOT is also charged with prohibiting discrimination by airlines against consumers on the basis of race, religion, national origin, or sex.</w:t>
      </w:r>
    </w:p>
    <w:p>
      <w:pPr>
        <w:spacing w:after="0" w:line="249" w:lineRule="auto"/>
        <w:sectPr>
          <w:pgSz w:w="11880" w:h="15480"/>
          <w:pgMar w:header="0" w:footer="1253" w:top="1240" w:bottom="1440" w:left="1280" w:right="1300"/>
        </w:sectPr>
      </w:pPr>
    </w:p>
    <w:p>
      <w:pPr>
        <w:pStyle w:val="BodyText"/>
        <w:spacing w:line="249" w:lineRule="auto" w:before="73"/>
        <w:ind w:left="100" w:right="218" w:firstLine="490"/>
      </w:pPr>
      <w:r>
        <w:rPr>
          <w:color w:val="231F20"/>
        </w:rPr>
        <w:t>Under the above-described authority, the DOT has adopted so-called “Passenger Protection Rules,” which address a wide variety of matters including tarmac delays, chronically delayed flights, denied boarding compensation, and advertising of airfares, among others. Under the Passenger Protection Rules, U.S. passenger airlines are required to adopt contingency plans that include the following: (i) the assurance that no domestic flight will remain on the airport tarmac for more than three hours unless the pilot-in-command determines there is a safety-related or security-related impediment to deplaning passengers or air traffic control advises the pilot- in-command that returning to the gate or permitting passengers to disembark elsewhere would significantly disrupt airport operations; (ii) the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the assurance of operable lavatories, as well as adequate medical attention, if needed. Air carriers are required to publish their contingency plans on their websites.</w:t>
      </w:r>
    </w:p>
    <w:p>
      <w:pPr>
        <w:pStyle w:val="BodyText"/>
        <w:spacing w:line="249" w:lineRule="auto" w:before="145"/>
        <w:ind w:left="100" w:right="102" w:firstLine="490"/>
      </w:pPr>
      <w:r>
        <w:rPr>
          <w:color w:val="231F20"/>
        </w:rPr>
        <w:t>The Passenger Protection Rules also subject airlines to potential DOT enforcement action for unfair and deceptive practices in the event of chronically delayed flights (</w:t>
      </w:r>
      <w:r>
        <w:rPr>
          <w:i/>
          <w:color w:val="231F20"/>
        </w:rPr>
        <w:t>i.e., </w:t>
      </w:r>
      <w:r>
        <w:rPr>
          <w:color w:val="231F20"/>
        </w:rPr>
        <w:t>flights that operate at least 10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 with their plans; (iii) designate an employee to monitor the performance of their flights; (iv) provide information to passengers on how to file complaints;</w:t>
      </w:r>
      <w:r>
        <w:rPr>
          <w:color w:val="231F20"/>
          <w:spacing w:val="12"/>
        </w:rPr>
        <w:t> </w:t>
      </w:r>
      <w:r>
        <w:rPr>
          <w:color w:val="231F20"/>
        </w:rPr>
        <w:t>and</w:t>
      </w:r>
    </w:p>
    <w:p>
      <w:pPr>
        <w:pStyle w:val="BodyText"/>
        <w:spacing w:line="249" w:lineRule="auto" w:before="1"/>
        <w:ind w:left="100" w:right="118"/>
      </w:pPr>
      <w:r>
        <w:rPr>
          <w:color w:val="231F20"/>
        </w:rPr>
        <w:t>(v) respond in a timely and substantive fashion to consumer complaints. Airlines that violate the Passenger Protection Rules are subject to potential fines of up to $27,500 per passenger, the maximum allowed for violating any aviation consumer rule.</w:t>
      </w:r>
    </w:p>
    <w:p>
      <w:pPr>
        <w:pStyle w:val="BodyText"/>
        <w:spacing w:line="249" w:lineRule="auto" w:before="145"/>
        <w:ind w:left="100" w:right="263" w:firstLine="490"/>
      </w:pPr>
      <w:r>
        <w:rPr>
          <w:color w:val="231F20"/>
        </w:rPr>
        <w:t>The Passenger Protection Rules also require airlines to (i) pay up to $1,300 in denied boarding compensation to passengers bumped from flights; (ii) refund any checked bag fee for permanently lost luggage;</w:t>
      </w:r>
    </w:p>
    <w:p>
      <w:pPr>
        <w:pStyle w:val="BodyText"/>
        <w:spacing w:line="249" w:lineRule="auto" w:before="1"/>
        <w:ind w:left="100"/>
      </w:pPr>
      <w:r>
        <w:rPr>
          <w:color w:val="231F20"/>
        </w:rPr>
        <w:t>(iii) prominently disclose all potential fees for optional services on their websites; and (iv) refund passenger fees paid for ancillary services if a flight cancels or oversells and a passenger is unable to take advantage of such services.</w:t>
      </w:r>
    </w:p>
    <w:p>
      <w:pPr>
        <w:pStyle w:val="BodyText"/>
        <w:spacing w:line="249" w:lineRule="auto" w:before="145"/>
        <w:ind w:left="100" w:right="335" w:firstLine="490"/>
      </w:pPr>
      <w:r>
        <w:rPr>
          <w:color w:val="231F20"/>
        </w:rPr>
        <w:t>The Passenger Protection Rules also require that (i) advertised airfares include all government-mandated taxes and fees; (ii) passengers be allowed to hold a reservation for up to 24 hours without making a payment;</w:t>
      </w:r>
    </w:p>
    <w:p>
      <w:pPr>
        <w:pStyle w:val="BodyText"/>
        <w:spacing w:line="249" w:lineRule="auto" w:before="1"/>
        <w:ind w:left="100" w:right="129"/>
      </w:pPr>
      <w:r>
        <w:rPr>
          <w:color w:val="231F20"/>
        </w:rPr>
        <w:t>(iii) passengers be allowed to cancel a paid reservation without penalty for 24 hours after the reservation is made, as long as the reservation is made at least seven days in advance of travel; (iv) fares may not increase after purchase; (v) baggage fees must be disclosed to the passenger at the time of booking; (vi) the same baggage allowances and fees must apply throughout a passenger’s trip; (vii) baggage fees must be disclosed on e-ticket confirmations; and (viii) passengers must be promptly notified in the event of delays of more than 30 minutes or if there is a cancellation or diversion of their flight.</w:t>
      </w:r>
    </w:p>
    <w:p>
      <w:pPr>
        <w:pStyle w:val="BodyText"/>
        <w:spacing w:line="249" w:lineRule="auto" w:before="145"/>
        <w:ind w:left="100" w:right="124" w:firstLine="490"/>
      </w:pPr>
      <w:r>
        <w:rPr>
          <w:color w:val="231F20"/>
        </w:rPr>
        <w:t>The DOT has announced its intention to further expand the Passenger Protection Rules, with particular focus on the public disclosure of airline-imposed ancillary fees for the sale of optional products and services. The DOT is reportedly considering, among other things, whether to require airlines to disclose and make such optional products and services available for purchase through all sales channels, including “global distributions systems,” that an airline uses to sell its flights rather than only through proprietary airline websites. The DOT’s proposed expansion of the Passenger Protection Rules is expected to be released in the first half of 2014. The Company is not able to predict the impact of such a requirement on its services, although the Company is likely to be affected to a lesser degree than most other airlines, which generally offer more ancillary products and services. The DOT has expressed its intent to aggressively investigate alleged violations of the Passenger Protection</w:t>
      </w:r>
      <w:r>
        <w:rPr>
          <w:color w:val="231F20"/>
          <w:spacing w:val="1"/>
        </w:rPr>
        <w:t> </w:t>
      </w:r>
      <w:r>
        <w:rPr>
          <w:color w:val="231F20"/>
        </w:rPr>
        <w:t>Rules.</w:t>
      </w:r>
    </w:p>
    <w:p>
      <w:pPr>
        <w:pStyle w:val="BodyText"/>
        <w:spacing w:line="249" w:lineRule="auto" w:before="145"/>
        <w:ind w:left="100" w:right="169" w:firstLine="490"/>
      </w:pPr>
      <w:r>
        <w:rPr>
          <w:color w:val="231F20"/>
        </w:rPr>
        <w:t>The DOT has also proposed new rules that would require airlines to report more information to the DOT on the amount and types of ancillary fees collected from passengers, as well as the number of checked bags and mishandled wheelchairs. The proposal would revise current reporting requirements to increase data collection on the amount airlines receive from different, specific types of fees. The proposed rule would require airlines to report 18 categories of fee revenue. The DOT is expected to issue a final rule in this proceeding in 2014.</w:t>
      </w:r>
    </w:p>
    <w:p>
      <w:pPr>
        <w:spacing w:after="0" w:line="249" w:lineRule="auto"/>
        <w:sectPr>
          <w:pgSz w:w="11880" w:h="15480"/>
          <w:pgMar w:header="0" w:footer="1253" w:top="1240" w:bottom="1440" w:left="1280" w:right="1280"/>
        </w:sectPr>
      </w:pPr>
    </w:p>
    <w:p>
      <w:pPr>
        <w:pStyle w:val="Heading4"/>
        <w:spacing w:before="73"/>
        <w:ind w:left="590"/>
        <w:rPr>
          <w:i/>
        </w:rPr>
      </w:pPr>
      <w:r>
        <w:rPr>
          <w:i/>
          <w:color w:val="231F20"/>
        </w:rPr>
        <w:t>Aviation Taxes</w:t>
      </w:r>
    </w:p>
    <w:p>
      <w:pPr>
        <w:pStyle w:val="BodyText"/>
        <w:spacing w:line="249" w:lineRule="auto" w:before="168"/>
        <w:ind w:left="100" w:right="162" w:firstLine="490"/>
      </w:pPr>
      <w:r>
        <w:rPr>
          <w:color w:val="231F20"/>
        </w:rPr>
        <w:t>The statutory authority for the federal government to collect most types of aviation taxes, which are used, in part, to finance the nation’s airport and air traffic control systems, and the authority of the FAA to expend those funds must be periodically reauthorized by the U.S. Congress. In 2012, Congress adopted the FAA Modernization and Reform Act of 2012, which extends most commercial aviation taxes through September 30, 2015. In addition to FAA-related taxes, there are additional federal taxes related to the Department of Homeland Security. These taxes do not need to be reauthorized periodically. However, in an effort to reduce the federal deficit and generate more government revenue, Congress approved legislation in December 2013 that will generate more net federal revenue by (i) increasing the Transportation Security Fee paid by passengers from</w:t>
      </w:r>
    </w:p>
    <w:p>
      <w:pPr>
        <w:pStyle w:val="BodyText"/>
        <w:spacing w:line="249" w:lineRule="auto"/>
        <w:ind w:left="100" w:right="346"/>
      </w:pPr>
      <w:r>
        <w:rPr>
          <w:color w:val="231F20"/>
        </w:rPr>
        <w:t>$2.50 per passenger segment to $5.60 per one-way passenger trip, effective July 2014; and (ii) eliminating a duplicative security fee paid by airlines directly, called the Aviation Security Infrastructure Fee, effective October 2014. In 2014, Congress may consider comprehensive tax reform legislation, which could result in a lower corporate tax rate and the elimination of certain tax deductions and preferences, as well as separate legislation that could increase one or more of the passenger-paid fees used to support the operations of U.S. Customs and Border Protection (“CBP”). Grants to airports and/or airport bond financing may also be affected through future deficit reduction legislation, which could result in higher fees, rates, and charges at many of the airports the Company serves.</w:t>
      </w:r>
    </w:p>
    <w:p>
      <w:pPr>
        <w:pStyle w:val="Heading4"/>
        <w:spacing w:before="159"/>
        <w:ind w:left="590"/>
        <w:rPr>
          <w:i/>
        </w:rPr>
      </w:pPr>
      <w:r>
        <w:rPr>
          <w:i/>
          <w:color w:val="231F20"/>
        </w:rPr>
        <w:t>The Wright Amendment</w:t>
      </w:r>
    </w:p>
    <w:p>
      <w:pPr>
        <w:pStyle w:val="BodyText"/>
        <w:spacing w:line="249" w:lineRule="auto" w:before="168"/>
        <w:ind w:left="100" w:right="197" w:firstLine="490"/>
      </w:pPr>
      <w:r>
        <w:rPr>
          <w:color w:val="231F20"/>
        </w:rPr>
        <w:t>Section 29 of the International Air Transportation Competition Act of 1979, as amended (commonly known as the “Wright Amendment”), prohibited the carriage of non-stop and through passengers on commercial flights between Dallas Love Field and all states outside of Texas, with the exception of the following states (the “Wright Amendment States”): Alabama, Arkansas, Kansas, Louisiana, Mississippi, Missouri, New Mexico, and Oklahoma. Originally, the Wright Amendment permitted an airline to offer flights between Dallas Love Field and the Wright Amendment States only to the extent the airline did not offer or provide any through service or ticketing with another air carrier at Dallas Love Field and did not market service to or from Dallas Love Field and any point outside of a Wright Amendment State. In other words, a Customer could not purchase a single ticket between Dallas Love Field and any destination other than a Wright Amendment State. These restrictions did not apply to flights operated with aircraft having 56 or fewer passenger seats. The Wright Amendment also did not restrict Southwest’s intrastate Texas flights or its air service to or from points other than Dallas Love Field.</w:t>
      </w:r>
    </w:p>
    <w:p>
      <w:pPr>
        <w:pStyle w:val="BodyText"/>
        <w:spacing w:line="249" w:lineRule="auto" w:before="160"/>
        <w:ind w:left="100" w:right="115" w:firstLine="490"/>
      </w:pPr>
      <w:r>
        <w:rPr>
          <w:color w:val="231F20"/>
        </w:rPr>
        <w:t>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 destination (while still requiring the Customer to make a stop in a Wright Amendment State), and reduced the maximum number of gates available for commercial air service at Dallas Love Field from 32 to 20. Pursuant to the Wright Amendment Reform Act and local agreements with the City of Dallas with respect to gates, the Company can expand scheduled service from Dallas Love Field. The Wright Amendment Reform Act also provides for substantial repeal of the remainder of the Wright Amendment in October 2014. At such time Southwest will be able to fly to any U.S. destination from Dallas Love Field unless such destination is restricted or otherwise limited by law. Nonstop international service from Dallas Love Field will continue to be prohibited. The Company currently leases 16 gates at Dallas Love Field and expects to lease at least 16 gates at the airport following substantial repeal of the remainder of the Wright Amendment in October</w:t>
      </w:r>
      <w:r>
        <w:rPr>
          <w:color w:val="231F20"/>
          <w:spacing w:val="2"/>
        </w:rPr>
        <w:t> </w:t>
      </w:r>
      <w:r>
        <w:rPr>
          <w:color w:val="231F20"/>
        </w:rPr>
        <w:t>2014.</w:t>
      </w:r>
    </w:p>
    <w:p>
      <w:pPr>
        <w:pStyle w:val="Heading3"/>
        <w:spacing w:before="160"/>
        <w:ind w:left="350"/>
      </w:pPr>
      <w:r>
        <w:rPr>
          <w:color w:val="231F20"/>
        </w:rPr>
        <w:t>Operational, Safety, and Health Regulation</w:t>
      </w:r>
    </w:p>
    <w:p>
      <w:pPr>
        <w:pStyle w:val="BodyText"/>
        <w:spacing w:line="249" w:lineRule="auto" w:before="168"/>
        <w:ind w:left="100" w:right="236" w:firstLine="490"/>
        <w:jc w:val="both"/>
      </w:pPr>
      <w:r>
        <w:rPr>
          <w:color w:val="231F20"/>
        </w:rPr>
        <w:t>The FAA has the authority to regulate safety aspects of civil aviation operations. Specifically, Southwest, AirTran, and their third-party service providers are subject to the jurisdiction of the FAA with respect to aircraft maintenance and operations, including equipment, ground facilities, dispatch, communications, flight training</w:t>
      </w:r>
    </w:p>
    <w:p>
      <w:pPr>
        <w:spacing w:after="0" w:line="249" w:lineRule="auto"/>
        <w:jc w:val="both"/>
        <w:sectPr>
          <w:pgSz w:w="11880" w:h="15480"/>
          <w:pgMar w:header="0" w:footer="1253" w:top="1240" w:bottom="1440" w:left="1280" w:right="1280"/>
        </w:sectPr>
      </w:pPr>
    </w:p>
    <w:p>
      <w:pPr>
        <w:pStyle w:val="BodyText"/>
        <w:spacing w:line="249" w:lineRule="auto" w:before="73"/>
        <w:ind w:left="100" w:right="618"/>
      </w:pPr>
      <w:r>
        <w:rPr>
          <w:color w:val="231F20"/>
        </w:rPr>
        <w:t>personnel, and other matters affecting air safety. The FAA, acting through its own powers or through the appropriate U.S. Attorney, has the power to bring proceedings for the imposition and collection of fines for violation of the FAA regulations.</w:t>
      </w:r>
    </w:p>
    <w:p>
      <w:pPr>
        <w:pStyle w:val="BodyText"/>
        <w:spacing w:line="249" w:lineRule="auto" w:before="160"/>
        <w:ind w:left="100" w:right="213" w:firstLine="490"/>
      </w:pPr>
      <w:r>
        <w:rPr>
          <w:color w:val="231F20"/>
        </w:rPr>
        <w:t>To address compliance with its regulations, the FAA requires airlines to obtain an air carrier operating certificate and other certificates, approvals, and authorities. Pursuant to FAA regulations, the Company has received a single air carrier operating certificate, in addition to other necessary certificates, approvals, and authorities from the FAA, that allows the Company to operate aircraft and perform maintenance operations for both Southwest and AirTran aircraft, subject to some restrictions. These certificates, approvals, and authorities are subject to suspension or revocation for cause.</w:t>
      </w:r>
    </w:p>
    <w:p>
      <w:pPr>
        <w:pStyle w:val="BodyText"/>
        <w:spacing w:line="249" w:lineRule="auto" w:before="160"/>
        <w:ind w:left="100" w:right="107" w:firstLine="490"/>
      </w:pPr>
      <w:r>
        <w:rPr>
          <w:color w:val="231F20"/>
        </w:rPr>
        <w:t>In December 2011, the FAA issued a rule to amend the FAA’s flight, duty, and rest regulations. Among other things, the new rule, which went into effect in January 2014, requires a ten hour minimum rest period prior to a pilot’s flight duty period; mandates that a pilot must have an opportunity for eight hours of uninterrupted sleep within the rest period; and imposes new pilot “flight time” and “duty time” limitations based upon report times, the number of scheduled flight segments, and other operational factors. The new rule may reduce the Company’s staffing flexibility, which could impact the Company’s operational performance, costs, and Customer Experience.</w:t>
      </w:r>
    </w:p>
    <w:p>
      <w:pPr>
        <w:pStyle w:val="BodyText"/>
        <w:spacing w:line="249" w:lineRule="auto" w:before="160"/>
        <w:ind w:left="100" w:right="196" w:firstLine="490"/>
      </w:pPr>
      <w:r>
        <w:rPr>
          <w:color w:val="231F20"/>
        </w:rPr>
        <w:t>In October 2013, the FAA issued guidance that allows airlines to expand passenger use of portable electronic devices (PEDs) during all phases of flight. After conducting appropriate testing and developing necessary operational procedures, the Company received confirmation from the FAA that the Company’s PED program meets the requirements of, and is consistent with, the guidance established by the FAA. As a result, the Company’s Customers are now able to use small PEDs and connect to onboard wireless communications systems, in certain circumstances, from gate to gate. This includes the use of onboard WiFi when travelling on a Southwest WiFi-equipped airplane. Customers travelling on AirTran flights are unable to use GoGo WiFi below 10,000 feet due to GoGo transmission restrictions. Customers may use small PEDs such as smartphones, e- readers, tablets, or MP3 players to read a book, play a built-in game, or listen to their personal music during all phases of flight. However, once the main cabin door is closed, cell phones must be turned off or placed in the device’s airplane/game mode for the duration of the flight. The new FAA policy considers laptops and any device larger than a tablet (generally more than two pounds) as posing a hazard due to the physical size and weight of the device. Such devices must be stowed in an approved stowage location during taxi, takeoff, and landing.</w:t>
      </w:r>
    </w:p>
    <w:p>
      <w:pPr>
        <w:pStyle w:val="BodyText"/>
        <w:spacing w:line="249" w:lineRule="auto" w:before="160"/>
        <w:ind w:left="100" w:right="457" w:firstLine="490"/>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Heading3"/>
        <w:spacing w:before="160"/>
        <w:ind w:left="350"/>
      </w:pPr>
      <w:r>
        <w:rPr>
          <w:color w:val="231F20"/>
        </w:rPr>
        <w:t>Security Regulation</w:t>
      </w:r>
    </w:p>
    <w:p>
      <w:pPr>
        <w:pStyle w:val="BodyText"/>
        <w:spacing w:line="249" w:lineRule="auto" w:before="169"/>
        <w:ind w:left="100" w:right="274" w:firstLine="490"/>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 onboard flights;</w:t>
      </w:r>
    </w:p>
    <w:p>
      <w:pPr>
        <w:pStyle w:val="BodyText"/>
        <w:spacing w:line="249" w:lineRule="auto" w:before="1"/>
        <w:ind w:left="100" w:right="363"/>
      </w:pPr>
      <w:r>
        <w:rPr>
          <w:color w:val="231F20"/>
        </w:rPr>
        <w:t>(iii) airport perimeter access security; (iv) airline crew security training; (v) security screening of passengers, baggage, cargo, mail, employees, and vendors; (vi) training and qualifications of security screening personnel;</w:t>
      </w:r>
    </w:p>
    <w:p>
      <w:pPr>
        <w:pStyle w:val="BodyText"/>
        <w:spacing w:line="249" w:lineRule="auto" w:before="1"/>
        <w:ind w:left="100" w:right="114"/>
      </w:pPr>
      <w:r>
        <w:rPr>
          <w:color w:val="231F20"/>
        </w:rPr>
        <w:t>(vii) provision of passenger data to U.S. Customs and Border Protection; and (viii) background checks. Under ATSA, substantially all security officers at airports are federal employees, and significant other elements of airline and airport security are overseen and performed by federal employees, including federal security managers, federal law enforcement officers, and federal air marshals. TSA personnel and TSA-mandated security procedures can affect the Company’s operations, costs, and Customer experience. For example, in 2006, the TSA implemented 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w:t>
      </w:r>
    </w:p>
    <w:p>
      <w:pPr>
        <w:spacing w:after="0" w:line="249" w:lineRule="auto"/>
        <w:sectPr>
          <w:pgSz w:w="11880" w:h="15480"/>
          <w:pgMar w:header="0" w:footer="1253" w:top="1240" w:bottom="1440" w:left="1280" w:right="1280"/>
        </w:sectPr>
      </w:pPr>
    </w:p>
    <w:p>
      <w:pPr>
        <w:pStyle w:val="BodyText"/>
        <w:spacing w:line="249" w:lineRule="auto" w:before="73"/>
        <w:ind w:left="100" w:right="100"/>
      </w:pPr>
      <w:r>
        <w:rPr>
          <w:color w:val="231F20"/>
        </w:rPr>
        <w:t>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The TSA has also implemented enhanced security procedures as part of its enhanced, multi-layer approach to airport security by employing advanced imaging technology (full body scans), as well as new physical pat down procedures, at security checkpoints. Such enhanced security procedures have raised privacy concerns by some air travelers. In response to a congressional mandate, beginning in June 2013, airport scanners were outfitted with software designed to enhance passenger privacy by eliminating passenger-specific images and instead using only a generic image of a passenger.</w:t>
      </w:r>
    </w:p>
    <w:p>
      <w:pPr>
        <w:pStyle w:val="BodyText"/>
        <w:spacing w:line="249" w:lineRule="auto" w:before="160"/>
        <w:ind w:left="100" w:right="213" w:firstLine="490"/>
      </w:pPr>
      <w:r>
        <w:rPr>
          <w:color w:val="231F20"/>
        </w:rPr>
        <w:t>Beginning in November 2013, Southwest, in conjunction with the TSA and CBP, is participating in TSA PreCheck™, a pre-screening initiative that allows a select group of low risk passengers the ability to move through security checkpoints with greater efficiency and ease when traveling. Eligible passengers may use dedicated screening lanes at certain airports that Southwest serves for screening benefits, which include leaving on shoes, light outerwear and belts, as well as leaving laptops and compliant liquids in carryon bags.</w:t>
      </w:r>
    </w:p>
    <w:p>
      <w:pPr>
        <w:pStyle w:val="BodyText"/>
        <w:spacing w:line="249" w:lineRule="auto" w:before="157"/>
        <w:ind w:left="100" w:right="213" w:firstLine="490"/>
      </w:pPr>
      <w:r>
        <w:rPr>
          <w:color w:val="231F20"/>
        </w:rPr>
        <w:t>Southwest also participates in the TSA Known Crewmember</w:t>
      </w:r>
      <w:r>
        <w:rPr>
          <w:color w:val="231F20"/>
          <w:position w:val="5"/>
          <w:sz w:val="15"/>
        </w:rPr>
        <w:t>® </w:t>
      </w:r>
      <w:r>
        <w:rPr>
          <w:color w:val="231F20"/>
        </w:rPr>
        <w:t>program, which is a risk-based screening system that enables TSA security officers to positively verify the identity and employment status of flight-crew members. The program expedites flight crew member access to sterile areas of airports.</w:t>
      </w:r>
    </w:p>
    <w:p>
      <w:pPr>
        <w:pStyle w:val="BodyText"/>
        <w:spacing w:line="249" w:lineRule="auto" w:before="160"/>
        <w:ind w:left="100" w:right="152" w:firstLine="490"/>
      </w:pPr>
      <w:r>
        <w:rPr>
          <w:color w:val="231F20"/>
        </w:rPr>
        <w:t>The Company has made significant investments to address the effect of security regulations, including investments in facilities, equipment, and technology to process Customers, checked baggage, and cargo efficiently and restore the airport experience; however, the Company is not able to predict the impact, if any, that various security measures or the lack of TSA resources at certain airports will have on Passenger revenues and the Company’s costs, either in the shortterm or the longterm.</w:t>
      </w:r>
    </w:p>
    <w:p>
      <w:pPr>
        <w:pStyle w:val="Heading3"/>
        <w:spacing w:before="160"/>
        <w:ind w:left="350"/>
      </w:pPr>
      <w:r>
        <w:rPr>
          <w:color w:val="231F20"/>
        </w:rPr>
        <w:t>Environmental Regulation</w:t>
      </w:r>
    </w:p>
    <w:p>
      <w:pPr>
        <w:pStyle w:val="BodyText"/>
        <w:spacing w:line="249" w:lineRule="auto" w:before="169"/>
        <w:ind w:left="100" w:right="122" w:firstLine="490"/>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from operations, and the discharge or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w:t>
      </w:r>
      <w:r>
        <w:rPr>
          <w:color w:val="231F20"/>
          <w:spacing w:val="7"/>
        </w:rPr>
        <w:t> </w:t>
      </w:r>
      <w:r>
        <w:rPr>
          <w:color w:val="231F20"/>
        </w:rPr>
        <w:t>position.</w:t>
      </w:r>
    </w:p>
    <w:p>
      <w:pPr>
        <w:pStyle w:val="BodyText"/>
        <w:spacing w:line="249" w:lineRule="auto" w:before="160"/>
        <w:ind w:left="100" w:right="129" w:firstLine="490"/>
      </w:pPr>
      <w:r>
        <w:rPr>
          <w:color w:val="231F20"/>
        </w:rPr>
        <w:t>The</w:t>
      </w:r>
      <w:r>
        <w:rPr>
          <w:color w:val="231F20"/>
          <w:spacing w:val="-13"/>
        </w:rPr>
        <w:t> </w:t>
      </w:r>
      <w:r>
        <w:rPr>
          <w:color w:val="231F20"/>
        </w:rPr>
        <w:t>federal</w:t>
      </w:r>
      <w:r>
        <w:rPr>
          <w:color w:val="231F20"/>
          <w:spacing w:val="-13"/>
        </w:rPr>
        <w:t> </w:t>
      </w:r>
      <w:r>
        <w:rPr>
          <w:color w:val="231F20"/>
        </w:rPr>
        <w:t>government,</w:t>
      </w:r>
      <w:r>
        <w:rPr>
          <w:color w:val="231F20"/>
          <w:spacing w:val="-14"/>
        </w:rPr>
        <w:t> </w:t>
      </w:r>
      <w:r>
        <w:rPr>
          <w:color w:val="231F20"/>
        </w:rPr>
        <w:t>as</w:t>
      </w:r>
      <w:r>
        <w:rPr>
          <w:color w:val="231F20"/>
          <w:spacing w:val="-13"/>
        </w:rPr>
        <w:t> </w:t>
      </w:r>
      <w:r>
        <w:rPr>
          <w:color w:val="231F20"/>
        </w:rPr>
        <w:t>well</w:t>
      </w:r>
      <w:r>
        <w:rPr>
          <w:color w:val="231F20"/>
          <w:spacing w:val="-13"/>
        </w:rPr>
        <w:t> </w:t>
      </w:r>
      <w:r>
        <w:rPr>
          <w:color w:val="231F20"/>
        </w:rPr>
        <w:t>as</w:t>
      </w:r>
      <w:r>
        <w:rPr>
          <w:color w:val="231F20"/>
          <w:spacing w:val="-13"/>
        </w:rPr>
        <w:t> </w:t>
      </w:r>
      <w:r>
        <w:rPr>
          <w:color w:val="231F20"/>
        </w:rPr>
        <w:t>several</w:t>
      </w:r>
      <w:r>
        <w:rPr>
          <w:color w:val="231F20"/>
          <w:spacing w:val="-13"/>
        </w:rPr>
        <w:t> </w:t>
      </w:r>
      <w:r>
        <w:rPr>
          <w:color w:val="231F20"/>
        </w:rPr>
        <w:t>state</w:t>
      </w:r>
      <w:r>
        <w:rPr>
          <w:color w:val="231F20"/>
          <w:spacing w:val="-13"/>
        </w:rPr>
        <w:t> </w:t>
      </w:r>
      <w:r>
        <w:rPr>
          <w:color w:val="231F20"/>
        </w:rPr>
        <w:t>and</w:t>
      </w:r>
      <w:r>
        <w:rPr>
          <w:color w:val="231F20"/>
          <w:spacing w:val="-14"/>
        </w:rPr>
        <w:t> </w:t>
      </w:r>
      <w:r>
        <w:rPr>
          <w:color w:val="231F20"/>
        </w:rPr>
        <w:t>local</w:t>
      </w:r>
      <w:r>
        <w:rPr>
          <w:color w:val="231F20"/>
          <w:spacing w:val="-13"/>
        </w:rPr>
        <w:t> </w:t>
      </w:r>
      <w:r>
        <w:rPr>
          <w:color w:val="231F20"/>
        </w:rPr>
        <w:t>governments,</w:t>
      </w:r>
      <w:r>
        <w:rPr>
          <w:color w:val="231F20"/>
          <w:spacing w:val="-14"/>
        </w:rPr>
        <w:t> </w:t>
      </w:r>
      <w:r>
        <w:rPr>
          <w:color w:val="231F20"/>
        </w:rPr>
        <w:t>the</w:t>
      </w:r>
      <w:r>
        <w:rPr>
          <w:color w:val="231F20"/>
          <w:spacing w:val="-13"/>
        </w:rPr>
        <w:t> </w:t>
      </w:r>
      <w:r>
        <w:rPr>
          <w:color w:val="231F20"/>
        </w:rPr>
        <w:t>governments</w:t>
      </w:r>
      <w:r>
        <w:rPr>
          <w:color w:val="231F20"/>
          <w:spacing w:val="-13"/>
        </w:rPr>
        <w:t> </w:t>
      </w:r>
      <w:r>
        <w:rPr>
          <w:color w:val="231F20"/>
        </w:rPr>
        <w:t>of</w:t>
      </w:r>
      <w:r>
        <w:rPr>
          <w:color w:val="231F20"/>
          <w:spacing w:val="-13"/>
        </w:rPr>
        <w:t> </w:t>
      </w:r>
      <w:r>
        <w:rPr>
          <w:color w:val="231F20"/>
        </w:rPr>
        <w:t>other</w:t>
      </w:r>
      <w:r>
        <w:rPr>
          <w:color w:val="231F20"/>
          <w:spacing w:val="-13"/>
        </w:rPr>
        <w:t> </w:t>
      </w:r>
      <w:r>
        <w:rPr>
          <w:color w:val="231F20"/>
        </w:rPr>
        <w:t>countries, and</w:t>
      </w:r>
      <w:r>
        <w:rPr>
          <w:color w:val="231F20"/>
          <w:spacing w:val="-18"/>
        </w:rPr>
        <w:t> </w:t>
      </w:r>
      <w:r>
        <w:rPr>
          <w:color w:val="231F20"/>
        </w:rPr>
        <w:t>the</w:t>
      </w:r>
      <w:r>
        <w:rPr>
          <w:color w:val="231F20"/>
          <w:spacing w:val="-18"/>
        </w:rPr>
        <w:t> </w:t>
      </w:r>
      <w:r>
        <w:rPr>
          <w:color w:val="231F20"/>
        </w:rPr>
        <w:t>International</w:t>
      </w:r>
      <w:r>
        <w:rPr>
          <w:color w:val="231F20"/>
          <w:spacing w:val="-18"/>
        </w:rPr>
        <w:t> </w:t>
      </w:r>
      <w:r>
        <w:rPr>
          <w:color w:val="231F20"/>
        </w:rPr>
        <w:t>Civil</w:t>
      </w:r>
      <w:r>
        <w:rPr>
          <w:color w:val="231F20"/>
          <w:spacing w:val="-18"/>
        </w:rPr>
        <w:t> </w:t>
      </w:r>
      <w:r>
        <w:rPr>
          <w:color w:val="231F20"/>
        </w:rPr>
        <w:t>Aviation</w:t>
      </w:r>
      <w:r>
        <w:rPr>
          <w:color w:val="231F20"/>
          <w:spacing w:val="-18"/>
        </w:rPr>
        <w:t> </w:t>
      </w:r>
      <w:r>
        <w:rPr>
          <w:color w:val="231F20"/>
        </w:rPr>
        <w:t>Organization</w:t>
      </w:r>
      <w:r>
        <w:rPr>
          <w:color w:val="231F20"/>
          <w:spacing w:val="-18"/>
        </w:rPr>
        <w:t> </w:t>
      </w:r>
      <w:r>
        <w:rPr>
          <w:color w:val="231F20"/>
        </w:rPr>
        <w:t>are</w:t>
      </w:r>
      <w:r>
        <w:rPr>
          <w:color w:val="231F20"/>
          <w:spacing w:val="-18"/>
        </w:rPr>
        <w:t> </w:t>
      </w:r>
      <w:r>
        <w:rPr>
          <w:color w:val="231F20"/>
        </w:rPr>
        <w:t>considering</w:t>
      </w:r>
      <w:r>
        <w:rPr>
          <w:color w:val="231F20"/>
          <w:spacing w:val="-18"/>
        </w:rPr>
        <w:t> </w:t>
      </w:r>
      <w:r>
        <w:rPr>
          <w:color w:val="231F20"/>
        </w:rPr>
        <w:t>legislative</w:t>
      </w:r>
      <w:r>
        <w:rPr>
          <w:color w:val="231F20"/>
          <w:spacing w:val="-18"/>
        </w:rPr>
        <w:t> </w:t>
      </w:r>
      <w:r>
        <w:rPr>
          <w:color w:val="231F20"/>
        </w:rPr>
        <w:t>and</w:t>
      </w:r>
      <w:r>
        <w:rPr>
          <w:color w:val="231F20"/>
          <w:spacing w:val="-18"/>
        </w:rPr>
        <w:t> </w:t>
      </w:r>
      <w:r>
        <w:rPr>
          <w:color w:val="231F20"/>
        </w:rPr>
        <w:t>regulatory</w:t>
      </w:r>
      <w:r>
        <w:rPr>
          <w:color w:val="231F20"/>
          <w:spacing w:val="-18"/>
        </w:rPr>
        <w:t> </w:t>
      </w:r>
      <w:r>
        <w:rPr>
          <w:color w:val="231F20"/>
        </w:rPr>
        <w:t>proposals</w:t>
      </w:r>
      <w:r>
        <w:rPr>
          <w:color w:val="231F20"/>
          <w:spacing w:val="-18"/>
        </w:rPr>
        <w:t> </w:t>
      </w:r>
      <w:r>
        <w:rPr>
          <w:color w:val="231F20"/>
        </w:rPr>
        <w:t>and</w:t>
      </w:r>
      <w:r>
        <w:rPr>
          <w:color w:val="231F20"/>
          <w:spacing w:val="-18"/>
        </w:rPr>
        <w:t> </w:t>
      </w:r>
      <w:r>
        <w:rPr>
          <w:color w:val="231F20"/>
        </w:rPr>
        <w:t>voluntary measures</w:t>
      </w:r>
      <w:r>
        <w:rPr>
          <w:color w:val="231F20"/>
          <w:spacing w:val="-15"/>
        </w:rPr>
        <w:t> </w:t>
      </w:r>
      <w:r>
        <w:rPr>
          <w:color w:val="231F20"/>
        </w:rPr>
        <w:t>to</w:t>
      </w:r>
      <w:r>
        <w:rPr>
          <w:color w:val="231F20"/>
          <w:spacing w:val="-15"/>
        </w:rPr>
        <w:t> </w:t>
      </w:r>
      <w:r>
        <w:rPr>
          <w:color w:val="231F20"/>
        </w:rPr>
        <w:t>address</w:t>
      </w:r>
      <w:r>
        <w:rPr>
          <w:color w:val="231F20"/>
          <w:spacing w:val="-15"/>
        </w:rPr>
        <w:t> </w:t>
      </w:r>
      <w:r>
        <w:rPr>
          <w:color w:val="231F20"/>
        </w:rPr>
        <w:t>climate</w:t>
      </w:r>
      <w:r>
        <w:rPr>
          <w:color w:val="231F20"/>
          <w:spacing w:val="-15"/>
        </w:rPr>
        <w:t> </w:t>
      </w:r>
      <w:r>
        <w:rPr>
          <w:color w:val="231F20"/>
        </w:rPr>
        <w:t>change</w:t>
      </w:r>
      <w:r>
        <w:rPr>
          <w:color w:val="231F20"/>
          <w:spacing w:val="-15"/>
        </w:rPr>
        <w:t> </w:t>
      </w:r>
      <w:r>
        <w:rPr>
          <w:color w:val="231F20"/>
        </w:rPr>
        <w:t>by</w:t>
      </w:r>
      <w:r>
        <w:rPr>
          <w:color w:val="231F20"/>
          <w:spacing w:val="-16"/>
        </w:rPr>
        <w:t> </w:t>
      </w:r>
      <w:r>
        <w:rPr>
          <w:color w:val="231F20"/>
        </w:rPr>
        <w:t>reducing</w:t>
      </w:r>
      <w:r>
        <w:rPr>
          <w:color w:val="231F20"/>
          <w:spacing w:val="-16"/>
        </w:rPr>
        <w:t> </w:t>
      </w:r>
      <w:r>
        <w:rPr>
          <w:color w:val="231F20"/>
        </w:rPr>
        <w:t>green-house</w:t>
      </w:r>
      <w:r>
        <w:rPr>
          <w:color w:val="231F20"/>
          <w:spacing w:val="-15"/>
        </w:rPr>
        <w:t> </w:t>
      </w:r>
      <w:r>
        <w:rPr>
          <w:color w:val="231F20"/>
        </w:rPr>
        <w:t>gas</w:t>
      </w:r>
      <w:r>
        <w:rPr>
          <w:color w:val="231F20"/>
          <w:spacing w:val="-15"/>
        </w:rPr>
        <w:t> </w:t>
      </w:r>
      <w:r>
        <w:rPr>
          <w:color w:val="231F20"/>
        </w:rPr>
        <w:t>emissions.</w:t>
      </w:r>
      <w:r>
        <w:rPr>
          <w:color w:val="231F20"/>
          <w:spacing w:val="-16"/>
        </w:rPr>
        <w:t> </w:t>
      </w:r>
      <w:r>
        <w:rPr>
          <w:color w:val="231F20"/>
        </w:rPr>
        <w:t>At</w:t>
      </w:r>
      <w:r>
        <w:rPr>
          <w:color w:val="231F20"/>
          <w:spacing w:val="-15"/>
        </w:rPr>
        <w:t> </w:t>
      </w:r>
      <w:r>
        <w:rPr>
          <w:color w:val="231F20"/>
        </w:rPr>
        <w:t>the</w:t>
      </w:r>
      <w:r>
        <w:rPr>
          <w:color w:val="231F20"/>
          <w:spacing w:val="-15"/>
        </w:rPr>
        <w:t> </w:t>
      </w:r>
      <w:r>
        <w:rPr>
          <w:color w:val="231F20"/>
        </w:rPr>
        <w:t>federal</w:t>
      </w:r>
      <w:r>
        <w:rPr>
          <w:color w:val="231F20"/>
          <w:spacing w:val="-15"/>
        </w:rPr>
        <w:t> </w:t>
      </w:r>
      <w:r>
        <w:rPr>
          <w:color w:val="231F20"/>
        </w:rPr>
        <w:t>level,</w:t>
      </w:r>
      <w:r>
        <w:rPr>
          <w:color w:val="231F20"/>
          <w:spacing w:val="-16"/>
        </w:rPr>
        <w:t> </w:t>
      </w:r>
      <w:r>
        <w:rPr>
          <w:color w:val="231F20"/>
        </w:rPr>
        <w:t>the</w:t>
      </w:r>
      <w:r>
        <w:rPr>
          <w:color w:val="231F20"/>
          <w:spacing w:val="-15"/>
        </w:rPr>
        <w:t> </w:t>
      </w:r>
      <w:r>
        <w:rPr>
          <w:color w:val="231F20"/>
        </w:rPr>
        <w:t>Environmental Protection</w:t>
      </w:r>
      <w:r>
        <w:rPr>
          <w:color w:val="231F20"/>
          <w:spacing w:val="-13"/>
        </w:rPr>
        <w:t> </w:t>
      </w:r>
      <w:r>
        <w:rPr>
          <w:color w:val="231F20"/>
        </w:rPr>
        <w:t>Agency’s</w:t>
      </w:r>
      <w:r>
        <w:rPr>
          <w:color w:val="231F20"/>
          <w:spacing w:val="-13"/>
        </w:rPr>
        <w:t> </w:t>
      </w:r>
      <w:r>
        <w:rPr>
          <w:color w:val="231F20"/>
        </w:rPr>
        <w:t>Endangerment</w:t>
      </w:r>
      <w:r>
        <w:rPr>
          <w:color w:val="231F20"/>
          <w:spacing w:val="-13"/>
        </w:rPr>
        <w:t> </w:t>
      </w:r>
      <w:r>
        <w:rPr>
          <w:color w:val="231F20"/>
        </w:rPr>
        <w:t>Finding</w:t>
      </w:r>
      <w:r>
        <w:rPr>
          <w:color w:val="231F20"/>
          <w:spacing w:val="-14"/>
        </w:rPr>
        <w:t> </w:t>
      </w:r>
      <w:r>
        <w:rPr>
          <w:color w:val="231F20"/>
        </w:rPr>
        <w:t>in</w:t>
      </w:r>
      <w:r>
        <w:rPr>
          <w:color w:val="231F20"/>
          <w:spacing w:val="-14"/>
        </w:rPr>
        <w:t> </w:t>
      </w:r>
      <w:r>
        <w:rPr>
          <w:color w:val="231F20"/>
        </w:rPr>
        <w:t>January</w:t>
      </w:r>
      <w:r>
        <w:rPr>
          <w:color w:val="231F20"/>
          <w:spacing w:val="-14"/>
        </w:rPr>
        <w:t> </w:t>
      </w:r>
      <w:r>
        <w:rPr>
          <w:color w:val="231F20"/>
        </w:rPr>
        <w:t>2010</w:t>
      </w:r>
      <w:r>
        <w:rPr>
          <w:color w:val="231F20"/>
          <w:spacing w:val="-14"/>
        </w:rPr>
        <w:t> </w:t>
      </w:r>
      <w:r>
        <w:rPr>
          <w:color w:val="231F20"/>
        </w:rPr>
        <w:t>regarding</w:t>
      </w:r>
      <w:r>
        <w:rPr>
          <w:color w:val="231F20"/>
          <w:spacing w:val="-14"/>
        </w:rPr>
        <w:t> </w:t>
      </w:r>
      <w:r>
        <w:rPr>
          <w:color w:val="231F20"/>
        </w:rPr>
        <w:t>greenhouse</w:t>
      </w:r>
      <w:r>
        <w:rPr>
          <w:color w:val="231F20"/>
          <w:spacing w:val="-13"/>
        </w:rPr>
        <w:t> </w:t>
      </w:r>
      <w:r>
        <w:rPr>
          <w:color w:val="231F20"/>
        </w:rPr>
        <w:t>gas</w:t>
      </w:r>
      <w:r>
        <w:rPr>
          <w:color w:val="231F20"/>
          <w:spacing w:val="-13"/>
        </w:rPr>
        <w:t> </w:t>
      </w:r>
      <w:r>
        <w:rPr>
          <w:color w:val="231F20"/>
        </w:rPr>
        <w:t>emissions</w:t>
      </w:r>
      <w:r>
        <w:rPr>
          <w:color w:val="231F20"/>
          <w:spacing w:val="-13"/>
        </w:rPr>
        <w:t> </w:t>
      </w:r>
      <w:r>
        <w:rPr>
          <w:color w:val="231F20"/>
        </w:rPr>
        <w:t>set</w:t>
      </w:r>
      <w:r>
        <w:rPr>
          <w:color w:val="231F20"/>
          <w:spacing w:val="-13"/>
        </w:rPr>
        <w:t> </w:t>
      </w:r>
      <w:r>
        <w:rPr>
          <w:color w:val="231F20"/>
        </w:rPr>
        <w:t>the</w:t>
      </w:r>
      <w:r>
        <w:rPr>
          <w:color w:val="231F20"/>
          <w:spacing w:val="-13"/>
        </w:rPr>
        <w:t> </w:t>
      </w:r>
      <w:r>
        <w:rPr>
          <w:color w:val="231F20"/>
        </w:rPr>
        <w:t>stage</w:t>
      </w:r>
      <w:r>
        <w:rPr>
          <w:color w:val="231F20"/>
          <w:spacing w:val="-13"/>
        </w:rPr>
        <w:t> </w:t>
      </w:r>
      <w:r>
        <w:rPr>
          <w:color w:val="231F20"/>
          <w:spacing w:val="-2"/>
        </w:rPr>
        <w:t>for </w:t>
      </w:r>
      <w:r>
        <w:rPr>
          <w:color w:val="231F20"/>
        </w:rPr>
        <w:t>possible</w:t>
      </w:r>
      <w:r>
        <w:rPr>
          <w:color w:val="231F20"/>
          <w:spacing w:val="-15"/>
        </w:rPr>
        <w:t> </w:t>
      </w:r>
      <w:r>
        <w:rPr>
          <w:color w:val="231F20"/>
        </w:rPr>
        <w:t>legislative</w:t>
      </w:r>
      <w:r>
        <w:rPr>
          <w:color w:val="231F20"/>
          <w:spacing w:val="-15"/>
        </w:rPr>
        <w:t> </w:t>
      </w:r>
      <w:r>
        <w:rPr>
          <w:color w:val="231F20"/>
        </w:rPr>
        <w:t>or</w:t>
      </w:r>
      <w:r>
        <w:rPr>
          <w:color w:val="231F20"/>
          <w:spacing w:val="-15"/>
        </w:rPr>
        <w:t> </w:t>
      </w:r>
      <w:r>
        <w:rPr>
          <w:color w:val="231F20"/>
        </w:rPr>
        <w:t>regulatory</w:t>
      </w:r>
      <w:r>
        <w:rPr>
          <w:color w:val="231F20"/>
          <w:spacing w:val="-16"/>
        </w:rPr>
        <w:t> </w:t>
      </w:r>
      <w:r>
        <w:rPr>
          <w:color w:val="231F20"/>
        </w:rPr>
        <w:t>action</w:t>
      </w:r>
      <w:r>
        <w:rPr>
          <w:color w:val="231F20"/>
          <w:spacing w:val="-16"/>
        </w:rPr>
        <w:t> </w:t>
      </w:r>
      <w:r>
        <w:rPr>
          <w:color w:val="231F20"/>
        </w:rPr>
        <w:t>to</w:t>
      </w:r>
      <w:r>
        <w:rPr>
          <w:color w:val="231F20"/>
          <w:spacing w:val="-16"/>
        </w:rPr>
        <w:t> </w:t>
      </w:r>
      <w:r>
        <w:rPr>
          <w:color w:val="231F20"/>
        </w:rPr>
        <w:t>reduce</w:t>
      </w:r>
      <w:r>
        <w:rPr>
          <w:color w:val="231F20"/>
          <w:spacing w:val="-15"/>
        </w:rPr>
        <w:t> </w:t>
      </w:r>
      <w:r>
        <w:rPr>
          <w:color w:val="231F20"/>
        </w:rPr>
        <w:t>greenhouse</w:t>
      </w:r>
      <w:r>
        <w:rPr>
          <w:color w:val="231F20"/>
          <w:spacing w:val="-15"/>
        </w:rPr>
        <w:t> </w:t>
      </w:r>
      <w:r>
        <w:rPr>
          <w:color w:val="231F20"/>
        </w:rPr>
        <w:t>gas</w:t>
      </w:r>
      <w:r>
        <w:rPr>
          <w:color w:val="231F20"/>
          <w:spacing w:val="-15"/>
        </w:rPr>
        <w:t> </w:t>
      </w:r>
      <w:r>
        <w:rPr>
          <w:color w:val="231F20"/>
        </w:rPr>
        <w:t>emissions</w:t>
      </w:r>
      <w:r>
        <w:rPr>
          <w:color w:val="231F20"/>
          <w:spacing w:val="-15"/>
        </w:rPr>
        <w:t> </w:t>
      </w:r>
      <w:r>
        <w:rPr>
          <w:color w:val="231F20"/>
        </w:rPr>
        <w:t>from</w:t>
      </w:r>
      <w:r>
        <w:rPr>
          <w:color w:val="231F20"/>
          <w:spacing w:val="-15"/>
        </w:rPr>
        <w:t> </w:t>
      </w:r>
      <w:r>
        <w:rPr>
          <w:color w:val="231F20"/>
        </w:rPr>
        <w:t>various</w:t>
      </w:r>
      <w:r>
        <w:rPr>
          <w:color w:val="231F20"/>
          <w:spacing w:val="-15"/>
        </w:rPr>
        <w:t> </w:t>
      </w:r>
      <w:r>
        <w:rPr>
          <w:color w:val="231F20"/>
        </w:rPr>
        <w:t>segments</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economy, including from aviation. The airline industry could be affected directly through new unfunded mandates or indirectly</w:t>
      </w:r>
      <w:r>
        <w:rPr>
          <w:color w:val="231F20"/>
          <w:spacing w:val="-12"/>
        </w:rPr>
        <w:t> </w:t>
      </w:r>
      <w:r>
        <w:rPr>
          <w:color w:val="231F20"/>
        </w:rPr>
        <w:t>through</w:t>
      </w:r>
      <w:r>
        <w:rPr>
          <w:color w:val="231F20"/>
          <w:spacing w:val="-13"/>
        </w:rPr>
        <w:t> </w:t>
      </w:r>
      <w:r>
        <w:rPr>
          <w:color w:val="231F20"/>
        </w:rPr>
        <w:t>higher</w:t>
      </w:r>
      <w:r>
        <w:rPr>
          <w:color w:val="231F20"/>
          <w:spacing w:val="-12"/>
        </w:rPr>
        <w:t> </w:t>
      </w:r>
      <w:r>
        <w:rPr>
          <w:color w:val="231F20"/>
        </w:rPr>
        <w:t>fuel</w:t>
      </w:r>
      <w:r>
        <w:rPr>
          <w:color w:val="231F20"/>
          <w:spacing w:val="-12"/>
        </w:rPr>
        <w:t> </w:t>
      </w:r>
      <w:r>
        <w:rPr>
          <w:color w:val="231F20"/>
        </w:rPr>
        <w:t>costs</w:t>
      </w:r>
      <w:r>
        <w:rPr>
          <w:color w:val="231F20"/>
          <w:spacing w:val="-12"/>
        </w:rPr>
        <w:t> </w:t>
      </w:r>
      <w:r>
        <w:rPr>
          <w:color w:val="231F20"/>
        </w:rPr>
        <w:t>as</w:t>
      </w:r>
      <w:r>
        <w:rPr>
          <w:color w:val="231F20"/>
          <w:spacing w:val="-12"/>
        </w:rPr>
        <w:t> </w:t>
      </w:r>
      <w:r>
        <w:rPr>
          <w:color w:val="231F20"/>
        </w:rPr>
        <w:t>fuel</w:t>
      </w:r>
      <w:r>
        <w:rPr>
          <w:color w:val="231F20"/>
          <w:spacing w:val="-12"/>
        </w:rPr>
        <w:t> </w:t>
      </w:r>
      <w:r>
        <w:rPr>
          <w:color w:val="231F20"/>
        </w:rPr>
        <w:t>providers</w:t>
      </w:r>
      <w:r>
        <w:rPr>
          <w:color w:val="231F20"/>
          <w:spacing w:val="-12"/>
        </w:rPr>
        <w:t> </w:t>
      </w:r>
      <w:r>
        <w:rPr>
          <w:color w:val="231F20"/>
        </w:rPr>
        <w:t>pass</w:t>
      </w:r>
      <w:r>
        <w:rPr>
          <w:color w:val="231F20"/>
          <w:spacing w:val="-12"/>
        </w:rPr>
        <w:t> </w:t>
      </w:r>
      <w:r>
        <w:rPr>
          <w:color w:val="231F20"/>
        </w:rPr>
        <w:t>on</w:t>
      </w:r>
      <w:r>
        <w:rPr>
          <w:color w:val="231F20"/>
          <w:spacing w:val="-13"/>
        </w:rPr>
        <w:t> </w:t>
      </w:r>
      <w:r>
        <w:rPr>
          <w:color w:val="231F20"/>
        </w:rPr>
        <w:t>any</w:t>
      </w:r>
      <w:r>
        <w:rPr>
          <w:color w:val="231F20"/>
          <w:spacing w:val="-13"/>
        </w:rPr>
        <w:t> </w:t>
      </w:r>
      <w:r>
        <w:rPr>
          <w:color w:val="231F20"/>
        </w:rPr>
        <w:t>additional</w:t>
      </w:r>
      <w:r>
        <w:rPr>
          <w:color w:val="231F20"/>
          <w:spacing w:val="-12"/>
        </w:rPr>
        <w:t> </w:t>
      </w:r>
      <w:r>
        <w:rPr>
          <w:color w:val="231F20"/>
        </w:rPr>
        <w:t>costs</w:t>
      </w:r>
      <w:r>
        <w:rPr>
          <w:color w:val="231F20"/>
          <w:spacing w:val="-12"/>
        </w:rPr>
        <w:t> </w:t>
      </w:r>
      <w:r>
        <w:rPr>
          <w:color w:val="231F20"/>
        </w:rPr>
        <w:t>to</w:t>
      </w:r>
      <w:r>
        <w:rPr>
          <w:color w:val="231F20"/>
          <w:spacing w:val="-13"/>
        </w:rPr>
        <w:t> </w:t>
      </w:r>
      <w:r>
        <w:rPr>
          <w:color w:val="231F20"/>
        </w:rPr>
        <w:t>fuel</w:t>
      </w:r>
      <w:r>
        <w:rPr>
          <w:color w:val="231F20"/>
          <w:spacing w:val="-12"/>
        </w:rPr>
        <w:t> </w:t>
      </w:r>
      <w:r>
        <w:rPr>
          <w:color w:val="231F20"/>
        </w:rPr>
        <w:t>consumers.</w:t>
      </w:r>
      <w:r>
        <w:rPr>
          <w:color w:val="231F20"/>
          <w:spacing w:val="-13"/>
        </w:rPr>
        <w:t> </w:t>
      </w:r>
      <w:r>
        <w:rPr>
          <w:color w:val="231F20"/>
        </w:rPr>
        <w:t>Regardless</w:t>
      </w:r>
      <w:r>
        <w:rPr>
          <w:color w:val="231F20"/>
          <w:spacing w:val="-12"/>
        </w:rPr>
        <w:t> </w:t>
      </w:r>
      <w:r>
        <w:rPr>
          <w:color w:val="231F20"/>
        </w:rPr>
        <w:t>of the method of regulation, policy changes with regards to climate change are possible, which could significantly increase</w:t>
      </w:r>
      <w:r>
        <w:rPr>
          <w:color w:val="231F20"/>
          <w:spacing w:val="-15"/>
        </w:rPr>
        <w:t> </w:t>
      </w:r>
      <w:r>
        <w:rPr>
          <w:color w:val="231F20"/>
        </w:rPr>
        <w:t>operating</w:t>
      </w:r>
      <w:r>
        <w:rPr>
          <w:color w:val="231F20"/>
          <w:spacing w:val="-15"/>
        </w:rPr>
        <w:t> </w:t>
      </w:r>
      <w:r>
        <w:rPr>
          <w:color w:val="231F20"/>
        </w:rPr>
        <w:t>costs</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airline</w:t>
      </w:r>
      <w:r>
        <w:rPr>
          <w:color w:val="231F20"/>
          <w:spacing w:val="-15"/>
        </w:rPr>
        <w:t> </w:t>
      </w:r>
      <w:r>
        <w:rPr>
          <w:color w:val="231F20"/>
        </w:rPr>
        <w:t>industry</w:t>
      </w:r>
      <w:r>
        <w:rPr>
          <w:color w:val="231F20"/>
          <w:spacing w:val="-15"/>
        </w:rPr>
        <w:t> </w:t>
      </w:r>
      <w:r>
        <w:rPr>
          <w:color w:val="231F20"/>
        </w:rPr>
        <w:t>and,</w:t>
      </w:r>
      <w:r>
        <w:rPr>
          <w:color w:val="231F20"/>
          <w:spacing w:val="-15"/>
        </w:rPr>
        <w:t> </w:t>
      </w:r>
      <w:r>
        <w:rPr>
          <w:color w:val="231F20"/>
        </w:rPr>
        <w:t>as</w:t>
      </w:r>
      <w:r>
        <w:rPr>
          <w:color w:val="231F20"/>
          <w:spacing w:val="-15"/>
        </w:rPr>
        <w:t> </w:t>
      </w:r>
      <w:r>
        <w:rPr>
          <w:color w:val="231F20"/>
        </w:rPr>
        <w:t>a</w:t>
      </w:r>
      <w:r>
        <w:rPr>
          <w:color w:val="231F20"/>
          <w:spacing w:val="-15"/>
        </w:rPr>
        <w:t> </w:t>
      </w:r>
      <w:r>
        <w:rPr>
          <w:color w:val="231F20"/>
        </w:rPr>
        <w:t>result,</w:t>
      </w:r>
      <w:r>
        <w:rPr>
          <w:color w:val="231F20"/>
          <w:spacing w:val="-15"/>
        </w:rPr>
        <w:t> </w:t>
      </w:r>
      <w:r>
        <w:rPr>
          <w:color w:val="231F20"/>
        </w:rPr>
        <w:t>adversely</w:t>
      </w:r>
      <w:r>
        <w:rPr>
          <w:color w:val="231F20"/>
          <w:spacing w:val="-15"/>
        </w:rPr>
        <w:t> </w:t>
      </w:r>
      <w:r>
        <w:rPr>
          <w:color w:val="231F20"/>
        </w:rPr>
        <w:t>affect</w:t>
      </w:r>
      <w:r>
        <w:rPr>
          <w:color w:val="231F20"/>
          <w:spacing w:val="-15"/>
        </w:rPr>
        <w:t> </w:t>
      </w:r>
      <w:r>
        <w:rPr>
          <w:color w:val="231F20"/>
        </w:rPr>
        <w:t>operations.</w:t>
      </w:r>
    </w:p>
    <w:p>
      <w:pPr>
        <w:spacing w:after="0" w:line="249" w:lineRule="auto"/>
        <w:sectPr>
          <w:pgSz w:w="11880" w:h="15480"/>
          <w:pgMar w:header="0" w:footer="1253" w:top="1240" w:bottom="1440" w:left="1280" w:right="1280"/>
        </w:sectPr>
      </w:pPr>
    </w:p>
    <w:p>
      <w:pPr>
        <w:pStyle w:val="BodyText"/>
        <w:spacing w:line="249" w:lineRule="auto" w:before="73"/>
        <w:ind w:left="100" w:right="165" w:firstLine="490"/>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air carriers to expand operations at the affected airports.</w:t>
      </w:r>
    </w:p>
    <w:p>
      <w:pPr>
        <w:pStyle w:val="BodyText"/>
        <w:spacing w:line="249" w:lineRule="auto" w:before="181"/>
        <w:ind w:left="100" w:right="233" w:firstLine="490"/>
      </w:pPr>
      <w:r>
        <w:rPr>
          <w:color w:val="231F20"/>
        </w:rPr>
        <w:t>As part of its commitment to corporate sustainability, the Company has published the Southwest One Report</w:t>
      </w:r>
      <w:r>
        <w:rPr>
          <w:color w:val="231F20"/>
          <w:position w:val="5"/>
          <w:sz w:val="13"/>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Containment,”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low-cost philosophy.</w:t>
      </w:r>
    </w:p>
    <w:p>
      <w:pPr>
        <w:pStyle w:val="Heading3"/>
        <w:spacing w:before="181"/>
        <w:ind w:left="350"/>
      </w:pPr>
      <w:r>
        <w:rPr>
          <w:color w:val="231F20"/>
        </w:rPr>
        <w:t>International Regulation</w:t>
      </w:r>
    </w:p>
    <w:p>
      <w:pPr>
        <w:pStyle w:val="BodyText"/>
        <w:spacing w:line="249" w:lineRule="auto" w:before="189"/>
        <w:ind w:left="100" w:right="248" w:firstLine="490"/>
      </w:pPr>
      <w:r>
        <w:rPr>
          <w:color w:val="231F20"/>
        </w:rPr>
        <w:t>All international service is subject to certain federal requirements and approvals, as well as the regulatory requirements of the appropriate authorities of the foreign countries involved. Southwest and AirTran have obtained the necessary economic authority from the DOT, as well as FAA approvals, to conduct operations, under certain circumstances, outside of the continental United States. To the extent the Company seeks to serve additional international routes in the future, it will be required to obtain necessary authority from the DOT and approvals from the FAA, as well as any applicable foreign government or other authority.</w:t>
      </w:r>
    </w:p>
    <w:p>
      <w:pPr>
        <w:pStyle w:val="BodyText"/>
        <w:spacing w:line="249" w:lineRule="auto" w:before="180"/>
        <w:ind w:left="100" w:right="109" w:firstLine="490"/>
      </w:pPr>
      <w:r>
        <w:rPr>
          <w:color w:val="231F20"/>
        </w:rPr>
        <w:t>Moreover, CBP is the federal enforcement agency of the U.S. Department of Homeland Security charged with facilitating international trade, collecting import duties, and enforcing U.S. regulations with respect to trade, customs, and immigration. As the Company expands its international flight offerings, CBP will become an increasingly important federal presence. For instance, arriving international flights may only land at CBP- designated airports, and CBP officers must be present and in sufficient quantities to effectively process and inspect arriving international passengers and cargo. Thus, CBP personnel and CBP-mandated procedures can affect the Company’s operations, costs, and Customer experience. The Company will make significant investments in facilities, equipment, and technologies at certain airports in order to improve the Customer experience and to assist CBP with the inspection and processing duties; however, the Company is not able to predict the impact, if any, that various CBP measures or the lack of CBP resources will have on Company revenues and costs, either in the short term or the long term.</w:t>
      </w:r>
    </w:p>
    <w:p>
      <w:pPr>
        <w:pStyle w:val="Heading3"/>
        <w:spacing w:before="180"/>
      </w:pPr>
      <w:r>
        <w:rPr>
          <w:color w:val="231F20"/>
        </w:rPr>
        <w:t>Insurance</w:t>
      </w:r>
    </w:p>
    <w:p>
      <w:pPr>
        <w:pStyle w:val="BodyText"/>
        <w:spacing w:line="249" w:lineRule="auto" w:before="189"/>
        <w:ind w:left="100" w:right="109" w:firstLine="490"/>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w:t>
      </w:r>
    </w:p>
    <w:p>
      <w:pPr>
        <w:pStyle w:val="BodyText"/>
        <w:spacing w:line="249" w:lineRule="auto" w:before="181"/>
        <w:ind w:left="100" w:right="154" w:firstLine="490"/>
      </w:pPr>
      <w:r>
        <w:rPr>
          <w:color w:val="231F20"/>
        </w:rPr>
        <w:t>Through the 2003 Emergency Wartime Supplemental Appropriations Act (the “Wartime Act”), the federal government has provided war-risk insurance coverage to commercial carriers, including for losses from terrorism, for passengers, third parties (ground damage), and the aircraft hull. The government-provided supplemental coverage from the Wartime Act is currently set to expire on September 30, 2014. It is uncertain whether further extensions will be granted. The withdrawal of government support of airline war-risk insurance would require the Company to obtain war-risk insurance coverage commercially. Such commercial insurance could have material differences in coverage than currently provided by the U.S. government and may not be adequate to protect the Company’s risk of loss from future acts of terrorism.</w:t>
      </w:r>
    </w:p>
    <w:p>
      <w:pPr>
        <w:spacing w:after="0" w:line="249" w:lineRule="auto"/>
        <w:sectPr>
          <w:pgSz w:w="11880" w:h="15480"/>
          <w:pgMar w:header="0" w:footer="1253" w:top="1240" w:bottom="1440" w:left="1280" w:right="1300"/>
        </w:sectPr>
      </w:pPr>
    </w:p>
    <w:p>
      <w:pPr>
        <w:pStyle w:val="Heading3"/>
        <w:spacing w:before="73"/>
      </w:pPr>
      <w:r>
        <w:rPr>
          <w:color w:val="231F20"/>
        </w:rPr>
        <w:t>Competition</w:t>
      </w:r>
    </w:p>
    <w:p>
      <w:pPr>
        <w:pStyle w:val="BodyText"/>
        <w:spacing w:before="1"/>
        <w:rPr>
          <w:b/>
          <w:sz w:val="18"/>
        </w:rPr>
      </w:pPr>
    </w:p>
    <w:p>
      <w:pPr>
        <w:pStyle w:val="BodyText"/>
        <w:spacing w:line="249" w:lineRule="auto"/>
        <w:ind w:left="100" w:right="130" w:firstLine="490"/>
      </w:pPr>
      <w:r>
        <w:rPr>
          <w:color w:val="231F20"/>
        </w:rPr>
        <w:t>Competition within the airline industry is intense and highly unpredictable, and Southwest and AirTran currently compete with other airlines on a majority of the Company’s scheduled routes. Key competitive factors within the airline industry include (i) pricing and cost structure; (ii) routes, frequent flyer programs, and schedules; and (iii) customer service, comfort, and amenities. Southwest and AirTran also compete for customers with other forms of transportation, as well as alternatives to travel. In recent years, the majority of domestic airline service has been provided by Southwest and the other largest major U.S. airlines, including American Airlines, Delta Air Lines, United Airlines, and US Airways. In 2013, the parent company of American Airlines emerged from bankruptcy and merged with US Airways Group, Inc. The newly merged entity is the parent company of the following operating carriers: American Airlines, American Eagle Airlines (expected to be branded as Envoy beginning in early 2014), US Airways, US Airways Shuttle, and US Airways Express. The DOT defines the major U.S. airlines as those airlines with annual revenues of at least $1 billion; there are currently 14 passenger airlines offering scheduled service, including Southwest, meeting this standard.</w:t>
      </w:r>
    </w:p>
    <w:p>
      <w:pPr>
        <w:pStyle w:val="BodyText"/>
        <w:spacing w:before="3"/>
        <w:rPr>
          <w:sz w:val="17"/>
        </w:rPr>
      </w:pPr>
    </w:p>
    <w:p>
      <w:pPr>
        <w:pStyle w:val="Heading3"/>
        <w:spacing w:before="1"/>
        <w:ind w:left="350"/>
      </w:pPr>
      <w:r>
        <w:rPr>
          <w:color w:val="231F20"/>
        </w:rPr>
        <w:t>Pricing and Cost Structure</w:t>
      </w:r>
    </w:p>
    <w:p>
      <w:pPr>
        <w:pStyle w:val="BodyText"/>
        <w:spacing w:before="2"/>
        <w:rPr>
          <w:b/>
          <w:sz w:val="18"/>
        </w:rPr>
      </w:pPr>
    </w:p>
    <w:p>
      <w:pPr>
        <w:pStyle w:val="BodyText"/>
        <w:spacing w:line="249" w:lineRule="auto"/>
        <w:ind w:left="100" w:right="162" w:firstLine="490"/>
      </w:pPr>
      <w:r>
        <w:rPr>
          <w:color w:val="231F20"/>
        </w:rPr>
        <w:t>Pricing is a significant competitive factor in the airline industry, and the increased availability of fare information on the Internet allows travelers to easily compare fares and identify competitor promotions and discounts.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 fares. These factors can reduce the pricing power of the Company and the airline industry as a whole.</w:t>
      </w:r>
    </w:p>
    <w:p>
      <w:pPr>
        <w:pStyle w:val="BodyText"/>
        <w:spacing w:before="4"/>
        <w:rPr>
          <w:sz w:val="17"/>
        </w:rPr>
      </w:pPr>
    </w:p>
    <w:p>
      <w:pPr>
        <w:pStyle w:val="BodyText"/>
        <w:spacing w:line="249" w:lineRule="auto"/>
        <w:ind w:left="100" w:right="252" w:firstLine="490"/>
      </w:pPr>
      <w:r>
        <w:rPr>
          <w:color w:val="231F20"/>
        </w:rPr>
        <w:t>The Company believes its low-cost operating structure continues to provide it with an advantage over many of its airline competitors by enabling Southwest and AirTran to continue to charge low fares. The Company also believes it has gained a competitive advantage by differentiating Southwest from all of its major competitors by not charging additional fees for items such as first and second checked bags, flight changes, seat selection, fuel surcharges, snacks, curb-side checkin, and telephone reservations.</w:t>
      </w:r>
    </w:p>
    <w:p>
      <w:pPr>
        <w:pStyle w:val="BodyText"/>
        <w:spacing w:before="4"/>
        <w:rPr>
          <w:sz w:val="17"/>
        </w:rPr>
      </w:pPr>
    </w:p>
    <w:p>
      <w:pPr>
        <w:pStyle w:val="Heading3"/>
        <w:ind w:left="350"/>
      </w:pPr>
      <w:r>
        <w:rPr>
          <w:color w:val="231F20"/>
        </w:rPr>
        <w:t>Routes, Frequent Flyer Programs, and Schedules</w:t>
      </w:r>
    </w:p>
    <w:p>
      <w:pPr>
        <w:pStyle w:val="BodyText"/>
        <w:spacing w:before="1"/>
        <w:rPr>
          <w:b/>
          <w:sz w:val="18"/>
        </w:rPr>
      </w:pPr>
    </w:p>
    <w:p>
      <w:pPr>
        <w:pStyle w:val="BodyText"/>
        <w:spacing w:line="249" w:lineRule="auto" w:before="1"/>
        <w:ind w:left="100" w:right="116" w:firstLine="490"/>
      </w:pPr>
      <w:r>
        <w:rPr>
          <w:color w:val="231F20"/>
        </w:rPr>
        <w:t>The Company also competes with other airlines based on markets served, frequent flyer opportunities, and flight schedules. Some major airlines have more extensive route structures than Southwest and AirTran,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For example,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 (i) offer its customers access to more destinations than it would be able to serve on its</w:t>
      </w:r>
      <w:r>
        <w:rPr>
          <w:color w:val="231F20"/>
          <w:spacing w:val="13"/>
        </w:rPr>
        <w:t> </w:t>
      </w:r>
      <w:r>
        <w:rPr>
          <w:color w:val="231F20"/>
        </w:rPr>
        <w:t>own,</w:t>
      </w:r>
    </w:p>
    <w:p>
      <w:pPr>
        <w:pStyle w:val="BodyText"/>
        <w:spacing w:line="249" w:lineRule="auto" w:before="1"/>
        <w:ind w:left="100" w:right="129"/>
      </w:pPr>
      <w:r>
        <w:rPr>
          <w:color w:val="231F20"/>
        </w:rPr>
        <w:t>(ii)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Southwest and AirTran to offer additional itineraries. In addition, the Company’s acquisition of AirTran enabled the Company to (i) expand its presence in key markets Southwest already served, (ii) grow the Company’s</w:t>
      </w:r>
    </w:p>
    <w:p>
      <w:pPr>
        <w:spacing w:after="0" w:line="249" w:lineRule="auto"/>
        <w:sectPr>
          <w:footerReference w:type="default" r:id="rId10"/>
          <w:pgSz w:w="11880" w:h="15480"/>
          <w:pgMar w:footer="1253" w:header="0" w:top="1240" w:bottom="1440" w:left="1280" w:right="1280"/>
        </w:sectPr>
      </w:pPr>
    </w:p>
    <w:p>
      <w:pPr>
        <w:pStyle w:val="BodyText"/>
        <w:spacing w:line="249" w:lineRule="auto" w:before="73"/>
        <w:ind w:left="100" w:right="257"/>
      </w:pPr>
      <w:r>
        <w:rPr>
          <w:color w:val="231F20"/>
        </w:rPr>
        <w:t>presence in key markets Southwest did not previously serve, (iii) extend service to smaller domestic cities Southwest did not previously serve, and (iv) provide access to the Commonwealth of Puerto Rico and key near- international markets in the Caribbean and Mexico.</w:t>
      </w:r>
    </w:p>
    <w:p>
      <w:pPr>
        <w:pStyle w:val="Heading3"/>
        <w:spacing w:before="150"/>
        <w:ind w:left="350"/>
      </w:pPr>
      <w:r>
        <w:rPr>
          <w:color w:val="231F20"/>
        </w:rPr>
        <w:t>Customer Service, Comfort, and Amenities</w:t>
      </w:r>
    </w:p>
    <w:p>
      <w:pPr>
        <w:pStyle w:val="BodyText"/>
        <w:spacing w:line="249" w:lineRule="auto" w:before="159"/>
        <w:ind w:left="100" w:right="152" w:firstLine="490"/>
      </w:pPr>
      <w:r>
        <w:rPr>
          <w:color w:val="231F20"/>
        </w:rPr>
        <w:t>Southwest and AirTran also compete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including AirTran, have more seating options and associated passenger amenities than does Southwest, including first-class, business class, and other premium seating and related amenities. Additionally, some major U.S. airlines have announced plans to add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 fleet. The Company is addressing this competitive factor with its fleet modernization initiatives, which are discussed above under “Operating Strategies and Initiatives — Fleet Modernization” and “Operating Strategies and Initiatives — Continued Incorporation of the Larger Boeing 737-800 into the Southwest Fleet.”</w:t>
      </w:r>
    </w:p>
    <w:p>
      <w:pPr>
        <w:pStyle w:val="Heading3"/>
        <w:spacing w:before="150"/>
        <w:ind w:left="350"/>
      </w:pPr>
      <w:r>
        <w:rPr>
          <w:color w:val="231F20"/>
        </w:rPr>
        <w:t>Other Forms of Competition</w:t>
      </w:r>
    </w:p>
    <w:p>
      <w:pPr>
        <w:pStyle w:val="BodyText"/>
        <w:spacing w:line="249" w:lineRule="auto" w:before="159"/>
        <w:ind w:left="100" w:right="180" w:firstLine="490"/>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pStyle w:val="Heading3"/>
        <w:spacing w:before="150"/>
      </w:pPr>
      <w:r>
        <w:rPr>
          <w:color w:val="231F20"/>
        </w:rPr>
        <w:t>Seasonality</w:t>
      </w:r>
    </w:p>
    <w:p>
      <w:pPr>
        <w:pStyle w:val="BodyText"/>
        <w:spacing w:line="249" w:lineRule="auto" w:before="159"/>
        <w:ind w:left="100" w:right="256" w:firstLine="490"/>
      </w:pPr>
      <w:r>
        <w:rPr>
          <w:color w:val="231F20"/>
        </w:rPr>
        <w:t>The Company’s business is somewhat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Heading3"/>
        <w:spacing w:before="150"/>
      </w:pPr>
      <w:r>
        <w:rPr>
          <w:color w:val="231F20"/>
        </w:rPr>
        <w:t>Employees</w:t>
      </w:r>
    </w:p>
    <w:p>
      <w:pPr>
        <w:pStyle w:val="BodyText"/>
        <w:spacing w:line="249" w:lineRule="auto" w:before="158"/>
        <w:ind w:left="100" w:right="107" w:firstLine="400"/>
      </w:pPr>
      <w:r>
        <w:rPr>
          <w:color w:val="231F20"/>
        </w:rPr>
        <w:t>At December 31, 2013, the Company had 44,831 active fulltime equivalent Employees, consisting of 19,003 flight, 2,689 maintenance, 15,464 ground, Customer, and fleet service, and 7,675 management,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w:t>
      </w:r>
    </w:p>
    <w:p>
      <w:pPr>
        <w:spacing w:after="0" w:line="249" w:lineRule="auto"/>
        <w:sectPr>
          <w:footerReference w:type="default" r:id="rId11"/>
          <w:pgSz w:w="11880" w:h="15480"/>
          <w:pgMar w:footer="1253" w:header="0" w:top="1240" w:bottom="1440" w:left="1280" w:right="1280"/>
          <w:pgNumType w:start="21"/>
        </w:sectPr>
      </w:pPr>
    </w:p>
    <w:p>
      <w:pPr>
        <w:pStyle w:val="BodyText"/>
        <w:spacing w:line="249" w:lineRule="auto" w:before="73"/>
        <w:ind w:left="120" w:right="132"/>
      </w:pPr>
      <w:r>
        <w:rPr>
          <w:color w:val="231F20"/>
        </w:rPr>
        <w:t>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“self-help.” “Self-help” includes, among other things, a strike by the union or the airline’s imposition of any or all of its proposed amendments and the hiring of new employees to replace any striking workers. Following the AirTran acquisition, the various Company labor groups were covered by 18 different collective-bargaining agreements (“CBAs”). As noted in the table below, AirTran Employees in certain labor groups have transitioned to Southwest Employees under a single contract. The following table sets forth the Company’s Employee groups and the status of the respective</w:t>
      </w:r>
      <w:r>
        <w:rPr>
          <w:color w:val="231F20"/>
          <w:spacing w:val="2"/>
        </w:rPr>
        <w:t> </w:t>
      </w:r>
      <w:r>
        <w:rPr>
          <w:color w:val="231F20"/>
        </w:rPr>
        <w:t>CBAs:</w:t>
      </w:r>
    </w:p>
    <w:p>
      <w:pPr>
        <w:pStyle w:val="Heading3"/>
        <w:tabs>
          <w:tab w:pos="3539" w:val="left" w:leader="none"/>
          <w:tab w:pos="6799" w:val="left" w:leader="none"/>
        </w:tabs>
        <w:spacing w:before="141" w:after="17"/>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8"/>
        <w:rPr>
          <w:b/>
          <w:sz w:val="17"/>
        </w:rPr>
      </w:pPr>
    </w:p>
    <w:p>
      <w:pPr>
        <w:spacing w:after="0"/>
        <w:rPr>
          <w:sz w:val="17"/>
        </w:rPr>
        <w:sectPr>
          <w:pgSz w:w="11880" w:h="15480"/>
          <w:pgMar w:header="0" w:footer="1253" w:top="1240" w:bottom="1440" w:left="1260" w:right="1260"/>
        </w:sectPr>
      </w:pPr>
    </w:p>
    <w:p>
      <w:pPr>
        <w:pStyle w:val="BodyText"/>
        <w:tabs>
          <w:tab w:pos="3539" w:val="left" w:leader="none"/>
        </w:tabs>
        <w:spacing w:line="249" w:lineRule="auto" w:before="89"/>
        <w:ind w:left="3540" w:hanging="3420"/>
      </w:pPr>
      <w:r>
        <w:rPr>
          <w:color w:val="231F20"/>
        </w:rPr>
        <w:t>Southwest Pilots</w:t>
        <w:tab/>
        <w:t>Southwest Airlines</w:t>
      </w:r>
      <w:r>
        <w:rPr>
          <w:color w:val="231F20"/>
          <w:spacing w:val="1"/>
        </w:rPr>
        <w:t> </w:t>
      </w:r>
      <w:r>
        <w:rPr>
          <w:color w:val="231F20"/>
        </w:rPr>
        <w:t>Pilots’</w:t>
      </w:r>
      <w:r>
        <w:rPr>
          <w:color w:val="231F20"/>
          <w:spacing w:val="1"/>
        </w:rPr>
        <w:t> </w:t>
      </w:r>
      <w:r>
        <w:rPr>
          <w:color w:val="231F20"/>
        </w:rPr>
        <w:t>Association (“SWAPA”)</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6639" w:space="41"/>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before="89"/>
        <w:ind w:left="120"/>
      </w:pPr>
      <w:r>
        <w:rPr>
          <w:color w:val="231F20"/>
        </w:rPr>
        <w:t>Southwest Flight</w:t>
      </w:r>
      <w:r>
        <w:rPr>
          <w:color w:val="231F20"/>
          <w:spacing w:val="1"/>
        </w:rPr>
        <w:t> </w:t>
      </w:r>
      <w:r>
        <w:rPr>
          <w:color w:val="231F20"/>
        </w:rPr>
        <w:t>Attendants</w:t>
        <w:tab/>
        <w:t>Transportation Workers of</w:t>
      </w:r>
      <w:r>
        <w:rPr>
          <w:color w:val="231F20"/>
          <w:spacing w:val="3"/>
        </w:rPr>
        <w:t> </w:t>
      </w:r>
      <w:r>
        <w:rPr>
          <w:color w:val="231F20"/>
        </w:rPr>
        <w:t>America,</w:t>
      </w:r>
    </w:p>
    <w:p>
      <w:pPr>
        <w:pStyle w:val="BodyText"/>
        <w:spacing w:before="10"/>
        <w:ind w:left="3540"/>
      </w:pPr>
      <w:r>
        <w:rPr>
          <w:color w:val="231F20"/>
        </w:rPr>
        <w:t>AFL-CIO, Local 556 (“TWU 556”)</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6466" w:space="214"/>
            <w:col w:w="2680"/>
          </w:cols>
        </w:sectPr>
      </w:pPr>
    </w:p>
    <w:p>
      <w:pPr>
        <w:pStyle w:val="BodyText"/>
        <w:rPr>
          <w:sz w:val="14"/>
        </w:rPr>
      </w:pPr>
    </w:p>
    <w:p>
      <w:pPr>
        <w:spacing w:after="0"/>
        <w:rPr>
          <w:sz w:val="14"/>
        </w:rPr>
        <w:sectPr>
          <w:type w:val="continuous"/>
          <w:pgSz w:w="11880" w:h="15480"/>
          <w:pgMar w:top="1200" w:bottom="280" w:left="1260" w:right="1260"/>
        </w:sectPr>
      </w:pPr>
    </w:p>
    <w:p>
      <w:pPr>
        <w:pStyle w:val="BodyText"/>
        <w:spacing w:line="249" w:lineRule="auto" w:before="89"/>
        <w:ind w:left="320" w:right="-17" w:hanging="200"/>
      </w:pPr>
      <w:r>
        <w:rPr>
          <w:color w:val="231F20"/>
        </w:rPr>
        <w:t>Southwest Ramp, Operations, Provisioning, Freight Agents</w:t>
      </w:r>
    </w:p>
    <w:p>
      <w:pPr>
        <w:pStyle w:val="BodyText"/>
        <w:spacing w:line="249" w:lineRule="auto" w:before="89"/>
        <w:ind w:left="120"/>
      </w:pPr>
      <w:r>
        <w:rPr/>
        <w:br w:type="column"/>
      </w:r>
      <w:r>
        <w:rPr>
          <w:color w:val="231F20"/>
        </w:rPr>
        <w:t>Transportation Workers of America,</w:t>
      </w:r>
      <w:r>
        <w:rPr>
          <w:color w:val="231F20"/>
          <w:w w:val="100"/>
        </w:rPr>
        <w:t> </w:t>
      </w:r>
      <w:r>
        <w:rPr>
          <w:color w:val="231F20"/>
        </w:rPr>
        <w:t>AFL-CIO, Local 555 (“TWU 555”)</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2640" w:space="780"/>
            <w:col w:w="3046" w:space="214"/>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Southwest Customer Service Agents, Customer Representatives</w:t>
      </w:r>
    </w:p>
    <w:p>
      <w:pPr>
        <w:pStyle w:val="BodyText"/>
        <w:spacing w:line="249" w:lineRule="auto" w:before="89"/>
        <w:ind w:left="120"/>
      </w:pPr>
      <w:r>
        <w:rPr/>
        <w:br w:type="column"/>
      </w:r>
      <w:r>
        <w:rPr>
          <w:color w:val="231F20"/>
        </w:rPr>
        <w:t>International Association of Machinists and Aerospace Workers,</w:t>
      </w:r>
      <w:r>
        <w:rPr>
          <w:color w:val="231F20"/>
          <w:w w:val="100"/>
        </w:rPr>
        <w:t> </w:t>
      </w:r>
      <w:r>
        <w:rPr>
          <w:color w:val="231F20"/>
        </w:rPr>
        <w:t>AFL-CIO (“IAM 142”)</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3101" w:space="319"/>
            <w:col w:w="3023" w:space="237"/>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Southwest Material Specialists (formerly known as Stock Clerks)</w:t>
      </w:r>
    </w:p>
    <w:p>
      <w:pPr>
        <w:pStyle w:val="BodyText"/>
        <w:spacing w:line="249" w:lineRule="auto" w:before="89"/>
        <w:ind w:left="120" w:right="-17"/>
      </w:pPr>
      <w:r>
        <w:rPr/>
        <w:br w:type="column"/>
      </w:r>
      <w:r>
        <w:rPr>
          <w:color w:val="231F20"/>
        </w:rPr>
        <w:t>International Brotherhood of Teamsters, Local 19 (“IBT 19”)</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3045" w:space="375"/>
            <w:col w:w="2684" w:space="576"/>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line="249" w:lineRule="auto" w:before="89"/>
        <w:ind w:left="3540" w:hanging="3420"/>
      </w:pPr>
      <w:r>
        <w:rPr>
          <w:color w:val="231F20"/>
        </w:rPr>
        <w:t>Southwest Mechanics</w:t>
        <w:tab/>
        <w:t>Aircraft</w:t>
      </w:r>
      <w:r>
        <w:rPr>
          <w:color w:val="231F20"/>
          <w:spacing w:val="2"/>
        </w:rPr>
        <w:t> </w:t>
      </w:r>
      <w:r>
        <w:rPr>
          <w:color w:val="231F20"/>
        </w:rPr>
        <w:t>Mechanics</w:t>
      </w:r>
      <w:r>
        <w:rPr>
          <w:color w:val="231F20"/>
          <w:spacing w:val="1"/>
        </w:rPr>
        <w:t> </w:t>
      </w:r>
      <w:r>
        <w:rPr>
          <w:color w:val="231F20"/>
        </w:rPr>
        <w:t>Fraternal</w:t>
      </w:r>
      <w:r>
        <w:rPr>
          <w:color w:val="231F20"/>
          <w:w w:val="100"/>
        </w:rPr>
        <w:t> </w:t>
      </w:r>
      <w:r>
        <w:rPr>
          <w:color w:val="231F20"/>
        </w:rPr>
        <w:t>Association</w:t>
      </w:r>
      <w:r>
        <w:rPr>
          <w:color w:val="231F20"/>
          <w:spacing w:val="1"/>
        </w:rPr>
        <w:t> </w:t>
      </w:r>
      <w:r>
        <w:rPr>
          <w:color w:val="231F20"/>
        </w:rPr>
        <w:t>(“AMFA”)</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5866" w:space="814"/>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Southwest Aircraft Appearance</w:t>
      </w:r>
      <w:r>
        <w:rPr>
          <w:color w:val="231F20"/>
          <w:w w:val="100"/>
        </w:rPr>
        <w:t> </w:t>
      </w:r>
      <w:r>
        <w:rPr>
          <w:color w:val="231F20"/>
        </w:rPr>
        <w:t>Technicians</w:t>
      </w:r>
    </w:p>
    <w:p>
      <w:pPr>
        <w:pStyle w:val="BodyText"/>
        <w:tabs>
          <w:tab w:pos="3379" w:val="left" w:leader="none"/>
        </w:tabs>
        <w:spacing w:before="89"/>
        <w:ind w:left="120"/>
      </w:pPr>
      <w:r>
        <w:rPr/>
        <w:br w:type="column"/>
      </w:r>
      <w:r>
        <w:rPr>
          <w:color w:val="231F20"/>
        </w:rPr>
        <w:t>AMFA</w:t>
        <w:tab/>
        <w:t>Amendable February</w:t>
      </w:r>
      <w:r>
        <w:rPr>
          <w:color w:val="231F20"/>
          <w:spacing w:val="2"/>
        </w:rPr>
        <w:t> </w:t>
      </w:r>
      <w:r>
        <w:rPr>
          <w:color w:val="231F20"/>
        </w:rPr>
        <w:t>2017</w:t>
      </w:r>
    </w:p>
    <w:p>
      <w:pPr>
        <w:spacing w:after="0"/>
        <w:sectPr>
          <w:type w:val="continuous"/>
          <w:pgSz w:w="11880" w:h="15480"/>
          <w:pgMar w:top="1200" w:bottom="280" w:left="1260" w:right="1260"/>
          <w:cols w:num="2" w:equalWidth="0">
            <w:col w:w="2645" w:space="775"/>
            <w:col w:w="594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6" w:hanging="200"/>
      </w:pPr>
      <w:r>
        <w:rPr>
          <w:color w:val="231F20"/>
        </w:rPr>
        <w:t>Southwest Facilities Maintenance Technicians</w:t>
      </w:r>
    </w:p>
    <w:p>
      <w:pPr>
        <w:pStyle w:val="BodyText"/>
        <w:tabs>
          <w:tab w:pos="3379" w:val="left" w:leader="none"/>
        </w:tabs>
        <w:spacing w:before="89"/>
        <w:ind w:left="120"/>
      </w:pPr>
      <w:r>
        <w:rPr/>
        <w:br w:type="column"/>
      </w:r>
      <w:r>
        <w:rPr>
          <w:color w:val="231F20"/>
        </w:rPr>
        <w:t>AMFA</w:t>
        <w:tab/>
        <w:t>Currently in</w:t>
      </w:r>
      <w:r>
        <w:rPr>
          <w:color w:val="231F20"/>
          <w:spacing w:val="1"/>
        </w:rPr>
        <w:t> </w:t>
      </w:r>
      <w:r>
        <w:rPr>
          <w:color w:val="231F20"/>
        </w:rPr>
        <w:t>negotiations</w:t>
      </w:r>
    </w:p>
    <w:p>
      <w:pPr>
        <w:spacing w:after="0"/>
        <w:sectPr>
          <w:type w:val="continuous"/>
          <w:pgSz w:w="11880" w:h="15480"/>
          <w:pgMar w:top="1200" w:bottom="280" w:left="1260" w:right="1260"/>
          <w:cols w:num="2" w:equalWidth="0">
            <w:col w:w="2824" w:space="596"/>
            <w:col w:w="594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line="249" w:lineRule="auto" w:before="89"/>
        <w:ind w:left="3540" w:hanging="3420"/>
      </w:pPr>
      <w:r>
        <w:rPr>
          <w:color w:val="231F20"/>
        </w:rPr>
        <w:t>Southwest Dispatchers</w:t>
        <w:tab/>
        <w:t>Transportation Workers</w:t>
      </w:r>
      <w:r>
        <w:rPr>
          <w:color w:val="231F20"/>
          <w:spacing w:val="3"/>
        </w:rPr>
        <w:t> </w:t>
      </w:r>
      <w:r>
        <w:rPr>
          <w:color w:val="231F20"/>
        </w:rPr>
        <w:t>of America,</w:t>
      </w:r>
      <w:r>
        <w:rPr>
          <w:color w:val="231F20"/>
          <w:w w:val="100"/>
        </w:rPr>
        <w:t> </w:t>
      </w:r>
      <w:r>
        <w:rPr>
          <w:color w:val="231F20"/>
        </w:rPr>
        <w:t>AFL-CIO, Local 550 (“TWU</w:t>
      </w:r>
      <w:r>
        <w:rPr>
          <w:color w:val="231F20"/>
          <w:spacing w:val="-1"/>
        </w:rPr>
        <w:t> </w:t>
      </w:r>
      <w:r>
        <w:rPr>
          <w:color w:val="231F20"/>
        </w:rPr>
        <w:t>550”)</w:t>
      </w:r>
    </w:p>
    <w:p>
      <w:pPr>
        <w:pStyle w:val="BodyText"/>
        <w:spacing w:before="89"/>
        <w:ind w:left="120"/>
      </w:pPr>
      <w:r>
        <w:rPr/>
        <w:br w:type="column"/>
      </w:r>
      <w:r>
        <w:rPr>
          <w:color w:val="231F20"/>
        </w:rPr>
        <w:t>Amendable November 2014</w:t>
      </w:r>
    </w:p>
    <w:p>
      <w:pPr>
        <w:spacing w:after="0"/>
        <w:sectPr>
          <w:type w:val="continuous"/>
          <w:pgSz w:w="11880" w:h="15480"/>
          <w:pgMar w:top="1200" w:bottom="280" w:left="1260" w:right="1260"/>
          <w:cols w:num="2" w:equalWidth="0">
            <w:col w:w="6466" w:space="214"/>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before="89"/>
        <w:ind w:left="120"/>
      </w:pPr>
      <w:r>
        <w:rPr>
          <w:color w:val="231F20"/>
        </w:rPr>
        <w:t>Southwest Flight Simulator Technicians    International Brotherhood of</w:t>
      </w:r>
    </w:p>
    <w:p>
      <w:pPr>
        <w:pStyle w:val="BodyText"/>
        <w:spacing w:before="9"/>
        <w:ind w:left="3540"/>
      </w:pPr>
      <w:r>
        <w:rPr>
          <w:color w:val="231F20"/>
        </w:rPr>
        <w:t>Teamsters (“IBT”)</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5844" w:space="836"/>
            <w:col w:w="2680"/>
          </w:cols>
        </w:sectPr>
      </w:pPr>
    </w:p>
    <w:p>
      <w:pPr>
        <w:pStyle w:val="BodyText"/>
        <w:spacing w:before="11"/>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9" w:hanging="200"/>
      </w:pPr>
      <w:r>
        <w:rPr>
          <w:color w:val="231F20"/>
        </w:rPr>
        <w:t>Southwest Flight Crew Training</w:t>
      </w:r>
      <w:r>
        <w:rPr>
          <w:color w:val="231F20"/>
          <w:w w:val="100"/>
        </w:rPr>
        <w:t> </w:t>
      </w:r>
      <w:r>
        <w:rPr>
          <w:color w:val="231F20"/>
        </w:rPr>
        <w:t>Instructors</w:t>
      </w:r>
    </w:p>
    <w:p>
      <w:pPr>
        <w:pStyle w:val="BodyText"/>
        <w:spacing w:line="249" w:lineRule="auto" w:before="89"/>
        <w:ind w:left="120"/>
      </w:pPr>
      <w:r>
        <w:rPr/>
        <w:br w:type="column"/>
      </w:r>
      <w:r>
        <w:rPr>
          <w:color w:val="231F20"/>
        </w:rPr>
        <w:t>Transportation Workers of America,</w:t>
      </w:r>
      <w:r>
        <w:rPr>
          <w:color w:val="231F20"/>
          <w:w w:val="100"/>
        </w:rPr>
        <w:t> </w:t>
      </w:r>
      <w:r>
        <w:rPr>
          <w:color w:val="231F20"/>
        </w:rPr>
        <w:t>AFL-CIO, Local 557 (“TWU 557”)</w:t>
      </w:r>
    </w:p>
    <w:p>
      <w:pPr>
        <w:pStyle w:val="BodyText"/>
        <w:spacing w:before="89"/>
        <w:ind w:left="120"/>
      </w:pPr>
      <w:r>
        <w:rPr/>
        <w:br w:type="column"/>
      </w:r>
      <w:r>
        <w:rPr>
          <w:color w:val="231F20"/>
        </w:rPr>
        <w:t>Amendable December 2015</w:t>
      </w:r>
    </w:p>
    <w:p>
      <w:pPr>
        <w:spacing w:after="0"/>
        <w:sectPr>
          <w:type w:val="continuous"/>
          <w:pgSz w:w="11880" w:h="15480"/>
          <w:pgMar w:top="1200" w:bottom="280" w:left="1260" w:right="1260"/>
          <w:cols w:num="3" w:equalWidth="0">
            <w:col w:w="2705" w:space="715"/>
            <w:col w:w="3046" w:space="214"/>
            <w:col w:w="2680"/>
          </w:cols>
        </w:sectPr>
      </w:pPr>
    </w:p>
    <w:p>
      <w:pPr>
        <w:pStyle w:val="Heading3"/>
        <w:tabs>
          <w:tab w:pos="3539" w:val="left" w:leader="none"/>
          <w:tab w:pos="6799" w:val="left" w:leader="none"/>
        </w:tabs>
        <w:spacing w:before="73" w:after="16"/>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8"/>
        <w:rPr>
          <w:b/>
          <w:sz w:val="17"/>
        </w:rPr>
      </w:pPr>
    </w:p>
    <w:p>
      <w:pPr>
        <w:pStyle w:val="BodyText"/>
        <w:tabs>
          <w:tab w:pos="3539" w:val="left" w:leader="none"/>
        </w:tabs>
        <w:spacing w:line="249" w:lineRule="auto" w:before="89"/>
        <w:ind w:left="6800" w:right="145" w:hanging="6680"/>
      </w:pPr>
      <w:r>
        <w:rPr>
          <w:color w:val="231F20"/>
        </w:rPr>
        <w:t>AirTran Pilots</w:t>
        <w:tab/>
        <w:t>Air Line Pilots Association (“ALPA”)    Amendable</w:t>
      </w:r>
      <w:r>
        <w:rPr>
          <w:color w:val="231F20"/>
          <w:spacing w:val="-7"/>
        </w:rPr>
        <w:t> </w:t>
      </w:r>
      <w:r>
        <w:rPr>
          <w:color w:val="231F20"/>
        </w:rPr>
        <w:t>December</w:t>
      </w:r>
      <w:r>
        <w:rPr>
          <w:color w:val="231F20"/>
          <w:spacing w:val="1"/>
        </w:rPr>
        <w:t> </w:t>
      </w:r>
      <w:r>
        <w:rPr>
          <w:color w:val="231F20"/>
        </w:rPr>
        <w:t>2015. Per seniority list integration agreement, transition to Southwest to be completed no later than January</w:t>
      </w:r>
      <w:r>
        <w:rPr>
          <w:color w:val="231F20"/>
          <w:spacing w:val="2"/>
        </w:rPr>
        <w:t> </w:t>
      </w:r>
      <w:r>
        <w:rPr>
          <w:color w:val="231F20"/>
        </w:rPr>
        <w:t>2015.</w:t>
      </w:r>
    </w:p>
    <w:p>
      <w:pPr>
        <w:pStyle w:val="BodyText"/>
        <w:spacing w:before="2"/>
        <w:rPr>
          <w:sz w:val="13"/>
        </w:rPr>
      </w:pPr>
    </w:p>
    <w:p>
      <w:pPr>
        <w:spacing w:after="0"/>
        <w:rPr>
          <w:sz w:val="13"/>
        </w:rPr>
        <w:sectPr>
          <w:pgSz w:w="11880" w:h="15480"/>
          <w:pgMar w:header="0" w:footer="1253" w:top="1200" w:bottom="1440" w:left="1260" w:right="1260"/>
        </w:sectPr>
      </w:pPr>
    </w:p>
    <w:p>
      <w:pPr>
        <w:pStyle w:val="BodyText"/>
        <w:tabs>
          <w:tab w:pos="3539" w:val="left" w:leader="none"/>
        </w:tabs>
        <w:spacing w:line="249" w:lineRule="auto" w:before="89"/>
        <w:ind w:left="3540" w:hanging="3420"/>
      </w:pPr>
      <w:r>
        <w:rPr>
          <w:color w:val="231F20"/>
        </w:rPr>
        <w:t>AirTran Flight</w:t>
      </w:r>
      <w:r>
        <w:rPr>
          <w:color w:val="231F20"/>
          <w:spacing w:val="1"/>
        </w:rPr>
        <w:t> </w:t>
      </w:r>
      <w:r>
        <w:rPr>
          <w:color w:val="231F20"/>
        </w:rPr>
        <w:t>Attendants</w:t>
        <w:tab/>
        <w:t>Association of</w:t>
      </w:r>
      <w:r>
        <w:rPr>
          <w:color w:val="231F20"/>
          <w:spacing w:val="1"/>
        </w:rPr>
        <w:t> </w:t>
      </w:r>
      <w:r>
        <w:rPr>
          <w:color w:val="231F20"/>
        </w:rPr>
        <w:t>Flight</w:t>
      </w:r>
      <w:r>
        <w:rPr>
          <w:color w:val="231F20"/>
          <w:spacing w:val="1"/>
        </w:rPr>
        <w:t> </w:t>
      </w:r>
      <w:r>
        <w:rPr>
          <w:color w:val="231F20"/>
        </w:rPr>
        <w:t>Attendants-</w:t>
      </w:r>
      <w:r>
        <w:rPr>
          <w:color w:val="231F20"/>
          <w:w w:val="100"/>
        </w:rPr>
        <w:t> </w:t>
      </w:r>
      <w:r>
        <w:rPr>
          <w:color w:val="231F20"/>
        </w:rPr>
        <w:t>CWA</w:t>
      </w:r>
      <w:r>
        <w:rPr>
          <w:color w:val="231F20"/>
          <w:spacing w:val="-1"/>
        </w:rPr>
        <w:t> </w:t>
      </w:r>
      <w:r>
        <w:rPr>
          <w:color w:val="231F20"/>
        </w:rPr>
        <w:t>(“AFA”)</w:t>
      </w:r>
    </w:p>
    <w:p>
      <w:pPr>
        <w:pStyle w:val="BodyText"/>
        <w:spacing w:line="249" w:lineRule="auto" w:before="89"/>
        <w:ind w:left="120" w:right="335"/>
      </w:pPr>
      <w:r>
        <w:rPr/>
        <w:br w:type="column"/>
      </w:r>
      <w:r>
        <w:rPr>
          <w:color w:val="231F20"/>
        </w:rPr>
        <w:t>The parties have negotiated an interim collective bargaining agreement to be effective until affected AirTran Employees are transitioned to Southwest.</w:t>
      </w:r>
    </w:p>
    <w:p>
      <w:pPr>
        <w:spacing w:after="0" w:line="249" w:lineRule="auto"/>
        <w:sectPr>
          <w:type w:val="continuous"/>
          <w:pgSz w:w="11880" w:h="15480"/>
          <w:pgMar w:top="1200" w:bottom="280" w:left="1260" w:right="1260"/>
          <w:cols w:num="2" w:equalWidth="0">
            <w:col w:w="6216" w:space="464"/>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before="89"/>
        <w:ind w:left="120"/>
      </w:pPr>
      <w:r>
        <w:rPr>
          <w:color w:val="231F20"/>
        </w:rPr>
        <w:t>AirTran Mechanics</w:t>
      </w:r>
      <w:r>
        <w:rPr>
          <w:color w:val="231F20"/>
          <w:spacing w:val="1"/>
        </w:rPr>
        <w:t> </w:t>
      </w:r>
      <w:r>
        <w:rPr>
          <w:color w:val="231F20"/>
        </w:rPr>
        <w:t>and Inspectors</w:t>
        <w:tab/>
        <w:t>International Brotherhood</w:t>
      </w:r>
      <w:r>
        <w:rPr>
          <w:color w:val="231F20"/>
          <w:spacing w:val="4"/>
        </w:rPr>
        <w:t> </w:t>
      </w:r>
      <w:r>
        <w:rPr>
          <w:color w:val="231F20"/>
        </w:rPr>
        <w:t>of</w:t>
      </w:r>
    </w:p>
    <w:p>
      <w:pPr>
        <w:pStyle w:val="BodyText"/>
        <w:spacing w:before="9"/>
        <w:ind w:left="3540"/>
      </w:pPr>
      <w:r>
        <w:rPr>
          <w:color w:val="231F20"/>
        </w:rPr>
        <w:t>Teamsters, Local 528 (“IBT 528”)</w:t>
      </w:r>
    </w:p>
    <w:p>
      <w:pPr>
        <w:pStyle w:val="BodyText"/>
        <w:spacing w:line="249" w:lineRule="auto" w:before="89"/>
        <w:ind w:left="120" w:right="262"/>
      </w:pPr>
      <w:r>
        <w:rPr/>
        <w:br w:type="column"/>
      </w:r>
      <w:r>
        <w:rPr>
          <w:color w:val="231F20"/>
        </w:rPr>
        <w:t>Transitioned under the Southwest Mechanics Agreement (represented by AMFA) effective October 2012, as agreed upon as part</w:t>
      </w:r>
      <w:r>
        <w:rPr>
          <w:color w:val="231F20"/>
          <w:w w:val="100"/>
        </w:rPr>
        <w:t> </w:t>
      </w:r>
      <w:r>
        <w:rPr>
          <w:color w:val="231F20"/>
        </w:rPr>
        <w:t>of the applicable seniority integration and transition agreement.</w:t>
      </w:r>
    </w:p>
    <w:p>
      <w:pPr>
        <w:spacing w:after="0" w:line="249" w:lineRule="auto"/>
        <w:sectPr>
          <w:type w:val="continuous"/>
          <w:pgSz w:w="11880" w:h="15480"/>
          <w:pgMar w:top="1200" w:bottom="280" w:left="1260" w:right="1260"/>
          <w:cols w:num="2" w:equalWidth="0">
            <w:col w:w="6304" w:space="376"/>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AirTran Technical Trainers/Ground Instructors</w:t>
      </w:r>
    </w:p>
    <w:p>
      <w:pPr>
        <w:pStyle w:val="BodyText"/>
        <w:tabs>
          <w:tab w:pos="3379" w:val="left" w:leader="none"/>
        </w:tabs>
        <w:spacing w:before="89"/>
        <w:ind w:left="120"/>
      </w:pPr>
      <w:r>
        <w:rPr/>
        <w:br w:type="column"/>
      </w:r>
      <w:r>
        <w:rPr>
          <w:color w:val="231F20"/>
        </w:rPr>
        <w:t>IBT</w:t>
      </w:r>
      <w:r>
        <w:rPr>
          <w:color w:val="231F20"/>
          <w:spacing w:val="-1"/>
        </w:rPr>
        <w:t> </w:t>
      </w:r>
      <w:r>
        <w:rPr>
          <w:color w:val="231F20"/>
        </w:rPr>
        <w:t>528</w:t>
        <w:tab/>
        <w:t>Transitioned under</w:t>
      </w:r>
      <w:r>
        <w:rPr>
          <w:color w:val="231F20"/>
          <w:spacing w:val="2"/>
        </w:rPr>
        <w:t> </w:t>
      </w:r>
      <w:r>
        <w:rPr>
          <w:color w:val="231F20"/>
        </w:rPr>
        <w:t>the</w:t>
      </w:r>
    </w:p>
    <w:p>
      <w:pPr>
        <w:pStyle w:val="BodyText"/>
        <w:spacing w:line="249" w:lineRule="auto" w:before="10"/>
        <w:ind w:left="3380" w:right="262"/>
      </w:pPr>
      <w:r>
        <w:rPr>
          <w:color w:val="231F20"/>
        </w:rPr>
        <w:t>Southwest Mechanics Agreement (represented by AMFA) effective October 2012, as agreed upon as part</w:t>
      </w:r>
      <w:r>
        <w:rPr>
          <w:color w:val="231F20"/>
          <w:w w:val="100"/>
        </w:rPr>
        <w:t> </w:t>
      </w:r>
      <w:r>
        <w:rPr>
          <w:color w:val="231F20"/>
        </w:rPr>
        <w:t>of the applicable seniority integration and transition agreement.</w:t>
      </w:r>
    </w:p>
    <w:p>
      <w:pPr>
        <w:spacing w:after="0" w:line="249" w:lineRule="auto"/>
        <w:sectPr>
          <w:type w:val="continuous"/>
          <w:pgSz w:w="11880" w:h="15480"/>
          <w:pgMar w:top="1200" w:bottom="280" w:left="1260" w:right="1260"/>
          <w:cols w:num="2" w:equalWidth="0">
            <w:col w:w="2989" w:space="431"/>
            <w:col w:w="5940"/>
          </w:cols>
        </w:sectPr>
      </w:pPr>
    </w:p>
    <w:p>
      <w:pPr>
        <w:pStyle w:val="BodyText"/>
        <w:spacing w:before="2"/>
        <w:rPr>
          <w:sz w:val="13"/>
        </w:rPr>
      </w:pPr>
    </w:p>
    <w:p>
      <w:pPr>
        <w:pStyle w:val="BodyText"/>
        <w:tabs>
          <w:tab w:pos="3539" w:val="left" w:leader="none"/>
          <w:tab w:pos="6799" w:val="left" w:leader="none"/>
        </w:tabs>
        <w:spacing w:line="249" w:lineRule="auto" w:before="89"/>
        <w:ind w:left="6800" w:right="466" w:hanging="6680"/>
      </w:pPr>
      <w:r>
        <w:rPr>
          <w:color w:val="231F20"/>
        </w:rPr>
        <w:t>AirTran Stores/Stock</w:t>
      </w:r>
      <w:r>
        <w:rPr>
          <w:color w:val="231F20"/>
          <w:spacing w:val="1"/>
        </w:rPr>
        <w:t> </w:t>
      </w:r>
      <w:r>
        <w:rPr>
          <w:color w:val="231F20"/>
        </w:rPr>
        <w:t>Clerks</w:t>
        <w:tab/>
        <w:t>IBT</w:t>
      </w:r>
      <w:r>
        <w:rPr>
          <w:color w:val="231F20"/>
          <w:spacing w:val="-1"/>
        </w:rPr>
        <w:t> </w:t>
      </w:r>
      <w:r>
        <w:rPr>
          <w:color w:val="231F20"/>
        </w:rPr>
        <w:t>528</w:t>
        <w:tab/>
        <w:t>Transitioned</w:t>
      </w:r>
      <w:r>
        <w:rPr>
          <w:color w:val="231F20"/>
          <w:spacing w:val="2"/>
        </w:rPr>
        <w:t> </w:t>
      </w:r>
      <w:r>
        <w:rPr>
          <w:color w:val="231F20"/>
        </w:rPr>
        <w:t>under the</w:t>
      </w:r>
      <w:r>
        <w:rPr>
          <w:color w:val="231F20"/>
          <w:w w:val="100"/>
        </w:rPr>
        <w:t> </w:t>
      </w:r>
      <w:r>
        <w:rPr>
          <w:color w:val="231F20"/>
        </w:rPr>
        <w:t>Southwest Material Specialists Agreement (represented by IBT 19) effective January 2013, as agreed upon as part of the applicable seniority integration and transition agreement.</w:t>
      </w: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AirTran Ground Service Mechanics/ Employees</w:t>
      </w:r>
    </w:p>
    <w:p>
      <w:pPr>
        <w:pStyle w:val="BodyText"/>
        <w:tabs>
          <w:tab w:pos="3379" w:val="left" w:leader="none"/>
        </w:tabs>
        <w:spacing w:before="89"/>
        <w:ind w:left="120"/>
      </w:pPr>
      <w:r>
        <w:rPr/>
        <w:br w:type="column"/>
      </w:r>
      <w:r>
        <w:rPr>
          <w:color w:val="231F20"/>
        </w:rPr>
        <w:t>IBT</w:t>
      </w:r>
      <w:r>
        <w:rPr>
          <w:color w:val="231F20"/>
          <w:spacing w:val="-1"/>
        </w:rPr>
        <w:t> </w:t>
      </w:r>
      <w:r>
        <w:rPr>
          <w:color w:val="231F20"/>
        </w:rPr>
        <w:t>528</w:t>
        <w:tab/>
        <w:t>Transitioned under</w:t>
      </w:r>
      <w:r>
        <w:rPr>
          <w:color w:val="231F20"/>
          <w:spacing w:val="2"/>
        </w:rPr>
        <w:t> </w:t>
      </w:r>
      <w:r>
        <w:rPr>
          <w:color w:val="231F20"/>
        </w:rPr>
        <w:t>the</w:t>
      </w:r>
    </w:p>
    <w:p>
      <w:pPr>
        <w:pStyle w:val="BodyText"/>
        <w:spacing w:line="249" w:lineRule="auto" w:before="10"/>
        <w:ind w:left="3380" w:right="262"/>
      </w:pPr>
      <w:r>
        <w:rPr>
          <w:color w:val="231F20"/>
        </w:rPr>
        <w:t>Southwest Mechanics Agreement (represented by AMFA) effective October 2012, as agreed upon as part</w:t>
      </w:r>
      <w:r>
        <w:rPr>
          <w:color w:val="231F20"/>
          <w:w w:val="100"/>
        </w:rPr>
        <w:t> </w:t>
      </w:r>
      <w:r>
        <w:rPr>
          <w:color w:val="231F20"/>
        </w:rPr>
        <w:t>of the applicable seniority integration and transition agreement.</w:t>
      </w:r>
    </w:p>
    <w:p>
      <w:pPr>
        <w:spacing w:after="0" w:line="249" w:lineRule="auto"/>
        <w:sectPr>
          <w:type w:val="continuous"/>
          <w:pgSz w:w="11880" w:h="15480"/>
          <w:pgMar w:top="1200" w:bottom="280" w:left="1260" w:right="1260"/>
          <w:cols w:num="2" w:equalWidth="0">
            <w:col w:w="3050" w:space="370"/>
            <w:col w:w="5940"/>
          </w:cols>
        </w:sectPr>
      </w:pPr>
    </w:p>
    <w:p>
      <w:pPr>
        <w:pStyle w:val="Heading3"/>
        <w:tabs>
          <w:tab w:pos="3539" w:val="left" w:leader="none"/>
          <w:tab w:pos="6799" w:val="left" w:leader="none"/>
        </w:tabs>
        <w:spacing w:before="73" w:after="16"/>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8"/>
        <w:rPr>
          <w:b/>
          <w:sz w:val="17"/>
        </w:rPr>
      </w:pPr>
    </w:p>
    <w:p>
      <w:pPr>
        <w:spacing w:after="0"/>
        <w:rPr>
          <w:sz w:val="17"/>
        </w:rPr>
        <w:sectPr>
          <w:pgSz w:w="11880" w:h="15480"/>
          <w:pgMar w:header="0" w:footer="1253" w:top="1200" w:bottom="1440" w:left="1260" w:right="1260"/>
        </w:sectPr>
      </w:pPr>
    </w:p>
    <w:p>
      <w:pPr>
        <w:pStyle w:val="BodyText"/>
        <w:tabs>
          <w:tab w:pos="3539" w:val="left" w:leader="none"/>
        </w:tabs>
        <w:spacing w:line="249" w:lineRule="auto" w:before="89"/>
        <w:ind w:left="3540" w:hanging="3420"/>
      </w:pPr>
      <w:r>
        <w:rPr>
          <w:color w:val="231F20"/>
        </w:rPr>
        <w:t>AirTran Dispatchers</w:t>
        <w:tab/>
        <w:t>Transportation Workers</w:t>
      </w:r>
      <w:r>
        <w:rPr>
          <w:color w:val="231F20"/>
          <w:spacing w:val="3"/>
        </w:rPr>
        <w:t> </w:t>
      </w:r>
      <w:r>
        <w:rPr>
          <w:color w:val="231F20"/>
        </w:rPr>
        <w:t>Union of</w:t>
      </w:r>
      <w:r>
        <w:rPr>
          <w:color w:val="231F20"/>
          <w:w w:val="100"/>
        </w:rPr>
        <w:t> </w:t>
      </w:r>
      <w:r>
        <w:rPr>
          <w:color w:val="231F20"/>
        </w:rPr>
        <w:t>America, Local 540 (“TWU</w:t>
      </w:r>
      <w:r>
        <w:rPr>
          <w:color w:val="231F20"/>
          <w:spacing w:val="1"/>
        </w:rPr>
        <w:t> </w:t>
      </w:r>
      <w:r>
        <w:rPr>
          <w:color w:val="231F20"/>
        </w:rPr>
        <w:t>540”)</w:t>
      </w:r>
    </w:p>
    <w:p>
      <w:pPr>
        <w:pStyle w:val="BodyText"/>
        <w:spacing w:line="249" w:lineRule="auto" w:before="89"/>
        <w:ind w:left="120" w:right="185"/>
      </w:pPr>
      <w:r>
        <w:rPr/>
        <w:br w:type="column"/>
      </w:r>
      <w:r>
        <w:rPr>
          <w:color w:val="231F20"/>
        </w:rPr>
        <w:t>Amendable March 2014. The</w:t>
      </w:r>
      <w:r>
        <w:rPr>
          <w:color w:val="231F20"/>
          <w:w w:val="100"/>
        </w:rPr>
        <w:t> </w:t>
      </w:r>
      <w:r>
        <w:rPr>
          <w:color w:val="231F20"/>
        </w:rPr>
        <w:t>parties have agreed that effective March 2014, the AirTran Dispatchers will be transitioned to the Southwest Dispatchers Agreement (represented by TWU 550).</w:t>
      </w:r>
    </w:p>
    <w:p>
      <w:pPr>
        <w:spacing w:after="0" w:line="249" w:lineRule="auto"/>
        <w:sectPr>
          <w:type w:val="continuous"/>
          <w:pgSz w:w="11880" w:h="15480"/>
          <w:pgMar w:top="1200" w:bottom="280" w:left="1260" w:right="1260"/>
          <w:cols w:num="2" w:equalWidth="0">
            <w:col w:w="6303" w:space="377"/>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4" w:hanging="200"/>
      </w:pPr>
      <w:r>
        <w:rPr>
          <w:color w:val="231F20"/>
        </w:rPr>
        <w:t>AirTran Fleet &amp; Passenger Service Employees (customer service, ramp, reservations)</w:t>
      </w:r>
    </w:p>
    <w:p>
      <w:pPr>
        <w:pStyle w:val="BodyText"/>
        <w:tabs>
          <w:tab w:pos="3379" w:val="left" w:leader="none"/>
        </w:tabs>
        <w:spacing w:line="249" w:lineRule="auto" w:before="89"/>
        <w:ind w:left="3380" w:right="198" w:hanging="3260"/>
      </w:pPr>
      <w:r>
        <w:rPr/>
        <w:br w:type="column"/>
      </w:r>
      <w:r>
        <w:rPr>
          <w:color w:val="231F20"/>
        </w:rPr>
        <w:t>IAM</w:t>
      </w:r>
      <w:r>
        <w:rPr>
          <w:color w:val="231F20"/>
          <w:spacing w:val="-1"/>
        </w:rPr>
        <w:t> </w:t>
      </w:r>
      <w:r>
        <w:rPr>
          <w:color w:val="231F20"/>
        </w:rPr>
        <w:t>142</w:t>
        <w:tab/>
        <w:t>The parties</w:t>
      </w:r>
      <w:r>
        <w:rPr>
          <w:color w:val="231F20"/>
          <w:spacing w:val="1"/>
        </w:rPr>
        <w:t> </w:t>
      </w:r>
      <w:r>
        <w:rPr>
          <w:color w:val="231F20"/>
        </w:rPr>
        <w:t>have negotiated</w:t>
      </w:r>
      <w:r>
        <w:rPr>
          <w:color w:val="231F20"/>
          <w:w w:val="100"/>
        </w:rPr>
        <w:t> </w:t>
      </w:r>
      <w:r>
        <w:rPr>
          <w:color w:val="231F20"/>
        </w:rPr>
        <w:t>an interim collective bargaining agreement to be effective until affected AirTran Employees are transitioned to Southwest. As of December 31, 2013, (i) all AirTran ramp and freight agents had transitioned to the Southwest TWU 555</w:t>
      </w:r>
      <w:r>
        <w:rPr>
          <w:color w:val="231F20"/>
          <w:spacing w:val="-1"/>
        </w:rPr>
        <w:t> </w:t>
      </w:r>
      <w:r>
        <w:rPr>
          <w:color w:val="231F20"/>
        </w:rPr>
        <w:t>CBA;</w:t>
      </w:r>
    </w:p>
    <w:p>
      <w:pPr>
        <w:pStyle w:val="BodyText"/>
        <w:spacing w:line="249" w:lineRule="auto" w:before="1"/>
        <w:ind w:left="3380" w:right="212"/>
      </w:pPr>
      <w:r>
        <w:rPr>
          <w:color w:val="231F20"/>
        </w:rPr>
        <w:t>(ii) all AirTran customer service agents had transitioned to the Southwest IAM 142 CBA; and (iii) the majority of AirTran reservations agents had transitioned to the Southwest IAM 142 CBA.</w:t>
      </w:r>
    </w:p>
    <w:p>
      <w:pPr>
        <w:spacing w:after="0" w:line="249" w:lineRule="auto"/>
        <w:sectPr>
          <w:type w:val="continuous"/>
          <w:pgSz w:w="11880" w:h="15480"/>
          <w:pgMar w:top="1200" w:bottom="280" w:left="1260" w:right="1260"/>
          <w:cols w:num="2" w:equalWidth="0">
            <w:col w:w="3242" w:space="178"/>
            <w:col w:w="5940"/>
          </w:cols>
        </w:sectPr>
      </w:pPr>
    </w:p>
    <w:p>
      <w:pPr>
        <w:pStyle w:val="BodyText"/>
        <w:spacing w:line="249" w:lineRule="auto" w:before="181"/>
        <w:ind w:left="120" w:right="200" w:firstLine="490"/>
      </w:pPr>
      <w:r>
        <w:rPr>
          <w:color w:val="231F20"/>
        </w:rPr>
        <w:t>Pending completion of operational integration of AirTran with the Company, it will be necessary to maintain a “fence” between Southwest and AirTran Employee groups subject to CBAs, during which time the Company and AirTran will continue to keep these Employee groups separate, each applying the terms of its own existing CBAs, unless other terms have been negotiated.</w:t>
      </w:r>
    </w:p>
    <w:p>
      <w:pPr>
        <w:pStyle w:val="BodyText"/>
        <w:spacing w:before="181"/>
        <w:ind w:left="610"/>
      </w:pPr>
      <w:r>
        <w:rPr>
          <w:color w:val="231F20"/>
        </w:rPr>
        <w:t>Seniority list integration methodologies have been resolved for all Southwest and AirTran workgroups.</w:t>
      </w:r>
    </w:p>
    <w:p>
      <w:pPr>
        <w:pStyle w:val="Heading3"/>
        <w:spacing w:before="189"/>
        <w:ind w:left="120"/>
      </w:pPr>
      <w:r>
        <w:rPr>
          <w:color w:val="231F20"/>
        </w:rPr>
        <w:t>Additional Information About the Company</w:t>
      </w:r>
    </w:p>
    <w:p>
      <w:pPr>
        <w:pStyle w:val="BodyText"/>
        <w:spacing w:line="249" w:lineRule="auto" w:before="189"/>
        <w:ind w:left="120" w:right="200" w:firstLine="490"/>
      </w:pPr>
      <w:r>
        <w:rPr>
          <w:color w:val="231F20"/>
        </w:rPr>
        <w:t>The Company was incorporated in Texas in 1967. The following documents are available free of charge through the Company’s website, </w:t>
      </w:r>
      <w:hyperlink r:id="rId12">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 pages).</w:t>
      </w:r>
    </w:p>
    <w:p>
      <w:pPr>
        <w:spacing w:after="0" w:line="249" w:lineRule="auto"/>
        <w:sectPr>
          <w:type w:val="continuous"/>
          <w:pgSz w:w="11880" w:h="15480"/>
          <w:pgMar w:top="1200" w:bottom="280" w:left="1260" w:right="1260"/>
        </w:sectPr>
      </w:pPr>
    </w:p>
    <w:p>
      <w:pPr>
        <w:pStyle w:val="Heading3"/>
        <w:spacing w:before="73"/>
        <w:ind w:left="1520"/>
      </w:pPr>
      <w:r>
        <w:rPr>
          <w:color w:val="231F20"/>
        </w:rPr>
        <w:t>DISCLOSURE REGARDING FORWARD-LOOKING INFORMATION</w:t>
      </w:r>
    </w:p>
    <w:p>
      <w:pPr>
        <w:pStyle w:val="BodyText"/>
        <w:spacing w:line="249" w:lineRule="auto" w:before="146"/>
        <w:ind w:left="100" w:right="152" w:firstLine="490"/>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w:t>
      </w:r>
    </w:p>
    <w:p>
      <w:pPr>
        <w:pStyle w:val="ListParagraph"/>
        <w:numPr>
          <w:ilvl w:val="0"/>
          <w:numId w:val="3"/>
        </w:numPr>
        <w:tabs>
          <w:tab w:pos="396" w:val="left" w:leader="none"/>
        </w:tabs>
        <w:spacing w:line="249" w:lineRule="auto" w:before="0" w:after="0"/>
        <w:ind w:left="100" w:right="590" w:firstLine="0"/>
        <w:jc w:val="left"/>
        <w:rPr>
          <w:sz w:val="20"/>
        </w:rPr>
      </w:pPr>
      <w:r>
        <w:rPr>
          <w:color w:val="231F20"/>
          <w:sz w:val="20"/>
        </w:rPr>
        <w:t>that the Company currently deems to be immaterial, or (iii) that could apply to any company, could also materially adversely affect the Company’s business, financial condition, or future</w:t>
      </w:r>
      <w:r>
        <w:rPr>
          <w:color w:val="231F20"/>
          <w:spacing w:val="10"/>
          <w:sz w:val="20"/>
        </w:rPr>
        <w:t> </w:t>
      </w:r>
      <w:r>
        <w:rPr>
          <w:color w:val="231F20"/>
          <w:sz w:val="20"/>
        </w:rPr>
        <w:t>results.</w:t>
      </w:r>
    </w:p>
    <w:p>
      <w:pPr>
        <w:pStyle w:val="BodyText"/>
        <w:spacing w:line="249" w:lineRule="auto" w:before="137"/>
        <w:ind w:left="100" w:firstLine="490"/>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tabs>
          <w:tab w:pos="1179" w:val="left" w:leader="none"/>
        </w:tabs>
        <w:spacing w:before="137"/>
        <w:ind w:left="100" w:right="0" w:firstLine="0"/>
        <w:jc w:val="left"/>
        <w:rPr>
          <w:b/>
          <w:i/>
          <w:sz w:val="20"/>
        </w:rPr>
      </w:pPr>
      <w:bookmarkStart w:name="Item 1A. Risk Factors" w:id="4"/>
      <w:bookmarkEnd w:id="4"/>
      <w:r>
        <w:rPr/>
      </w:r>
      <w:r>
        <w:rPr>
          <w:b/>
          <w:color w:val="231F20"/>
          <w:sz w:val="20"/>
        </w:rPr>
        <w:t>Item</w:t>
      </w:r>
      <w:r>
        <w:rPr>
          <w:b/>
          <w:color w:val="231F20"/>
          <w:spacing w:val="1"/>
          <w:sz w:val="20"/>
        </w:rPr>
        <w:t> </w:t>
      </w:r>
      <w:r>
        <w:rPr>
          <w:b/>
          <w:color w:val="231F20"/>
          <w:sz w:val="20"/>
        </w:rPr>
        <w:t>1A.</w:t>
        <w:tab/>
      </w:r>
      <w:r>
        <w:rPr>
          <w:b/>
          <w:i/>
          <w:color w:val="231F20"/>
          <w:sz w:val="20"/>
        </w:rPr>
        <w:t>Risk</w:t>
      </w:r>
      <w:r>
        <w:rPr>
          <w:b/>
          <w:i/>
          <w:color w:val="231F20"/>
          <w:spacing w:val="-1"/>
          <w:sz w:val="20"/>
        </w:rPr>
        <w:t> </w:t>
      </w:r>
      <w:r>
        <w:rPr>
          <w:b/>
          <w:i/>
          <w:color w:val="231F20"/>
          <w:sz w:val="20"/>
        </w:rPr>
        <w:t>Factors</w:t>
      </w:r>
    </w:p>
    <w:p>
      <w:pPr>
        <w:pStyle w:val="Heading4"/>
        <w:spacing w:line="249" w:lineRule="auto" w:before="146"/>
        <w:ind w:right="127"/>
      </w:pPr>
      <w:r>
        <w:rPr>
          <w:i/>
          <w:color w:val="231F20"/>
        </w:rPr>
        <w:t>The airline industry is particularly sensitive to changes in economic conditions; an increase in unfavorable </w:t>
      </w:r>
      <w:r>
        <w:rPr>
          <w:color w:val="231F20"/>
        </w:rPr>
        <w:t>economic conditions or continued economic uncertainty could negatively affect the Company’s results of operations and could require the Company to adjust its business strategies.</w:t>
      </w:r>
    </w:p>
    <w:p>
      <w:pPr>
        <w:pStyle w:val="BodyText"/>
        <w:spacing w:line="249" w:lineRule="auto" w:before="137"/>
        <w:ind w:left="100" w:right="118" w:firstLine="400"/>
      </w:pPr>
      <w:r>
        <w:rPr>
          <w:color w:val="231F20"/>
        </w:rPr>
        <w:t>The airline industry, which is subject to relatively high fixed costs and highly variable and unpredictable demand, is particularly sensitive to changes in economic conditions. Unfavorable U.S. economic conditions have historically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also hamper the ability of airlines to raise fares to counteract increased fuel, labor, and other costs. The Company continues to face challenges associated with economic uncertainty, and a weakened state of the U.S. and global economy could continue for an extended period of time. These conditions could negatively affect the Company’s results of operations and could cause the Company to adjust its business strategies.</w:t>
      </w:r>
    </w:p>
    <w:p>
      <w:pPr>
        <w:pStyle w:val="Heading4"/>
        <w:spacing w:line="249" w:lineRule="auto" w:before="137"/>
        <w:ind w:right="200"/>
      </w:pPr>
      <w:r>
        <w:rPr>
          <w:i/>
          <w:color w:val="231F20"/>
        </w:rPr>
        <w:t>The Company’s business has been significantly impacted by high and/or volatile fuel prices; therefore, the </w:t>
      </w:r>
      <w:r>
        <w:rPr>
          <w:color w:val="231F20"/>
        </w:rPr>
        <w:t>Company’s strategic plans and future profitability are likely to be impacted by the Company’s ability to effectively address fuel prices.</w:t>
      </w:r>
    </w:p>
    <w:p>
      <w:pPr>
        <w:pStyle w:val="BodyText"/>
        <w:spacing w:line="249" w:lineRule="auto" w:before="137"/>
        <w:ind w:left="100" w:right="102" w:firstLine="490"/>
      </w:pPr>
      <w:r>
        <w:rPr>
          <w:color w:val="231F20"/>
        </w:rPr>
        <w:t>Fuel prices continue to present one of the Company’s most significant challenges, as (i) the cost of fuel remains at high levels and continues to be both unpredictable and subject to volatility, and (ii) airlines are inherently dependent upon energy to operate; therefore, even a small change in market fuel prices can significantly affect profitability. Fuel prices can be volatile and unpredictable because of many external factors that are beyond the Company’s control. For example, fuel prices can be impacted by political and economic factors, such as (i) dependency on foreign imports of crude oil and the potential for hostilities or other conflicts in oil producing areas; (ii) limited domestic refining or pipeline capacity; (iii) worldwide demand for fuel, particularly in developing countries, which has resulted in inflated energy prices; (iv) changes in U.S. governmental policies on fuel production, transportation, taxes, and marketing; and (v) changes in exchange rates. The Company’s ability to react to fuel price volatility can also be affected by factors outside of its control. For example, the Company’s profitability is affected in part by Southwest’s and AirTran’s ability to</w:t>
      </w:r>
      <w:r>
        <w:rPr>
          <w:color w:val="231F20"/>
          <w:spacing w:val="11"/>
        </w:rPr>
        <w:t> </w:t>
      </w:r>
      <w:r>
        <w:rPr>
          <w:color w:val="231F20"/>
        </w:rPr>
        <w:t>increase</w:t>
      </w:r>
    </w:p>
    <w:p>
      <w:pPr>
        <w:spacing w:after="0" w:line="249" w:lineRule="auto"/>
        <w:sectPr>
          <w:pgSz w:w="11880" w:h="15480"/>
          <w:pgMar w:header="0" w:footer="1253" w:top="1240" w:bottom="1440" w:left="1280" w:right="1280"/>
        </w:sectPr>
      </w:pPr>
    </w:p>
    <w:p>
      <w:pPr>
        <w:pStyle w:val="BodyText"/>
        <w:spacing w:line="249" w:lineRule="auto" w:before="73"/>
        <w:ind w:left="100" w:right="248"/>
      </w:pPr>
      <w:r>
        <w:rPr>
          <w:color w:val="231F20"/>
        </w:rPr>
        <w:t>fares in reaction to fuel price increases; however, fare increases can be difficult to implement in difficult economic environments when low fares are often used to stimulate traffic. The ability to increase fares can also be limited by factors such as the historical low-fare reputation of both Southwest and AirTran, the portion of their Customer base that purchases travel for leisure purposes, the competitive nature of the airline industry generally, and the risk that higher fares will drive a decrease in demand.</w:t>
      </w:r>
    </w:p>
    <w:p>
      <w:pPr>
        <w:pStyle w:val="BodyText"/>
        <w:spacing w:line="249" w:lineRule="auto" w:before="181"/>
        <w:ind w:left="100" w:right="165" w:firstLine="490"/>
      </w:pPr>
      <w:r>
        <w:rPr>
          <w:color w:val="231F20"/>
        </w:rPr>
        <w:t>Jet fuel and oil consumed for 2013 and 2012 represented approximately 35 percent and 37 percent of the Company’s operating expenses, respectively, and constituted the largest expense incurred by the Company in both years. As a result, the price of fuel has impacted, and could continue to impact, the timing and nature of the Company’s growth plans and many of the Company’s strategic initiatives.</w:t>
      </w:r>
    </w:p>
    <w:p>
      <w:pPr>
        <w:pStyle w:val="BodyText"/>
        <w:spacing w:line="249" w:lineRule="auto" w:before="181"/>
        <w:ind w:left="100" w:right="101" w:firstLine="490"/>
      </w:pPr>
      <w:r>
        <w:rPr>
          <w:color w:val="231F20"/>
        </w:rPr>
        <w:t>The Company purchases jet fuel at prevailing market prices, but often seeks to protect against significant increases in fuel costs by entering into over-the-counter financial fuel derivative contracts. In addition, the Company enters into some of these fuel derivative contracts in an effort to reduce volatility in its operating expenses. Although the Company may periodically enter into jet fuel derivatives for short-term timeframes, because jet fuel is not widely traded on an organized futures exchange, there are limited opportunities to hedge directly in jet fuel for time horizons longer than approximately six to 12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As discussed in detail in Note 10 to the Consolidated Financial Statements, derivatives that are designated as hedges and deemed “effective” (</w:t>
      </w:r>
      <w:r>
        <w:rPr>
          <w:i/>
          <w:color w:val="231F20"/>
        </w:rPr>
        <w:t>i.e., </w:t>
      </w:r>
      <w:r>
        <w:rPr>
          <w:color w:val="231F20"/>
        </w:rPr>
        <w:t>that meet certain requirements under applicable accounting standards) are granted hedge accounting treatment, which can reduce volatility in the Company’s operating expenses. Nevertheless, because energy prices can fluctuate significantly in a relatively short amount of time and due to the fact that the Company uses a variety of different derivative instruments and at different price points, the Company is subject to the risk that the fuel derivatives it uses will not provide adequate protection against significant increases in fuel</w:t>
      </w:r>
      <w:r>
        <w:rPr>
          <w:color w:val="231F20"/>
          <w:spacing w:val="9"/>
        </w:rPr>
        <w:t> </w:t>
      </w:r>
      <w:r>
        <w:rPr>
          <w:color w:val="231F20"/>
        </w:rPr>
        <w:t>prices.</w:t>
      </w:r>
    </w:p>
    <w:p>
      <w:pPr>
        <w:pStyle w:val="BodyText"/>
        <w:spacing w:line="249" w:lineRule="auto" w:before="181"/>
        <w:ind w:left="100" w:right="106" w:firstLine="490"/>
      </w:pPr>
      <w:r>
        <w:rPr>
          <w:color w:val="231F20"/>
        </w:rPr>
        <w:t>In</w:t>
      </w:r>
      <w:r>
        <w:rPr>
          <w:color w:val="231F20"/>
          <w:spacing w:val="-11"/>
        </w:rPr>
        <w:t> </w:t>
      </w:r>
      <w:r>
        <w:rPr>
          <w:color w:val="231F20"/>
        </w:rPr>
        <w:t>addition,</w:t>
      </w:r>
      <w:r>
        <w:rPr>
          <w:color w:val="231F20"/>
          <w:spacing w:val="-11"/>
        </w:rPr>
        <w:t> </w:t>
      </w:r>
      <w:r>
        <w:rPr>
          <w:color w:val="231F20"/>
        </w:rPr>
        <w:t>the</w:t>
      </w:r>
      <w:r>
        <w:rPr>
          <w:color w:val="231F20"/>
          <w:spacing w:val="-11"/>
        </w:rPr>
        <w:t> </w:t>
      </w:r>
      <w:r>
        <w:rPr>
          <w:color w:val="231F20"/>
        </w:rPr>
        <w:t>Company</w:t>
      </w:r>
      <w:r>
        <w:rPr>
          <w:color w:val="231F20"/>
          <w:spacing w:val="-12"/>
        </w:rPr>
        <w:t> </w:t>
      </w:r>
      <w:r>
        <w:rPr>
          <w:color w:val="231F20"/>
        </w:rPr>
        <w:t>is</w:t>
      </w:r>
      <w:r>
        <w:rPr>
          <w:color w:val="231F20"/>
          <w:spacing w:val="-11"/>
        </w:rPr>
        <w:t> </w:t>
      </w:r>
      <w:r>
        <w:rPr>
          <w:color w:val="231F20"/>
        </w:rPr>
        <w:t>subject</w:t>
      </w:r>
      <w:r>
        <w:rPr>
          <w:color w:val="231F20"/>
          <w:spacing w:val="-11"/>
        </w:rPr>
        <w:t> </w:t>
      </w:r>
      <w:r>
        <w:rPr>
          <w:color w:val="231F20"/>
        </w:rPr>
        <w:t>to</w:t>
      </w:r>
      <w:r>
        <w:rPr>
          <w:color w:val="231F20"/>
          <w:spacing w:val="-12"/>
        </w:rPr>
        <w:t> </w:t>
      </w:r>
      <w:r>
        <w:rPr>
          <w:color w:val="231F20"/>
        </w:rPr>
        <w:t>the</w:t>
      </w:r>
      <w:r>
        <w:rPr>
          <w:color w:val="231F20"/>
          <w:spacing w:val="-11"/>
        </w:rPr>
        <w:t> </w:t>
      </w:r>
      <w:r>
        <w:rPr>
          <w:color w:val="231F20"/>
        </w:rPr>
        <w:t>risk</w:t>
      </w:r>
      <w:r>
        <w:rPr>
          <w:color w:val="231F20"/>
          <w:spacing w:val="-12"/>
        </w:rPr>
        <w:t> </w:t>
      </w:r>
      <w:r>
        <w:rPr>
          <w:color w:val="231F20"/>
        </w:rPr>
        <w:t>that</w:t>
      </w:r>
      <w:r>
        <w:rPr>
          <w:color w:val="231F20"/>
          <w:spacing w:val="-11"/>
        </w:rPr>
        <w:t> </w:t>
      </w:r>
      <w:r>
        <w:rPr>
          <w:color w:val="231F20"/>
        </w:rPr>
        <w:t>its</w:t>
      </w:r>
      <w:r>
        <w:rPr>
          <w:color w:val="231F20"/>
          <w:spacing w:val="-11"/>
        </w:rPr>
        <w:t> </w:t>
      </w:r>
      <w:r>
        <w:rPr>
          <w:color w:val="231F20"/>
        </w:rPr>
        <w:t>fuel</w:t>
      </w:r>
      <w:r>
        <w:rPr>
          <w:color w:val="231F20"/>
          <w:spacing w:val="-11"/>
        </w:rPr>
        <w:t> </w:t>
      </w:r>
      <w:r>
        <w:rPr>
          <w:color w:val="231F20"/>
        </w:rPr>
        <w:t>derivatives</w:t>
      </w:r>
      <w:r>
        <w:rPr>
          <w:color w:val="231F20"/>
          <w:spacing w:val="-11"/>
        </w:rPr>
        <w:t> </w:t>
      </w:r>
      <w:r>
        <w:rPr>
          <w:color w:val="231F20"/>
        </w:rPr>
        <w:t>will</w:t>
      </w:r>
      <w:r>
        <w:rPr>
          <w:color w:val="231F20"/>
          <w:spacing w:val="-11"/>
        </w:rPr>
        <w:t> </w:t>
      </w:r>
      <w:r>
        <w:rPr>
          <w:color w:val="231F20"/>
        </w:rPr>
        <w:t>not</w:t>
      </w:r>
      <w:r>
        <w:rPr>
          <w:color w:val="231F20"/>
          <w:spacing w:val="-11"/>
        </w:rPr>
        <w:t> </w:t>
      </w:r>
      <w:r>
        <w:rPr>
          <w:color w:val="231F20"/>
        </w:rPr>
        <w:t>be</w:t>
      </w:r>
      <w:r>
        <w:rPr>
          <w:color w:val="231F20"/>
          <w:spacing w:val="-11"/>
        </w:rPr>
        <w:t> </w:t>
      </w:r>
      <w:r>
        <w:rPr>
          <w:color w:val="231F20"/>
        </w:rPr>
        <w:t>effective</w:t>
      </w:r>
      <w:r>
        <w:rPr>
          <w:color w:val="231F20"/>
          <w:spacing w:val="-11"/>
        </w:rPr>
        <w:t> </w:t>
      </w:r>
      <w:r>
        <w:rPr>
          <w:color w:val="231F20"/>
        </w:rPr>
        <w:t>or</w:t>
      </w:r>
      <w:r>
        <w:rPr>
          <w:color w:val="231F20"/>
          <w:spacing w:val="-11"/>
        </w:rPr>
        <w:t> </w:t>
      </w:r>
      <w:r>
        <w:rPr>
          <w:color w:val="231F20"/>
        </w:rPr>
        <w:t>that</w:t>
      </w:r>
      <w:r>
        <w:rPr>
          <w:color w:val="231F20"/>
          <w:spacing w:val="-11"/>
        </w:rPr>
        <w:t> </w:t>
      </w:r>
      <w:r>
        <w:rPr>
          <w:color w:val="231F20"/>
        </w:rPr>
        <w:t>they</w:t>
      </w:r>
      <w:r>
        <w:rPr>
          <w:color w:val="231F20"/>
          <w:spacing w:val="-12"/>
        </w:rPr>
        <w:t> </w:t>
      </w:r>
      <w:r>
        <w:rPr>
          <w:color w:val="231F20"/>
        </w:rPr>
        <w:t>will</w:t>
      </w:r>
      <w:r>
        <w:rPr>
          <w:color w:val="231F20"/>
          <w:spacing w:val="-11"/>
        </w:rPr>
        <w:t> </w:t>
      </w:r>
      <w:r>
        <w:rPr>
          <w:color w:val="231F20"/>
        </w:rPr>
        <w:t>no longer</w:t>
      </w:r>
      <w:r>
        <w:rPr>
          <w:color w:val="231F20"/>
          <w:spacing w:val="-16"/>
        </w:rPr>
        <w:t> </w:t>
      </w:r>
      <w:r>
        <w:rPr>
          <w:color w:val="231F20"/>
        </w:rPr>
        <w:t>qualify</w:t>
      </w:r>
      <w:r>
        <w:rPr>
          <w:color w:val="231F20"/>
          <w:spacing w:val="-16"/>
        </w:rPr>
        <w:t> </w:t>
      </w:r>
      <w:r>
        <w:rPr>
          <w:color w:val="231F20"/>
        </w:rPr>
        <w:t>for</w:t>
      </w:r>
      <w:r>
        <w:rPr>
          <w:color w:val="231F20"/>
          <w:spacing w:val="-16"/>
        </w:rPr>
        <w:t> </w:t>
      </w:r>
      <w:r>
        <w:rPr>
          <w:color w:val="231F20"/>
        </w:rPr>
        <w:t>hedge</w:t>
      </w:r>
      <w:r>
        <w:rPr>
          <w:color w:val="231F20"/>
          <w:spacing w:val="-16"/>
        </w:rPr>
        <w:t> </w:t>
      </w:r>
      <w:r>
        <w:rPr>
          <w:color w:val="231F20"/>
        </w:rPr>
        <w:t>accounting</w:t>
      </w:r>
      <w:r>
        <w:rPr>
          <w:color w:val="231F20"/>
          <w:spacing w:val="-16"/>
        </w:rPr>
        <w:t> </w:t>
      </w:r>
      <w:r>
        <w:rPr>
          <w:color w:val="231F20"/>
        </w:rPr>
        <w:t>under</w:t>
      </w:r>
      <w:r>
        <w:rPr>
          <w:color w:val="231F20"/>
          <w:spacing w:val="-16"/>
        </w:rPr>
        <w:t> </w:t>
      </w:r>
      <w:r>
        <w:rPr>
          <w:color w:val="231F20"/>
        </w:rPr>
        <w:t>applicable</w:t>
      </w:r>
      <w:r>
        <w:rPr>
          <w:color w:val="231F20"/>
          <w:spacing w:val="-16"/>
        </w:rPr>
        <w:t> </w:t>
      </w:r>
      <w:r>
        <w:rPr>
          <w:color w:val="231F20"/>
        </w:rPr>
        <w:t>accounting</w:t>
      </w:r>
      <w:r>
        <w:rPr>
          <w:color w:val="231F20"/>
          <w:spacing w:val="-16"/>
        </w:rPr>
        <w:t> </w:t>
      </w:r>
      <w:r>
        <w:rPr>
          <w:color w:val="231F20"/>
        </w:rPr>
        <w:t>standards.</w:t>
      </w:r>
      <w:r>
        <w:rPr>
          <w:color w:val="231F20"/>
          <w:spacing w:val="-16"/>
        </w:rPr>
        <w:t> </w:t>
      </w:r>
      <w:r>
        <w:rPr>
          <w:color w:val="231F20"/>
        </w:rPr>
        <w:t>In</w:t>
      </w:r>
      <w:r>
        <w:rPr>
          <w:color w:val="231F20"/>
          <w:spacing w:val="-16"/>
        </w:rPr>
        <w:t> </w:t>
      </w:r>
      <w:r>
        <w:rPr>
          <w:color w:val="231F20"/>
        </w:rPr>
        <w:t>some</w:t>
      </w:r>
      <w:r>
        <w:rPr>
          <w:color w:val="231F20"/>
          <w:spacing w:val="-16"/>
        </w:rPr>
        <w:t> </w:t>
      </w:r>
      <w:r>
        <w:rPr>
          <w:color w:val="231F20"/>
        </w:rPr>
        <w:t>situations,</w:t>
      </w:r>
      <w:r>
        <w:rPr>
          <w:color w:val="231F20"/>
          <w:spacing w:val="-16"/>
        </w:rPr>
        <w:t> </w:t>
      </w:r>
      <w:r>
        <w:rPr>
          <w:color w:val="231F20"/>
        </w:rPr>
        <w:t>an</w:t>
      </w:r>
      <w:r>
        <w:rPr>
          <w:color w:val="231F20"/>
          <w:spacing w:val="-16"/>
        </w:rPr>
        <w:t> </w:t>
      </w:r>
      <w:r>
        <w:rPr>
          <w:color w:val="231F20"/>
        </w:rPr>
        <w:t>entire</w:t>
      </w:r>
      <w:r>
        <w:rPr>
          <w:color w:val="231F20"/>
          <w:spacing w:val="-16"/>
        </w:rPr>
        <w:t> </w:t>
      </w:r>
      <w:r>
        <w:rPr>
          <w:color w:val="231F20"/>
        </w:rPr>
        <w:t>commodity type used in hedging may cease to qualify for special hedge accounting treatment. As an example, during third quarter 2013, the Company’s routine statistical analysis performed to determine which commodities qualify </w:t>
      </w:r>
      <w:r>
        <w:rPr>
          <w:color w:val="231F20"/>
          <w:spacing w:val="-2"/>
        </w:rPr>
        <w:t>for </w:t>
      </w:r>
      <w:r>
        <w:rPr>
          <w:color w:val="231F20"/>
        </w:rPr>
        <w:t>special hedge accounting treatment on a prospective basis dictated that WTI crude oil based derivatives no </w:t>
      </w:r>
      <w:r>
        <w:rPr>
          <w:color w:val="231F20"/>
          <w:spacing w:val="-2"/>
        </w:rPr>
        <w:t>longer </w:t>
      </w:r>
      <w:r>
        <w:rPr>
          <w:color w:val="231F20"/>
        </w:rPr>
        <w:t>qualify</w:t>
      </w:r>
      <w:r>
        <w:rPr>
          <w:color w:val="231F20"/>
          <w:spacing w:val="-12"/>
        </w:rPr>
        <w:t> </w:t>
      </w:r>
      <w:r>
        <w:rPr>
          <w:color w:val="231F20"/>
        </w:rPr>
        <w:t>for</w:t>
      </w:r>
      <w:r>
        <w:rPr>
          <w:color w:val="231F20"/>
          <w:spacing w:val="-12"/>
        </w:rPr>
        <w:t> </w:t>
      </w:r>
      <w:r>
        <w:rPr>
          <w:color w:val="231F20"/>
        </w:rPr>
        <w:t>hedge</w:t>
      </w:r>
      <w:r>
        <w:rPr>
          <w:color w:val="231F20"/>
          <w:spacing w:val="-12"/>
        </w:rPr>
        <w:t> </w:t>
      </w:r>
      <w:r>
        <w:rPr>
          <w:color w:val="231F20"/>
        </w:rPr>
        <w:t>accounting.</w:t>
      </w:r>
      <w:r>
        <w:rPr>
          <w:color w:val="231F20"/>
          <w:spacing w:val="-12"/>
        </w:rPr>
        <w:t> </w:t>
      </w:r>
      <w:r>
        <w:rPr>
          <w:color w:val="231F20"/>
        </w:rPr>
        <w:t>This</w:t>
      </w:r>
      <w:r>
        <w:rPr>
          <w:color w:val="231F20"/>
          <w:spacing w:val="-12"/>
        </w:rPr>
        <w:t> </w:t>
      </w:r>
      <w:r>
        <w:rPr>
          <w:color w:val="231F20"/>
        </w:rPr>
        <w:t>is</w:t>
      </w:r>
      <w:r>
        <w:rPr>
          <w:color w:val="231F20"/>
          <w:spacing w:val="-12"/>
        </w:rPr>
        <w:t> </w:t>
      </w:r>
      <w:r>
        <w:rPr>
          <w:color w:val="231F20"/>
        </w:rPr>
        <w:t>primarily</w:t>
      </w:r>
      <w:r>
        <w:rPr>
          <w:color w:val="231F20"/>
          <w:spacing w:val="-12"/>
        </w:rPr>
        <w:t> </w:t>
      </w:r>
      <w:r>
        <w:rPr>
          <w:color w:val="231F20"/>
        </w:rPr>
        <w:t>due</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fact</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correlation</w:t>
      </w:r>
      <w:r>
        <w:rPr>
          <w:color w:val="231F20"/>
          <w:spacing w:val="-12"/>
        </w:rPr>
        <w:t> </w:t>
      </w:r>
      <w:r>
        <w:rPr>
          <w:color w:val="231F20"/>
        </w:rPr>
        <w:t>between</w:t>
      </w:r>
      <w:r>
        <w:rPr>
          <w:color w:val="231F20"/>
          <w:spacing w:val="-12"/>
        </w:rPr>
        <w:t> </w:t>
      </w:r>
      <w:r>
        <w:rPr>
          <w:color w:val="231F20"/>
        </w:rPr>
        <w:t>WTI</w:t>
      </w:r>
      <w:r>
        <w:rPr>
          <w:color w:val="231F20"/>
          <w:spacing w:val="-12"/>
        </w:rPr>
        <w:t> </w:t>
      </w:r>
      <w:r>
        <w:rPr>
          <w:color w:val="231F20"/>
        </w:rPr>
        <w:t>crude</w:t>
      </w:r>
      <w:r>
        <w:rPr>
          <w:color w:val="231F20"/>
          <w:spacing w:val="-12"/>
        </w:rPr>
        <w:t> </w:t>
      </w:r>
      <w:r>
        <w:rPr>
          <w:color w:val="231F20"/>
        </w:rPr>
        <w:t>oil</w:t>
      </w:r>
      <w:r>
        <w:rPr>
          <w:color w:val="231F20"/>
          <w:spacing w:val="-12"/>
        </w:rPr>
        <w:t> </w:t>
      </w:r>
      <w:r>
        <w:rPr>
          <w:color w:val="231F20"/>
        </w:rPr>
        <w:t>prices</w:t>
      </w:r>
      <w:r>
        <w:rPr>
          <w:color w:val="231F20"/>
          <w:spacing w:val="-12"/>
        </w:rPr>
        <w:t> </w:t>
      </w:r>
      <w:r>
        <w:rPr>
          <w:color w:val="231F20"/>
          <w:spacing w:val="-2"/>
        </w:rPr>
        <w:t>and </w:t>
      </w:r>
      <w:r>
        <w:rPr>
          <w:color w:val="231F20"/>
        </w:rPr>
        <w:t>jet</w:t>
      </w:r>
      <w:r>
        <w:rPr>
          <w:color w:val="231F20"/>
          <w:spacing w:val="-10"/>
        </w:rPr>
        <w:t> </w:t>
      </w:r>
      <w:r>
        <w:rPr>
          <w:color w:val="231F20"/>
        </w:rPr>
        <w:t>fuel</w:t>
      </w:r>
      <w:r>
        <w:rPr>
          <w:color w:val="231F20"/>
          <w:spacing w:val="-10"/>
        </w:rPr>
        <w:t> </w:t>
      </w:r>
      <w:r>
        <w:rPr>
          <w:color w:val="231F20"/>
        </w:rPr>
        <w:t>prices</w:t>
      </w:r>
      <w:r>
        <w:rPr>
          <w:color w:val="231F20"/>
          <w:spacing w:val="-10"/>
        </w:rPr>
        <w:t> </w:t>
      </w:r>
      <w:r>
        <w:rPr>
          <w:color w:val="231F20"/>
        </w:rPr>
        <w:t>during</w:t>
      </w:r>
      <w:r>
        <w:rPr>
          <w:color w:val="231F20"/>
          <w:spacing w:val="-11"/>
        </w:rPr>
        <w:t> </w:t>
      </w:r>
      <w:r>
        <w:rPr>
          <w:color w:val="231F20"/>
        </w:rPr>
        <w:t>recent</w:t>
      </w:r>
      <w:r>
        <w:rPr>
          <w:color w:val="231F20"/>
          <w:spacing w:val="-10"/>
        </w:rPr>
        <w:t> </w:t>
      </w:r>
      <w:r>
        <w:rPr>
          <w:color w:val="231F20"/>
        </w:rPr>
        <w:t>periods</w:t>
      </w:r>
      <w:r>
        <w:rPr>
          <w:color w:val="231F20"/>
          <w:spacing w:val="-10"/>
        </w:rPr>
        <w:t> </w:t>
      </w:r>
      <w:r>
        <w:rPr>
          <w:color w:val="231F20"/>
        </w:rPr>
        <w:t>has</w:t>
      </w:r>
      <w:r>
        <w:rPr>
          <w:color w:val="231F20"/>
          <w:spacing w:val="-10"/>
        </w:rPr>
        <w:t> </w:t>
      </w:r>
      <w:r>
        <w:rPr>
          <w:color w:val="231F20"/>
        </w:rPr>
        <w:t>not</w:t>
      </w:r>
      <w:r>
        <w:rPr>
          <w:color w:val="231F20"/>
          <w:spacing w:val="-10"/>
        </w:rPr>
        <w:t> </w:t>
      </w:r>
      <w:r>
        <w:rPr>
          <w:color w:val="231F20"/>
        </w:rPr>
        <w:t>been</w:t>
      </w:r>
      <w:r>
        <w:rPr>
          <w:color w:val="231F20"/>
          <w:spacing w:val="-11"/>
        </w:rPr>
        <w:t> </w:t>
      </w:r>
      <w:r>
        <w:rPr>
          <w:color w:val="231F20"/>
        </w:rPr>
        <w:t>as</w:t>
      </w:r>
      <w:r>
        <w:rPr>
          <w:color w:val="231F20"/>
          <w:spacing w:val="-10"/>
        </w:rPr>
        <w:t> </w:t>
      </w:r>
      <w:r>
        <w:rPr>
          <w:color w:val="231F20"/>
        </w:rPr>
        <w:t>strong</w:t>
      </w:r>
      <w:r>
        <w:rPr>
          <w:color w:val="231F20"/>
          <w:spacing w:val="-11"/>
        </w:rPr>
        <w:t> </w:t>
      </w:r>
      <w:r>
        <w:rPr>
          <w:color w:val="231F20"/>
        </w:rPr>
        <w:t>as</w:t>
      </w:r>
      <w:r>
        <w:rPr>
          <w:color w:val="231F20"/>
          <w:spacing w:val="-10"/>
        </w:rPr>
        <w:t> </w:t>
      </w:r>
      <w:r>
        <w:rPr>
          <w:color w:val="231F20"/>
        </w:rPr>
        <w:t>in</w:t>
      </w:r>
      <w:r>
        <w:rPr>
          <w:color w:val="231F20"/>
          <w:spacing w:val="-11"/>
        </w:rPr>
        <w:t> </w:t>
      </w:r>
      <w:r>
        <w:rPr>
          <w:color w:val="231F20"/>
        </w:rPr>
        <w:t>the</w:t>
      </w:r>
      <w:r>
        <w:rPr>
          <w:color w:val="231F20"/>
          <w:spacing w:val="-10"/>
        </w:rPr>
        <w:t> </w:t>
      </w:r>
      <w:r>
        <w:rPr>
          <w:color w:val="231F20"/>
        </w:rPr>
        <w:t>past,</w:t>
      </w:r>
      <w:r>
        <w:rPr>
          <w:color w:val="231F20"/>
          <w:spacing w:val="-11"/>
        </w:rPr>
        <w:t> </w:t>
      </w:r>
      <w:r>
        <w:rPr>
          <w:color w:val="231F20"/>
        </w:rPr>
        <w:t>and</w:t>
      </w:r>
      <w:r>
        <w:rPr>
          <w:color w:val="231F20"/>
          <w:spacing w:val="-11"/>
        </w:rPr>
        <w:t> </w:t>
      </w:r>
      <w:r>
        <w:rPr>
          <w:color w:val="231F20"/>
        </w:rPr>
        <w:t>therefore</w:t>
      </w:r>
      <w:r>
        <w:rPr>
          <w:color w:val="231F20"/>
          <w:spacing w:val="-10"/>
        </w:rPr>
        <w:t> </w:t>
      </w:r>
      <w:r>
        <w:rPr>
          <w:color w:val="231F20"/>
        </w:rPr>
        <w:t>the</w:t>
      </w:r>
      <w:r>
        <w:rPr>
          <w:color w:val="231F20"/>
          <w:spacing w:val="-10"/>
        </w:rPr>
        <w:t> </w:t>
      </w:r>
      <w:r>
        <w:rPr>
          <w:color w:val="231F20"/>
        </w:rPr>
        <w:t>Company</w:t>
      </w:r>
      <w:r>
        <w:rPr>
          <w:color w:val="231F20"/>
          <w:spacing w:val="-11"/>
        </w:rPr>
        <w:t> </w:t>
      </w:r>
      <w:r>
        <w:rPr>
          <w:color w:val="231F20"/>
        </w:rPr>
        <w:t>can</w:t>
      </w:r>
      <w:r>
        <w:rPr>
          <w:color w:val="231F20"/>
          <w:spacing w:val="-11"/>
        </w:rPr>
        <w:t> </w:t>
      </w:r>
      <w:r>
        <w:rPr>
          <w:color w:val="231F20"/>
        </w:rPr>
        <w:t>no</w:t>
      </w:r>
      <w:r>
        <w:rPr>
          <w:color w:val="231F20"/>
          <w:spacing w:val="-11"/>
        </w:rPr>
        <w:t> </w:t>
      </w:r>
      <w:r>
        <w:rPr>
          <w:color w:val="231F20"/>
          <w:spacing w:val="-2"/>
        </w:rPr>
        <w:t>longer </w:t>
      </w:r>
      <w:r>
        <w:rPr>
          <w:color w:val="231F20"/>
        </w:rPr>
        <w:t>demonstrate</w:t>
      </w:r>
      <w:r>
        <w:rPr>
          <w:color w:val="231F20"/>
          <w:spacing w:val="-13"/>
        </w:rPr>
        <w:t> </w:t>
      </w:r>
      <w:r>
        <w:rPr>
          <w:color w:val="231F20"/>
        </w:rPr>
        <w:t>that</w:t>
      </w:r>
      <w:r>
        <w:rPr>
          <w:color w:val="231F20"/>
          <w:spacing w:val="-13"/>
        </w:rPr>
        <w:t> </w:t>
      </w:r>
      <w:r>
        <w:rPr>
          <w:color w:val="231F20"/>
        </w:rPr>
        <w:t>derivatives</w:t>
      </w:r>
      <w:r>
        <w:rPr>
          <w:color w:val="231F20"/>
          <w:spacing w:val="-13"/>
        </w:rPr>
        <w:t> </w:t>
      </w:r>
      <w:r>
        <w:rPr>
          <w:color w:val="231F20"/>
        </w:rPr>
        <w:t>based</w:t>
      </w:r>
      <w:r>
        <w:rPr>
          <w:color w:val="231F20"/>
          <w:spacing w:val="-14"/>
        </w:rPr>
        <w:t> </w:t>
      </w:r>
      <w:r>
        <w:rPr>
          <w:color w:val="231F20"/>
        </w:rPr>
        <w:t>on</w:t>
      </w:r>
      <w:r>
        <w:rPr>
          <w:color w:val="231F20"/>
          <w:spacing w:val="-14"/>
        </w:rPr>
        <w:t> </w:t>
      </w:r>
      <w:r>
        <w:rPr>
          <w:color w:val="231F20"/>
        </w:rPr>
        <w:t>WTI</w:t>
      </w:r>
      <w:r>
        <w:rPr>
          <w:color w:val="231F20"/>
          <w:spacing w:val="-13"/>
        </w:rPr>
        <w:t> </w:t>
      </w:r>
      <w:r>
        <w:rPr>
          <w:color w:val="231F20"/>
        </w:rPr>
        <w:t>crude</w:t>
      </w:r>
      <w:r>
        <w:rPr>
          <w:color w:val="231F20"/>
          <w:spacing w:val="-13"/>
        </w:rPr>
        <w:t> </w:t>
      </w:r>
      <w:r>
        <w:rPr>
          <w:color w:val="231F20"/>
        </w:rPr>
        <w:t>oil</w:t>
      </w:r>
      <w:r>
        <w:rPr>
          <w:color w:val="231F20"/>
          <w:spacing w:val="-13"/>
        </w:rPr>
        <w:t> </w:t>
      </w:r>
      <w:r>
        <w:rPr>
          <w:color w:val="231F20"/>
        </w:rPr>
        <w:t>prices</w:t>
      </w:r>
      <w:r>
        <w:rPr>
          <w:color w:val="231F20"/>
          <w:spacing w:val="-13"/>
        </w:rPr>
        <w:t> </w:t>
      </w:r>
      <w:r>
        <w:rPr>
          <w:color w:val="231F20"/>
        </w:rPr>
        <w:t>will</w:t>
      </w:r>
      <w:r>
        <w:rPr>
          <w:color w:val="231F20"/>
          <w:spacing w:val="-13"/>
        </w:rPr>
        <w:t> </w:t>
      </w:r>
      <w:r>
        <w:rPr>
          <w:color w:val="231F20"/>
        </w:rPr>
        <w:t>result</w:t>
      </w:r>
      <w:r>
        <w:rPr>
          <w:color w:val="231F20"/>
          <w:spacing w:val="-13"/>
        </w:rPr>
        <w:t> </w:t>
      </w:r>
      <w:r>
        <w:rPr>
          <w:color w:val="231F20"/>
        </w:rPr>
        <w:t>in</w:t>
      </w:r>
      <w:r>
        <w:rPr>
          <w:color w:val="231F20"/>
          <w:spacing w:val="-14"/>
        </w:rPr>
        <w:t> </w:t>
      </w:r>
      <w:r>
        <w:rPr>
          <w:color w:val="231F20"/>
        </w:rPr>
        <w:t>effective</w:t>
      </w:r>
      <w:r>
        <w:rPr>
          <w:color w:val="231F20"/>
          <w:spacing w:val="-13"/>
        </w:rPr>
        <w:t> </w:t>
      </w:r>
      <w:r>
        <w:rPr>
          <w:color w:val="231F20"/>
        </w:rPr>
        <w:t>hedges</w:t>
      </w:r>
      <w:r>
        <w:rPr>
          <w:color w:val="231F20"/>
          <w:spacing w:val="-13"/>
        </w:rPr>
        <w:t> </w:t>
      </w:r>
      <w:r>
        <w:rPr>
          <w:color w:val="231F20"/>
        </w:rPr>
        <w:t>on</w:t>
      </w:r>
      <w:r>
        <w:rPr>
          <w:color w:val="231F20"/>
          <w:spacing w:val="-14"/>
        </w:rPr>
        <w:t> </w:t>
      </w:r>
      <w:r>
        <w:rPr>
          <w:color w:val="231F20"/>
        </w:rPr>
        <w:t>a</w:t>
      </w:r>
      <w:r>
        <w:rPr>
          <w:color w:val="231F20"/>
          <w:spacing w:val="-13"/>
        </w:rPr>
        <w:t> </w:t>
      </w:r>
      <w:r>
        <w:rPr>
          <w:color w:val="231F20"/>
        </w:rPr>
        <w:t>prospective</w:t>
      </w:r>
      <w:r>
        <w:rPr>
          <w:color w:val="231F20"/>
          <w:spacing w:val="-13"/>
        </w:rPr>
        <w:t> </w:t>
      </w:r>
      <w:r>
        <w:rPr>
          <w:color w:val="231F20"/>
        </w:rPr>
        <w:t>basis.</w:t>
      </w:r>
      <w:r>
        <w:rPr>
          <w:color w:val="231F20"/>
          <w:spacing w:val="-14"/>
        </w:rPr>
        <w:t> </w:t>
      </w:r>
      <w:r>
        <w:rPr>
          <w:color w:val="231F20"/>
        </w:rPr>
        <w:t>As a result, the changes in fair value of all of the Company’s derivatives based in WTI have been recorded to Other (gains) losses, and all future changes in the fair value of such instruments will continue to be recorded directly to earnings</w:t>
      </w:r>
      <w:r>
        <w:rPr>
          <w:color w:val="231F20"/>
          <w:spacing w:val="-12"/>
        </w:rPr>
        <w:t> </w:t>
      </w:r>
      <w:r>
        <w:rPr>
          <w:color w:val="231F20"/>
        </w:rPr>
        <w:t>in</w:t>
      </w:r>
      <w:r>
        <w:rPr>
          <w:color w:val="231F20"/>
          <w:spacing w:val="-12"/>
        </w:rPr>
        <w:t> </w:t>
      </w:r>
      <w:r>
        <w:rPr>
          <w:color w:val="231F20"/>
        </w:rPr>
        <w:t>future</w:t>
      </w:r>
      <w:r>
        <w:rPr>
          <w:color w:val="231F20"/>
          <w:spacing w:val="-12"/>
        </w:rPr>
        <w:t> </w:t>
      </w:r>
      <w:r>
        <w:rPr>
          <w:color w:val="231F20"/>
        </w:rPr>
        <w:t>periods.</w:t>
      </w:r>
      <w:r>
        <w:rPr>
          <w:color w:val="231F20"/>
          <w:spacing w:val="-13"/>
        </w:rPr>
        <w:t> </w:t>
      </w:r>
      <w:r>
        <w:rPr>
          <w:color w:val="231F20"/>
        </w:rPr>
        <w:t>Adjustments</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Company’s</w:t>
      </w:r>
      <w:r>
        <w:rPr>
          <w:color w:val="231F20"/>
          <w:spacing w:val="-12"/>
        </w:rPr>
        <w:t> </w:t>
      </w:r>
      <w:r>
        <w:rPr>
          <w:color w:val="231F20"/>
        </w:rPr>
        <w:t>overall</w:t>
      </w:r>
      <w:r>
        <w:rPr>
          <w:color w:val="231F20"/>
          <w:spacing w:val="-12"/>
        </w:rPr>
        <w:t> </w:t>
      </w:r>
      <w:r>
        <w:rPr>
          <w:color w:val="231F20"/>
        </w:rPr>
        <w:t>fuel</w:t>
      </w:r>
      <w:r>
        <w:rPr>
          <w:color w:val="231F20"/>
          <w:spacing w:val="-12"/>
        </w:rPr>
        <w:t> </w:t>
      </w:r>
      <w:r>
        <w:rPr>
          <w:color w:val="231F20"/>
        </w:rPr>
        <w:t>hedging</w:t>
      </w:r>
      <w:r>
        <w:rPr>
          <w:color w:val="231F20"/>
          <w:spacing w:val="-13"/>
        </w:rPr>
        <w:t> </w:t>
      </w:r>
      <w:r>
        <w:rPr>
          <w:color w:val="231F20"/>
        </w:rPr>
        <w:t>strategy,</w:t>
      </w:r>
      <w:r>
        <w:rPr>
          <w:color w:val="231F20"/>
          <w:spacing w:val="-13"/>
        </w:rPr>
        <w:t> </w:t>
      </w:r>
      <w:r>
        <w:rPr>
          <w:color w:val="231F20"/>
        </w:rPr>
        <w:t>as</w:t>
      </w:r>
      <w:r>
        <w:rPr>
          <w:color w:val="231F20"/>
          <w:spacing w:val="-12"/>
        </w:rPr>
        <w:t> </w:t>
      </w:r>
      <w:r>
        <w:rPr>
          <w:color w:val="231F20"/>
        </w:rPr>
        <w:t>well</w:t>
      </w:r>
      <w:r>
        <w:rPr>
          <w:color w:val="231F20"/>
          <w:spacing w:val="-12"/>
        </w:rPr>
        <w:t> </w:t>
      </w:r>
      <w:r>
        <w:rPr>
          <w:color w:val="231F20"/>
        </w:rPr>
        <w:t>as</w:t>
      </w:r>
      <w:r>
        <w:rPr>
          <w:color w:val="231F20"/>
          <w:spacing w:val="-12"/>
        </w:rPr>
        <w:t> </w:t>
      </w:r>
      <w:r>
        <w:rPr>
          <w:color w:val="231F20"/>
        </w:rPr>
        <w:t>the</w:t>
      </w:r>
      <w:r>
        <w:rPr>
          <w:color w:val="231F20"/>
          <w:spacing w:val="-12"/>
        </w:rPr>
        <w:t> </w:t>
      </w:r>
      <w:r>
        <w:rPr>
          <w:color w:val="231F20"/>
        </w:rPr>
        <w:t>ability</w:t>
      </w:r>
      <w:r>
        <w:rPr>
          <w:color w:val="231F20"/>
          <w:spacing w:val="-13"/>
        </w:rPr>
        <w:t> </w:t>
      </w:r>
      <w:r>
        <w:rPr>
          <w:color w:val="231F20"/>
        </w:rPr>
        <w:t>of</w:t>
      </w:r>
      <w:r>
        <w:rPr>
          <w:color w:val="231F20"/>
          <w:spacing w:val="-12"/>
        </w:rPr>
        <w:t> </w:t>
      </w:r>
      <w:r>
        <w:rPr>
          <w:color w:val="231F20"/>
          <w:spacing w:val="-2"/>
        </w:rPr>
        <w:t>the </w:t>
      </w:r>
      <w:r>
        <w:rPr>
          <w:color w:val="231F20"/>
        </w:rPr>
        <w:t>commodities used in fuel hedging (principally crude oil, heating oil, and unleaded gasoline) to qualify for special hedge</w:t>
      </w:r>
      <w:r>
        <w:rPr>
          <w:color w:val="231F20"/>
          <w:spacing w:val="-12"/>
        </w:rPr>
        <w:t> </w:t>
      </w:r>
      <w:r>
        <w:rPr>
          <w:color w:val="231F20"/>
        </w:rPr>
        <w:t>accounting,</w:t>
      </w:r>
      <w:r>
        <w:rPr>
          <w:color w:val="231F20"/>
          <w:spacing w:val="-12"/>
        </w:rPr>
        <w:t> </w:t>
      </w:r>
      <w:r>
        <w:rPr>
          <w:color w:val="231F20"/>
        </w:rPr>
        <w:t>are</w:t>
      </w:r>
      <w:r>
        <w:rPr>
          <w:color w:val="231F20"/>
          <w:spacing w:val="-12"/>
        </w:rPr>
        <w:t> </w:t>
      </w:r>
      <w:r>
        <w:rPr>
          <w:color w:val="231F20"/>
        </w:rPr>
        <w:t>likely</w:t>
      </w:r>
      <w:r>
        <w:rPr>
          <w:color w:val="231F20"/>
          <w:spacing w:val="-13"/>
        </w:rPr>
        <w:t> </w:t>
      </w:r>
      <w:r>
        <w:rPr>
          <w:color w:val="231F20"/>
        </w:rPr>
        <w:t>to</w:t>
      </w:r>
      <w:r>
        <w:rPr>
          <w:color w:val="231F20"/>
          <w:spacing w:val="-13"/>
        </w:rPr>
        <w:t> </w:t>
      </w:r>
      <w:r>
        <w:rPr>
          <w:color w:val="231F20"/>
        </w:rPr>
        <w:t>continue</w:t>
      </w:r>
      <w:r>
        <w:rPr>
          <w:color w:val="231F20"/>
          <w:spacing w:val="-12"/>
        </w:rPr>
        <w:t> </w:t>
      </w:r>
      <w:r>
        <w:rPr>
          <w:color w:val="231F20"/>
        </w:rPr>
        <w:t>to</w:t>
      </w:r>
      <w:r>
        <w:rPr>
          <w:color w:val="231F20"/>
          <w:spacing w:val="-13"/>
        </w:rPr>
        <w:t> </w:t>
      </w:r>
      <w:r>
        <w:rPr>
          <w:color w:val="231F20"/>
        </w:rPr>
        <w:t>affect</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results</w:t>
      </w:r>
      <w:r>
        <w:rPr>
          <w:color w:val="231F20"/>
          <w:spacing w:val="-12"/>
        </w:rPr>
        <w:t> </w:t>
      </w:r>
      <w:r>
        <w:rPr>
          <w:color w:val="231F20"/>
        </w:rPr>
        <w:t>of</w:t>
      </w:r>
      <w:r>
        <w:rPr>
          <w:color w:val="231F20"/>
          <w:spacing w:val="-12"/>
        </w:rPr>
        <w:t> </w:t>
      </w:r>
      <w:r>
        <w:rPr>
          <w:color w:val="231F20"/>
        </w:rPr>
        <w:t>operations.</w:t>
      </w:r>
      <w:r>
        <w:rPr>
          <w:color w:val="231F20"/>
          <w:spacing w:val="-12"/>
        </w:rPr>
        <w:t> </w:t>
      </w:r>
      <w:r>
        <w:rPr>
          <w:color w:val="231F20"/>
        </w:rPr>
        <w:t>In</w:t>
      </w:r>
      <w:r>
        <w:rPr>
          <w:color w:val="231F20"/>
          <w:spacing w:val="-13"/>
        </w:rPr>
        <w:t> </w:t>
      </w:r>
      <w:r>
        <w:rPr>
          <w:color w:val="231F20"/>
        </w:rPr>
        <w:t>addition,</w:t>
      </w:r>
      <w:r>
        <w:rPr>
          <w:color w:val="231F20"/>
          <w:spacing w:val="-13"/>
        </w:rPr>
        <w:t> </w:t>
      </w:r>
      <w:r>
        <w:rPr>
          <w:color w:val="231F20"/>
        </w:rPr>
        <w:t>there</w:t>
      </w:r>
      <w:r>
        <w:rPr>
          <w:color w:val="231F20"/>
          <w:spacing w:val="-12"/>
        </w:rPr>
        <w:t> </w:t>
      </w:r>
      <w:r>
        <w:rPr>
          <w:color w:val="231F20"/>
        </w:rPr>
        <w:t>can</w:t>
      </w:r>
      <w:r>
        <w:rPr>
          <w:color w:val="231F20"/>
          <w:spacing w:val="-13"/>
        </w:rPr>
        <w:t> </w:t>
      </w:r>
      <w:r>
        <w:rPr>
          <w:color w:val="231F20"/>
        </w:rPr>
        <w:t>be</w:t>
      </w:r>
      <w:r>
        <w:rPr>
          <w:color w:val="231F20"/>
          <w:spacing w:val="-12"/>
        </w:rPr>
        <w:t> </w:t>
      </w:r>
      <w:r>
        <w:rPr>
          <w:color w:val="231F20"/>
        </w:rPr>
        <w:t>no assurance</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will</w:t>
      </w:r>
      <w:r>
        <w:rPr>
          <w:color w:val="231F20"/>
          <w:spacing w:val="-13"/>
        </w:rPr>
        <w:t> </w:t>
      </w:r>
      <w:r>
        <w:rPr>
          <w:color w:val="231F20"/>
        </w:rPr>
        <w:t>be</w:t>
      </w:r>
      <w:r>
        <w:rPr>
          <w:color w:val="231F20"/>
          <w:spacing w:val="-13"/>
        </w:rPr>
        <w:t> </w:t>
      </w:r>
      <w:r>
        <w:rPr>
          <w:color w:val="231F20"/>
        </w:rPr>
        <w:t>able</w:t>
      </w:r>
      <w:r>
        <w:rPr>
          <w:color w:val="231F20"/>
          <w:spacing w:val="-13"/>
        </w:rPr>
        <w:t> </w:t>
      </w:r>
      <w:r>
        <w:rPr>
          <w:color w:val="231F20"/>
        </w:rPr>
        <w:t>to</w:t>
      </w:r>
      <w:r>
        <w:rPr>
          <w:color w:val="231F20"/>
          <w:spacing w:val="-13"/>
        </w:rPr>
        <w:t> </w:t>
      </w:r>
      <w:r>
        <w:rPr>
          <w:color w:val="231F20"/>
        </w:rPr>
        <w:t>cost-effectively</w:t>
      </w:r>
      <w:r>
        <w:rPr>
          <w:color w:val="231F20"/>
          <w:spacing w:val="-13"/>
        </w:rPr>
        <w:t> </w:t>
      </w:r>
      <w:r>
        <w:rPr>
          <w:color w:val="231F20"/>
        </w:rPr>
        <w:t>hedge</w:t>
      </w:r>
      <w:r>
        <w:rPr>
          <w:color w:val="231F20"/>
          <w:spacing w:val="-13"/>
        </w:rPr>
        <w:t> </w:t>
      </w:r>
      <w:r>
        <w:rPr>
          <w:color w:val="231F20"/>
        </w:rPr>
        <w:t>against</w:t>
      </w:r>
      <w:r>
        <w:rPr>
          <w:color w:val="231F20"/>
          <w:spacing w:val="-13"/>
        </w:rPr>
        <w:t> </w:t>
      </w:r>
      <w:r>
        <w:rPr>
          <w:color w:val="231F20"/>
        </w:rPr>
        <w:t>increases</w:t>
      </w:r>
      <w:r>
        <w:rPr>
          <w:color w:val="231F20"/>
          <w:spacing w:val="-13"/>
        </w:rPr>
        <w:t> </w:t>
      </w:r>
      <w:r>
        <w:rPr>
          <w:color w:val="231F20"/>
        </w:rPr>
        <w:t>in</w:t>
      </w:r>
      <w:r>
        <w:rPr>
          <w:color w:val="231F20"/>
          <w:spacing w:val="-13"/>
        </w:rPr>
        <w:t> </w:t>
      </w:r>
      <w:r>
        <w:rPr>
          <w:color w:val="231F20"/>
        </w:rPr>
        <w:t>fuel</w:t>
      </w:r>
      <w:r>
        <w:rPr>
          <w:color w:val="231F20"/>
          <w:spacing w:val="-13"/>
        </w:rPr>
        <w:t> </w:t>
      </w:r>
      <w:r>
        <w:rPr>
          <w:color w:val="231F20"/>
        </w:rPr>
        <w:t>prices.</w:t>
      </w:r>
      <w:r>
        <w:rPr>
          <w:color w:val="231F20"/>
          <w:spacing w:val="-13"/>
        </w:rPr>
        <w:t> </w:t>
      </w:r>
      <w:r>
        <w:rPr>
          <w:color w:val="231F20"/>
        </w:rPr>
        <w:t>The</w:t>
      </w:r>
      <w:r>
        <w:rPr>
          <w:color w:val="231F20"/>
          <w:spacing w:val="-13"/>
        </w:rPr>
        <w:t> </w:t>
      </w:r>
      <w:r>
        <w:rPr>
          <w:color w:val="231F20"/>
        </w:rPr>
        <w:t>Company’s fuel hedging arrangements and the impact of hedge accounting on the Company’s results of operations </w:t>
      </w:r>
      <w:r>
        <w:rPr>
          <w:color w:val="231F20"/>
          <w:spacing w:val="-2"/>
        </w:rPr>
        <w:t>are </w:t>
      </w:r>
      <w:r>
        <w:rPr>
          <w:color w:val="231F20"/>
        </w:rPr>
        <w:t>discussed in more detail under “Management’s Discussion and Analysis of Financial Condition and Results of Operations”</w:t>
      </w:r>
      <w:r>
        <w:rPr>
          <w:color w:val="231F20"/>
          <w:spacing w:val="-16"/>
        </w:rPr>
        <w:t> </w:t>
      </w:r>
      <w:r>
        <w:rPr>
          <w:color w:val="231F20"/>
        </w:rPr>
        <w:t>and</w:t>
      </w:r>
      <w:r>
        <w:rPr>
          <w:color w:val="231F20"/>
          <w:spacing w:val="-16"/>
        </w:rPr>
        <w:t> </w:t>
      </w:r>
      <w:r>
        <w:rPr>
          <w:color w:val="231F20"/>
        </w:rPr>
        <w:t>in</w:t>
      </w:r>
      <w:r>
        <w:rPr>
          <w:color w:val="231F20"/>
          <w:spacing w:val="-16"/>
        </w:rPr>
        <w:t> </w:t>
      </w:r>
      <w:r>
        <w:rPr>
          <w:color w:val="231F20"/>
        </w:rPr>
        <w:t>Note</w:t>
      </w:r>
      <w:r>
        <w:rPr>
          <w:color w:val="231F20"/>
          <w:spacing w:val="-16"/>
        </w:rPr>
        <w:t> </w:t>
      </w:r>
      <w:r>
        <w:rPr>
          <w:color w:val="231F20"/>
        </w:rPr>
        <w:t>10</w:t>
      </w:r>
      <w:r>
        <w:rPr>
          <w:color w:val="231F20"/>
          <w:spacing w:val="-16"/>
        </w:rPr>
        <w:t> </w:t>
      </w:r>
      <w:r>
        <w:rPr>
          <w:color w:val="231F20"/>
        </w:rPr>
        <w:t>to</w:t>
      </w:r>
      <w:r>
        <w:rPr>
          <w:color w:val="231F20"/>
          <w:spacing w:val="-16"/>
        </w:rPr>
        <w:t> </w:t>
      </w:r>
      <w:r>
        <w:rPr>
          <w:color w:val="231F20"/>
        </w:rPr>
        <w:t>the</w:t>
      </w:r>
      <w:r>
        <w:rPr>
          <w:color w:val="231F20"/>
          <w:spacing w:val="-16"/>
        </w:rPr>
        <w:t> </w:t>
      </w:r>
      <w:r>
        <w:rPr>
          <w:color w:val="231F20"/>
        </w:rPr>
        <w:t>Consolidated</w:t>
      </w:r>
      <w:r>
        <w:rPr>
          <w:color w:val="231F20"/>
          <w:spacing w:val="-16"/>
        </w:rPr>
        <w:t> </w:t>
      </w:r>
      <w:r>
        <w:rPr>
          <w:color w:val="231F20"/>
        </w:rPr>
        <w:t>Financial</w:t>
      </w:r>
      <w:r>
        <w:rPr>
          <w:color w:val="231F20"/>
          <w:spacing w:val="-16"/>
        </w:rPr>
        <w:t> </w:t>
      </w:r>
      <w:r>
        <w:rPr>
          <w:color w:val="231F20"/>
        </w:rPr>
        <w:t>Statements.</w:t>
      </w:r>
    </w:p>
    <w:p>
      <w:pPr>
        <w:pStyle w:val="BodyText"/>
        <w:spacing w:line="249" w:lineRule="auto" w:before="181"/>
        <w:ind w:left="100" w:right="127"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 price.</w:t>
      </w:r>
    </w:p>
    <w:p>
      <w:pPr>
        <w:spacing w:after="0" w:line="249" w:lineRule="auto"/>
        <w:sectPr>
          <w:pgSz w:w="11880" w:h="15480"/>
          <w:pgMar w:header="0" w:footer="1253" w:top="1240" w:bottom="1440" w:left="1280" w:right="1300"/>
        </w:sectPr>
      </w:pPr>
    </w:p>
    <w:p>
      <w:pPr>
        <w:pStyle w:val="Heading4"/>
        <w:spacing w:line="249" w:lineRule="auto" w:before="73"/>
        <w:ind w:right="474"/>
      </w:pPr>
      <w:r>
        <w:rPr>
          <w:i/>
          <w:color w:val="231F20"/>
        </w:rPr>
        <w:t>The Company’s low-cost structure has historically been one of its primary competitive advantages, and </w:t>
      </w:r>
      <w:r>
        <w:rPr>
          <w:color w:val="231F20"/>
        </w:rPr>
        <w:t>many factors have affected and could continue to affect the Company’s ability to control its costs.</w:t>
      </w:r>
    </w:p>
    <w:p>
      <w:pPr>
        <w:pStyle w:val="BodyText"/>
        <w:spacing w:line="249" w:lineRule="auto" w:before="181"/>
        <w:ind w:left="100" w:right="243" w:firstLine="490"/>
      </w:pPr>
      <w:r>
        <w:rPr>
          <w:color w:val="231F20"/>
        </w:rPr>
        <w:t>The Company’s low-cost structure has historically been one of its primary competitive advantages, as it has enabled Southwest to historically offer low fares, drive traffic volume, and grow market share. The Company’s low-cost structure has become increasingly important as a result of the Company’s decision to limit capacity growth in response to high fuel prices and uncertain economic conditions. While the Company has in the past been able to cover increasing costs through growth, the combination of capacity control and increasing costs has contributed to an increase in the Company’s costs per available seat mile.</w:t>
      </w:r>
    </w:p>
    <w:p>
      <w:pPr>
        <w:pStyle w:val="BodyText"/>
        <w:spacing w:line="249" w:lineRule="auto" w:before="181"/>
        <w:ind w:left="100" w:right="147" w:firstLine="490"/>
      </w:pPr>
      <w:r>
        <w:rPr>
          <w:color w:val="231F20"/>
        </w:rPr>
        <w:t>The</w:t>
      </w:r>
      <w:r>
        <w:rPr>
          <w:color w:val="231F20"/>
          <w:spacing w:val="-14"/>
        </w:rPr>
        <w:t> </w:t>
      </w:r>
      <w:r>
        <w:rPr>
          <w:color w:val="231F20"/>
          <w:spacing w:val="-3"/>
        </w:rPr>
        <w:t>Company</w:t>
      </w:r>
      <w:r>
        <w:rPr>
          <w:color w:val="231F20"/>
          <w:spacing w:val="-14"/>
        </w:rPr>
        <w:t> </w:t>
      </w:r>
      <w:r>
        <w:rPr>
          <w:color w:val="231F20"/>
        </w:rPr>
        <w:t>has</w:t>
      </w:r>
      <w:r>
        <w:rPr>
          <w:color w:val="231F20"/>
          <w:spacing w:val="-14"/>
        </w:rPr>
        <w:t> </w:t>
      </w:r>
      <w:r>
        <w:rPr>
          <w:color w:val="231F20"/>
          <w:spacing w:val="-3"/>
        </w:rPr>
        <w:t>limited</w:t>
      </w:r>
      <w:r>
        <w:rPr>
          <w:color w:val="231F20"/>
          <w:spacing w:val="-14"/>
        </w:rPr>
        <w:t> </w:t>
      </w:r>
      <w:r>
        <w:rPr>
          <w:color w:val="231F20"/>
          <w:spacing w:val="-3"/>
        </w:rPr>
        <w:t>control</w:t>
      </w:r>
      <w:r>
        <w:rPr>
          <w:color w:val="231F20"/>
          <w:spacing w:val="-14"/>
        </w:rPr>
        <w:t> </w:t>
      </w:r>
      <w:r>
        <w:rPr>
          <w:color w:val="231F20"/>
          <w:spacing w:val="-3"/>
        </w:rPr>
        <w:t>over</w:t>
      </w:r>
      <w:r>
        <w:rPr>
          <w:color w:val="231F20"/>
          <w:spacing w:val="-14"/>
        </w:rPr>
        <w:t> </w:t>
      </w:r>
      <w:r>
        <w:rPr>
          <w:color w:val="231F20"/>
          <w:spacing w:val="-3"/>
        </w:rPr>
        <w:t>fuel</w:t>
      </w:r>
      <w:r>
        <w:rPr>
          <w:color w:val="231F20"/>
          <w:spacing w:val="-14"/>
        </w:rPr>
        <w:t> </w:t>
      </w:r>
      <w:r>
        <w:rPr>
          <w:color w:val="231F20"/>
        </w:rPr>
        <w:t>and</w:t>
      </w:r>
      <w:r>
        <w:rPr>
          <w:color w:val="231F20"/>
          <w:spacing w:val="-14"/>
        </w:rPr>
        <w:t> </w:t>
      </w:r>
      <w:r>
        <w:rPr>
          <w:color w:val="231F20"/>
          <w:spacing w:val="-3"/>
        </w:rPr>
        <w:t>labor</w:t>
      </w:r>
      <w:r>
        <w:rPr>
          <w:color w:val="231F20"/>
          <w:spacing w:val="-14"/>
        </w:rPr>
        <w:t> </w:t>
      </w:r>
      <w:r>
        <w:rPr>
          <w:color w:val="231F20"/>
          <w:spacing w:val="-3"/>
        </w:rPr>
        <w:t>costs,</w:t>
      </w:r>
      <w:r>
        <w:rPr>
          <w:color w:val="231F20"/>
          <w:spacing w:val="-14"/>
        </w:rPr>
        <w:t> </w:t>
      </w:r>
      <w:r>
        <w:rPr>
          <w:color w:val="231F20"/>
        </w:rPr>
        <w:t>as</w:t>
      </w:r>
      <w:r>
        <w:rPr>
          <w:color w:val="231F20"/>
          <w:spacing w:val="-14"/>
        </w:rPr>
        <w:t> </w:t>
      </w:r>
      <w:r>
        <w:rPr>
          <w:color w:val="231F20"/>
          <w:spacing w:val="-3"/>
        </w:rPr>
        <w:t>well</w:t>
      </w:r>
      <w:r>
        <w:rPr>
          <w:color w:val="231F20"/>
          <w:spacing w:val="-14"/>
        </w:rPr>
        <w:t> </w:t>
      </w:r>
      <w:r>
        <w:rPr>
          <w:color w:val="231F20"/>
        </w:rPr>
        <w:t>as</w:t>
      </w:r>
      <w:r>
        <w:rPr>
          <w:color w:val="231F20"/>
          <w:spacing w:val="-14"/>
        </w:rPr>
        <w:t> </w:t>
      </w:r>
      <w:r>
        <w:rPr>
          <w:color w:val="231F20"/>
          <w:spacing w:val="-3"/>
        </w:rPr>
        <w:t>other</w:t>
      </w:r>
      <w:r>
        <w:rPr>
          <w:color w:val="231F20"/>
          <w:spacing w:val="-14"/>
        </w:rPr>
        <w:t> </w:t>
      </w:r>
      <w:r>
        <w:rPr>
          <w:color w:val="231F20"/>
          <w:spacing w:val="-3"/>
        </w:rPr>
        <w:t>costs</w:t>
      </w:r>
      <w:r>
        <w:rPr>
          <w:color w:val="231F20"/>
          <w:spacing w:val="-14"/>
        </w:rPr>
        <w:t> </w:t>
      </w:r>
      <w:r>
        <w:rPr>
          <w:color w:val="231F20"/>
          <w:spacing w:val="-3"/>
        </w:rPr>
        <w:t>such</w:t>
      </w:r>
      <w:r>
        <w:rPr>
          <w:color w:val="231F20"/>
          <w:spacing w:val="-14"/>
        </w:rPr>
        <w:t> </w:t>
      </w:r>
      <w:r>
        <w:rPr>
          <w:color w:val="231F20"/>
        </w:rPr>
        <w:t>as</w:t>
      </w:r>
      <w:r>
        <w:rPr>
          <w:color w:val="231F20"/>
          <w:spacing w:val="-14"/>
        </w:rPr>
        <w:t> </w:t>
      </w:r>
      <w:r>
        <w:rPr>
          <w:color w:val="231F20"/>
          <w:spacing w:val="-3"/>
        </w:rPr>
        <w:t>regulatory</w:t>
      </w:r>
      <w:r>
        <w:rPr>
          <w:color w:val="231F20"/>
          <w:spacing w:val="-14"/>
        </w:rPr>
        <w:t> </w:t>
      </w:r>
      <w:r>
        <w:rPr>
          <w:color w:val="231F20"/>
          <w:spacing w:val="-3"/>
        </w:rPr>
        <w:t>compliance costs.</w:t>
      </w:r>
      <w:r>
        <w:rPr>
          <w:color w:val="231F20"/>
          <w:spacing w:val="-16"/>
        </w:rPr>
        <w:t> </w:t>
      </w:r>
      <w:r>
        <w:rPr>
          <w:color w:val="231F20"/>
        </w:rPr>
        <w:t>Jet</w:t>
      </w:r>
      <w:r>
        <w:rPr>
          <w:color w:val="231F20"/>
          <w:spacing w:val="-16"/>
        </w:rPr>
        <w:t> </w:t>
      </w:r>
      <w:r>
        <w:rPr>
          <w:color w:val="231F20"/>
          <w:spacing w:val="-3"/>
        </w:rPr>
        <w:t>fuel</w:t>
      </w:r>
      <w:r>
        <w:rPr>
          <w:color w:val="231F20"/>
          <w:spacing w:val="-16"/>
        </w:rPr>
        <w:t> </w:t>
      </w:r>
      <w:r>
        <w:rPr>
          <w:color w:val="231F20"/>
        </w:rPr>
        <w:t>and</w:t>
      </w:r>
      <w:r>
        <w:rPr>
          <w:color w:val="231F20"/>
          <w:spacing w:val="-16"/>
        </w:rPr>
        <w:t> </w:t>
      </w:r>
      <w:r>
        <w:rPr>
          <w:color w:val="231F20"/>
        </w:rPr>
        <w:t>oil</w:t>
      </w:r>
      <w:r>
        <w:rPr>
          <w:color w:val="231F20"/>
          <w:spacing w:val="-16"/>
        </w:rPr>
        <w:t> </w:t>
      </w:r>
      <w:r>
        <w:rPr>
          <w:color w:val="231F20"/>
          <w:spacing w:val="-3"/>
        </w:rPr>
        <w:t>constituted</w:t>
      </w:r>
      <w:r>
        <w:rPr>
          <w:color w:val="231F20"/>
          <w:spacing w:val="-16"/>
        </w:rPr>
        <w:t> </w:t>
      </w:r>
      <w:r>
        <w:rPr>
          <w:color w:val="231F20"/>
          <w:spacing w:val="-3"/>
        </w:rPr>
        <w:t>approximately</w:t>
      </w:r>
      <w:r>
        <w:rPr>
          <w:color w:val="231F20"/>
          <w:spacing w:val="-16"/>
        </w:rPr>
        <w:t> </w:t>
      </w:r>
      <w:r>
        <w:rPr>
          <w:color w:val="231F20"/>
        </w:rPr>
        <w:t>35</w:t>
      </w:r>
      <w:r>
        <w:rPr>
          <w:color w:val="231F20"/>
          <w:spacing w:val="-16"/>
        </w:rPr>
        <w:t> </w:t>
      </w:r>
      <w:r>
        <w:rPr>
          <w:color w:val="231F20"/>
          <w:spacing w:val="-3"/>
        </w:rPr>
        <w:t>percent</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spacing w:val="-3"/>
        </w:rPr>
        <w:t>Company’s</w:t>
      </w:r>
      <w:r>
        <w:rPr>
          <w:color w:val="231F20"/>
          <w:spacing w:val="-16"/>
        </w:rPr>
        <w:t> </w:t>
      </w:r>
      <w:r>
        <w:rPr>
          <w:color w:val="231F20"/>
          <w:spacing w:val="-3"/>
        </w:rPr>
        <w:t>operating</w:t>
      </w:r>
      <w:r>
        <w:rPr>
          <w:color w:val="231F20"/>
          <w:spacing w:val="-16"/>
        </w:rPr>
        <w:t> </w:t>
      </w:r>
      <w:r>
        <w:rPr>
          <w:color w:val="231F20"/>
          <w:spacing w:val="-3"/>
        </w:rPr>
        <w:t>expenses</w:t>
      </w:r>
      <w:r>
        <w:rPr>
          <w:color w:val="231F20"/>
          <w:spacing w:val="-16"/>
        </w:rPr>
        <w:t> </w:t>
      </w:r>
      <w:r>
        <w:rPr>
          <w:color w:val="231F20"/>
          <w:spacing w:val="-3"/>
        </w:rPr>
        <w:t>during</w:t>
      </w:r>
      <w:r>
        <w:rPr>
          <w:color w:val="231F20"/>
          <w:spacing w:val="-16"/>
        </w:rPr>
        <w:t> </w:t>
      </w:r>
      <w:r>
        <w:rPr>
          <w:color w:val="231F20"/>
          <w:spacing w:val="-3"/>
        </w:rPr>
        <w:t>2013,</w:t>
      </w:r>
      <w:r>
        <w:rPr>
          <w:color w:val="231F20"/>
          <w:spacing w:val="-16"/>
        </w:rPr>
        <w:t> </w:t>
      </w:r>
      <w:r>
        <w:rPr>
          <w:color w:val="231F20"/>
        </w:rPr>
        <w:t>and</w:t>
      </w:r>
      <w:r>
        <w:rPr>
          <w:color w:val="231F20"/>
          <w:spacing w:val="-16"/>
        </w:rPr>
        <w:t> </w:t>
      </w:r>
      <w:r>
        <w:rPr>
          <w:color w:val="231F20"/>
          <w:spacing w:val="-3"/>
        </w:rPr>
        <w:t>the cost </w:t>
      </w:r>
      <w:r>
        <w:rPr>
          <w:color w:val="231F20"/>
        </w:rPr>
        <w:t>of </w:t>
      </w:r>
      <w:r>
        <w:rPr>
          <w:color w:val="231F20"/>
          <w:spacing w:val="-3"/>
        </w:rPr>
        <w:t>fuel </w:t>
      </w:r>
      <w:r>
        <w:rPr>
          <w:color w:val="231F20"/>
        </w:rPr>
        <w:t>is </w:t>
      </w:r>
      <w:r>
        <w:rPr>
          <w:color w:val="231F20"/>
          <w:spacing w:val="-3"/>
        </w:rPr>
        <w:t>subject </w:t>
      </w:r>
      <w:r>
        <w:rPr>
          <w:color w:val="231F20"/>
        </w:rPr>
        <w:t>to the </w:t>
      </w:r>
      <w:r>
        <w:rPr>
          <w:color w:val="231F20"/>
          <w:spacing w:val="-3"/>
        </w:rPr>
        <w:t>external factors discussed </w:t>
      </w:r>
      <w:r>
        <w:rPr>
          <w:color w:val="231F20"/>
        </w:rPr>
        <w:t>in the </w:t>
      </w:r>
      <w:r>
        <w:rPr>
          <w:color w:val="231F20"/>
          <w:spacing w:val="-3"/>
        </w:rPr>
        <w:t>second Risk Factor above. Salaries, wages, </w:t>
      </w:r>
      <w:r>
        <w:rPr>
          <w:color w:val="231F20"/>
        </w:rPr>
        <w:t>and </w:t>
      </w:r>
      <w:r>
        <w:rPr>
          <w:color w:val="231F20"/>
          <w:spacing w:val="-3"/>
        </w:rPr>
        <w:t>benefits constituted approximately </w:t>
      </w:r>
      <w:r>
        <w:rPr>
          <w:color w:val="231F20"/>
        </w:rPr>
        <w:t>31 </w:t>
      </w:r>
      <w:r>
        <w:rPr>
          <w:color w:val="231F20"/>
          <w:spacing w:val="-3"/>
        </w:rPr>
        <w:t>percent </w:t>
      </w:r>
      <w:r>
        <w:rPr>
          <w:color w:val="231F20"/>
        </w:rPr>
        <w:t>of the </w:t>
      </w:r>
      <w:r>
        <w:rPr>
          <w:color w:val="231F20"/>
          <w:spacing w:val="-3"/>
        </w:rPr>
        <w:t>Company’s operating expenses during 2013. </w:t>
      </w:r>
      <w:r>
        <w:rPr>
          <w:color w:val="231F20"/>
        </w:rPr>
        <w:t>The </w:t>
      </w:r>
      <w:r>
        <w:rPr>
          <w:color w:val="231F20"/>
          <w:spacing w:val="-3"/>
        </w:rPr>
        <w:t>Company’s ability to control labor costs </w:t>
      </w:r>
      <w:r>
        <w:rPr>
          <w:color w:val="231F20"/>
        </w:rPr>
        <w:t>is </w:t>
      </w:r>
      <w:r>
        <w:rPr>
          <w:color w:val="231F20"/>
          <w:spacing w:val="-3"/>
        </w:rPr>
        <w:t>limited </w:t>
      </w:r>
      <w:r>
        <w:rPr>
          <w:color w:val="231F20"/>
        </w:rPr>
        <w:t>by the </w:t>
      </w:r>
      <w:r>
        <w:rPr>
          <w:color w:val="231F20"/>
          <w:spacing w:val="-3"/>
        </w:rPr>
        <w:t>terms </w:t>
      </w:r>
      <w:r>
        <w:rPr>
          <w:color w:val="231F20"/>
        </w:rPr>
        <w:t>of its </w:t>
      </w:r>
      <w:r>
        <w:rPr>
          <w:color w:val="231F20"/>
          <w:spacing w:val="-3"/>
        </w:rPr>
        <w:t>CBAs, </w:t>
      </w:r>
      <w:r>
        <w:rPr>
          <w:color w:val="231F20"/>
        </w:rPr>
        <w:t>and </w:t>
      </w:r>
      <w:r>
        <w:rPr>
          <w:color w:val="231F20"/>
          <w:spacing w:val="-3"/>
        </w:rPr>
        <w:t>increased labor costs have negatively impacted the Company’s low-cost competitive position. </w:t>
      </w:r>
      <w:r>
        <w:rPr>
          <w:color w:val="231F20"/>
        </w:rPr>
        <w:t>As </w:t>
      </w:r>
      <w:r>
        <w:rPr>
          <w:color w:val="231F20"/>
          <w:spacing w:val="-3"/>
        </w:rPr>
        <w:t>discussed further under “Management’s Discussion </w:t>
      </w:r>
      <w:r>
        <w:rPr>
          <w:color w:val="231F20"/>
        </w:rPr>
        <w:t>and </w:t>
      </w:r>
      <w:r>
        <w:rPr>
          <w:color w:val="231F20"/>
          <w:spacing w:val="-3"/>
        </w:rPr>
        <w:t>Analysis of Financial</w:t>
      </w:r>
      <w:r>
        <w:rPr>
          <w:color w:val="231F20"/>
          <w:spacing w:val="-16"/>
        </w:rPr>
        <w:t> </w:t>
      </w:r>
      <w:r>
        <w:rPr>
          <w:color w:val="231F20"/>
          <w:spacing w:val="-3"/>
        </w:rPr>
        <w:t>Condition</w:t>
      </w:r>
      <w:r>
        <w:rPr>
          <w:color w:val="231F20"/>
          <w:spacing w:val="-16"/>
        </w:rPr>
        <w:t> </w:t>
      </w:r>
      <w:r>
        <w:rPr>
          <w:color w:val="231F20"/>
        </w:rPr>
        <w:t>and</w:t>
      </w:r>
      <w:r>
        <w:rPr>
          <w:color w:val="231F20"/>
          <w:spacing w:val="-16"/>
        </w:rPr>
        <w:t> </w:t>
      </w:r>
      <w:r>
        <w:rPr>
          <w:color w:val="231F20"/>
          <w:spacing w:val="-3"/>
        </w:rPr>
        <w:t>Results</w:t>
      </w:r>
      <w:r>
        <w:rPr>
          <w:color w:val="231F20"/>
          <w:spacing w:val="-16"/>
        </w:rPr>
        <w:t> </w:t>
      </w:r>
      <w:r>
        <w:rPr>
          <w:color w:val="231F20"/>
        </w:rPr>
        <w:t>of</w:t>
      </w:r>
      <w:r>
        <w:rPr>
          <w:color w:val="231F20"/>
          <w:spacing w:val="-16"/>
        </w:rPr>
        <w:t> </w:t>
      </w:r>
      <w:r>
        <w:rPr>
          <w:color w:val="231F20"/>
          <w:spacing w:val="-3"/>
        </w:rPr>
        <w:t>Operations,”</w:t>
      </w:r>
      <w:r>
        <w:rPr>
          <w:color w:val="231F20"/>
          <w:spacing w:val="-16"/>
        </w:rPr>
        <w:t> </w:t>
      </w:r>
      <w:r>
        <w:rPr>
          <w:color w:val="231F20"/>
        </w:rPr>
        <w:t>the</w:t>
      </w:r>
      <w:r>
        <w:rPr>
          <w:color w:val="231F20"/>
          <w:spacing w:val="-16"/>
        </w:rPr>
        <w:t> </w:t>
      </w:r>
      <w:r>
        <w:rPr>
          <w:color w:val="231F20"/>
          <w:spacing w:val="-3"/>
        </w:rPr>
        <w:t>Company’s</w:t>
      </w:r>
      <w:r>
        <w:rPr>
          <w:color w:val="231F20"/>
          <w:spacing w:val="-16"/>
        </w:rPr>
        <w:t> </w:t>
      </w:r>
      <w:r>
        <w:rPr>
          <w:color w:val="231F20"/>
          <w:spacing w:val="-3"/>
        </w:rPr>
        <w:t>unionized</w:t>
      </w:r>
      <w:r>
        <w:rPr>
          <w:color w:val="231F20"/>
          <w:spacing w:val="-16"/>
        </w:rPr>
        <w:t> </w:t>
      </w:r>
      <w:r>
        <w:rPr>
          <w:color w:val="231F20"/>
          <w:spacing w:val="-3"/>
        </w:rPr>
        <w:t>workforce,</w:t>
      </w:r>
      <w:r>
        <w:rPr>
          <w:color w:val="231F20"/>
          <w:spacing w:val="-16"/>
        </w:rPr>
        <w:t> </w:t>
      </w:r>
      <w:r>
        <w:rPr>
          <w:color w:val="231F20"/>
          <w:spacing w:val="-3"/>
        </w:rPr>
        <w:t>which</w:t>
      </w:r>
      <w:r>
        <w:rPr>
          <w:color w:val="231F20"/>
          <w:spacing w:val="-16"/>
        </w:rPr>
        <w:t> </w:t>
      </w:r>
      <w:r>
        <w:rPr>
          <w:color w:val="231F20"/>
          <w:spacing w:val="-3"/>
        </w:rPr>
        <w:t>makes</w:t>
      </w:r>
      <w:r>
        <w:rPr>
          <w:color w:val="231F20"/>
          <w:spacing w:val="-16"/>
        </w:rPr>
        <w:t> </w:t>
      </w:r>
      <w:r>
        <w:rPr>
          <w:color w:val="231F20"/>
        </w:rPr>
        <w:t>up</w:t>
      </w:r>
      <w:r>
        <w:rPr>
          <w:color w:val="231F20"/>
          <w:spacing w:val="-16"/>
        </w:rPr>
        <w:t> </w:t>
      </w:r>
      <w:r>
        <w:rPr>
          <w:color w:val="231F20"/>
        </w:rPr>
        <w:t>the</w:t>
      </w:r>
      <w:r>
        <w:rPr>
          <w:color w:val="231F20"/>
          <w:spacing w:val="-16"/>
        </w:rPr>
        <w:t> </w:t>
      </w:r>
      <w:r>
        <w:rPr>
          <w:color w:val="231F20"/>
          <w:spacing w:val="-3"/>
        </w:rPr>
        <w:t>majority</w:t>
      </w:r>
      <w:r>
        <w:rPr>
          <w:color w:val="231F20"/>
          <w:spacing w:val="-16"/>
        </w:rPr>
        <w:t> </w:t>
      </w:r>
      <w:r>
        <w:rPr>
          <w:color w:val="231F20"/>
          <w:spacing w:val="-3"/>
        </w:rPr>
        <w:t>of </w:t>
      </w:r>
      <w:r>
        <w:rPr>
          <w:color w:val="231F20"/>
        </w:rPr>
        <w:t>its</w:t>
      </w:r>
      <w:r>
        <w:rPr>
          <w:color w:val="231F20"/>
          <w:spacing w:val="-16"/>
        </w:rPr>
        <w:t> </w:t>
      </w:r>
      <w:r>
        <w:rPr>
          <w:color w:val="231F20"/>
          <w:spacing w:val="-3"/>
        </w:rPr>
        <w:t>Employees,</w:t>
      </w:r>
      <w:r>
        <w:rPr>
          <w:color w:val="231F20"/>
          <w:spacing w:val="-16"/>
        </w:rPr>
        <w:t> </w:t>
      </w:r>
      <w:r>
        <w:rPr>
          <w:color w:val="231F20"/>
          <w:spacing w:val="-3"/>
        </w:rPr>
        <w:t>have</w:t>
      </w:r>
      <w:r>
        <w:rPr>
          <w:color w:val="231F20"/>
          <w:spacing w:val="-16"/>
        </w:rPr>
        <w:t> </w:t>
      </w:r>
      <w:r>
        <w:rPr>
          <w:color w:val="231F20"/>
        </w:rPr>
        <w:t>had</w:t>
      </w:r>
      <w:r>
        <w:rPr>
          <w:color w:val="231F20"/>
          <w:spacing w:val="-16"/>
        </w:rPr>
        <w:t> </w:t>
      </w:r>
      <w:r>
        <w:rPr>
          <w:color w:val="231F20"/>
        </w:rPr>
        <w:t>pay</w:t>
      </w:r>
      <w:r>
        <w:rPr>
          <w:color w:val="231F20"/>
          <w:spacing w:val="-16"/>
        </w:rPr>
        <w:t> </w:t>
      </w:r>
      <w:r>
        <w:rPr>
          <w:color w:val="231F20"/>
          <w:spacing w:val="-3"/>
        </w:rPr>
        <w:t>scale</w:t>
      </w:r>
      <w:r>
        <w:rPr>
          <w:color w:val="231F20"/>
          <w:spacing w:val="-16"/>
        </w:rPr>
        <w:t> </w:t>
      </w:r>
      <w:r>
        <w:rPr>
          <w:color w:val="231F20"/>
          <w:spacing w:val="-3"/>
        </w:rPr>
        <w:t>increases</w:t>
      </w:r>
      <w:r>
        <w:rPr>
          <w:color w:val="231F20"/>
          <w:spacing w:val="-16"/>
        </w:rPr>
        <w:t> </w:t>
      </w:r>
      <w:r>
        <w:rPr>
          <w:color w:val="231F20"/>
        </w:rPr>
        <w:t>as</w:t>
      </w:r>
      <w:r>
        <w:rPr>
          <w:color w:val="231F20"/>
          <w:spacing w:val="-16"/>
        </w:rPr>
        <w:t> </w:t>
      </w:r>
      <w:r>
        <w:rPr>
          <w:color w:val="231F20"/>
        </w:rPr>
        <w:t>a</w:t>
      </w:r>
      <w:r>
        <w:rPr>
          <w:color w:val="231F20"/>
          <w:spacing w:val="-16"/>
        </w:rPr>
        <w:t> </w:t>
      </w:r>
      <w:r>
        <w:rPr>
          <w:color w:val="231F20"/>
          <w:spacing w:val="-3"/>
        </w:rPr>
        <w:t>result</w:t>
      </w:r>
      <w:r>
        <w:rPr>
          <w:color w:val="231F20"/>
          <w:spacing w:val="-16"/>
        </w:rPr>
        <w:t> </w:t>
      </w:r>
      <w:r>
        <w:rPr>
          <w:color w:val="231F20"/>
        </w:rPr>
        <w:t>of</w:t>
      </w:r>
      <w:r>
        <w:rPr>
          <w:color w:val="231F20"/>
          <w:spacing w:val="-16"/>
        </w:rPr>
        <w:t> </w:t>
      </w:r>
      <w:r>
        <w:rPr>
          <w:color w:val="231F20"/>
          <w:spacing w:val="-3"/>
        </w:rPr>
        <w:t>increased</w:t>
      </w:r>
      <w:r>
        <w:rPr>
          <w:color w:val="231F20"/>
          <w:spacing w:val="-15"/>
        </w:rPr>
        <w:t> </w:t>
      </w:r>
      <w:r>
        <w:rPr>
          <w:color w:val="231F20"/>
          <w:spacing w:val="-3"/>
        </w:rPr>
        <w:t>seniority</w:t>
      </w:r>
      <w:r>
        <w:rPr>
          <w:color w:val="231F20"/>
          <w:spacing w:val="-15"/>
        </w:rPr>
        <w:t> </w:t>
      </w:r>
      <w:r>
        <w:rPr>
          <w:color w:val="231F20"/>
        </w:rPr>
        <w:t>and</w:t>
      </w:r>
      <w:r>
        <w:rPr>
          <w:color w:val="231F20"/>
          <w:spacing w:val="-15"/>
        </w:rPr>
        <w:t> </w:t>
      </w:r>
      <w:r>
        <w:rPr>
          <w:color w:val="231F20"/>
          <w:spacing w:val="-3"/>
        </w:rPr>
        <w:t>contractual</w:t>
      </w:r>
      <w:r>
        <w:rPr>
          <w:color w:val="231F20"/>
          <w:spacing w:val="-16"/>
        </w:rPr>
        <w:t> </w:t>
      </w:r>
      <w:r>
        <w:rPr>
          <w:color w:val="231F20"/>
          <w:spacing w:val="-3"/>
        </w:rPr>
        <w:t>rate</w:t>
      </w:r>
      <w:r>
        <w:rPr>
          <w:color w:val="231F20"/>
          <w:spacing w:val="-16"/>
        </w:rPr>
        <w:t> </w:t>
      </w:r>
      <w:r>
        <w:rPr>
          <w:color w:val="231F20"/>
          <w:spacing w:val="-3"/>
        </w:rPr>
        <w:t>increases.</w:t>
      </w:r>
    </w:p>
    <w:p>
      <w:pPr>
        <w:pStyle w:val="BodyText"/>
        <w:spacing w:line="249" w:lineRule="auto" w:before="1"/>
        <w:ind w:left="100" w:right="131"/>
      </w:pPr>
      <w:r>
        <w:rPr>
          <w:color w:val="231F20"/>
          <w:spacing w:val="-3"/>
        </w:rPr>
        <w:t>Furthermore, </w:t>
      </w:r>
      <w:r>
        <w:rPr>
          <w:color w:val="231F20"/>
        </w:rPr>
        <w:t>as </w:t>
      </w:r>
      <w:r>
        <w:rPr>
          <w:color w:val="231F20"/>
          <w:spacing w:val="-3"/>
        </w:rPr>
        <w:t>indicated above under “Business-Employees,” approximately </w:t>
      </w:r>
      <w:r>
        <w:rPr>
          <w:color w:val="231F20"/>
        </w:rPr>
        <w:t>99 </w:t>
      </w:r>
      <w:r>
        <w:rPr>
          <w:color w:val="231F20"/>
          <w:spacing w:val="-3"/>
        </w:rPr>
        <w:t>percent </w:t>
      </w:r>
      <w:r>
        <w:rPr>
          <w:color w:val="231F20"/>
        </w:rPr>
        <w:t>of </w:t>
      </w:r>
      <w:r>
        <w:rPr>
          <w:color w:val="231F20"/>
          <w:spacing w:val="-3"/>
        </w:rPr>
        <w:t>Southwest’s unionized Employees,</w:t>
      </w:r>
      <w:r>
        <w:rPr>
          <w:color w:val="231F20"/>
          <w:spacing w:val="-14"/>
        </w:rPr>
        <w:t> </w:t>
      </w:r>
      <w:r>
        <w:rPr>
          <w:color w:val="231F20"/>
          <w:spacing w:val="-3"/>
        </w:rPr>
        <w:t>including</w:t>
      </w:r>
      <w:r>
        <w:rPr>
          <w:color w:val="231F20"/>
          <w:spacing w:val="-14"/>
        </w:rPr>
        <w:t> </w:t>
      </w:r>
      <w:r>
        <w:rPr>
          <w:color w:val="231F20"/>
          <w:spacing w:val="-3"/>
        </w:rPr>
        <w:t>those</w:t>
      </w:r>
      <w:r>
        <w:rPr>
          <w:color w:val="231F20"/>
          <w:spacing w:val="-15"/>
        </w:rPr>
        <w:t> </w:t>
      </w:r>
      <w:r>
        <w:rPr>
          <w:color w:val="231F20"/>
          <w:spacing w:val="-3"/>
        </w:rPr>
        <w:t>represented</w:t>
      </w:r>
      <w:r>
        <w:rPr>
          <w:color w:val="231F20"/>
          <w:spacing w:val="-14"/>
        </w:rPr>
        <w:t> </w:t>
      </w:r>
      <w:r>
        <w:rPr>
          <w:color w:val="231F20"/>
        </w:rPr>
        <w:t>by</w:t>
      </w:r>
      <w:r>
        <w:rPr>
          <w:color w:val="231F20"/>
          <w:spacing w:val="-14"/>
        </w:rPr>
        <w:t> </w:t>
      </w:r>
      <w:r>
        <w:rPr>
          <w:color w:val="231F20"/>
          <w:spacing w:val="-3"/>
        </w:rPr>
        <w:t>nine</w:t>
      </w:r>
      <w:r>
        <w:rPr>
          <w:color w:val="231F20"/>
          <w:spacing w:val="-15"/>
        </w:rPr>
        <w:t> </w:t>
      </w:r>
      <w:r>
        <w:rPr>
          <w:color w:val="231F20"/>
        </w:rPr>
        <w:t>of</w:t>
      </w:r>
      <w:r>
        <w:rPr>
          <w:color w:val="231F20"/>
          <w:spacing w:val="-15"/>
        </w:rPr>
        <w:t> </w:t>
      </w:r>
      <w:r>
        <w:rPr>
          <w:color w:val="231F20"/>
          <w:spacing w:val="-3"/>
        </w:rPr>
        <w:t>Southwest’s</w:t>
      </w:r>
      <w:r>
        <w:rPr>
          <w:color w:val="231F20"/>
          <w:spacing w:val="-15"/>
        </w:rPr>
        <w:t> </w:t>
      </w:r>
      <w:r>
        <w:rPr>
          <w:color w:val="231F20"/>
          <w:spacing w:val="-3"/>
        </w:rPr>
        <w:t>eleven</w:t>
      </w:r>
      <w:r>
        <w:rPr>
          <w:color w:val="231F20"/>
          <w:spacing w:val="-14"/>
        </w:rPr>
        <w:t> </w:t>
      </w:r>
      <w:r>
        <w:rPr>
          <w:color w:val="231F20"/>
          <w:spacing w:val="-3"/>
        </w:rPr>
        <w:t>unions,</w:t>
      </w:r>
      <w:r>
        <w:rPr>
          <w:color w:val="231F20"/>
          <w:spacing w:val="-14"/>
        </w:rPr>
        <w:t> </w:t>
      </w:r>
      <w:r>
        <w:rPr>
          <w:color w:val="231F20"/>
        </w:rPr>
        <w:t>are</w:t>
      </w:r>
      <w:r>
        <w:rPr>
          <w:color w:val="231F20"/>
          <w:spacing w:val="-15"/>
        </w:rPr>
        <w:t> </w:t>
      </w:r>
      <w:r>
        <w:rPr>
          <w:color w:val="231F20"/>
        </w:rPr>
        <w:t>in</w:t>
      </w:r>
      <w:r>
        <w:rPr>
          <w:color w:val="231F20"/>
          <w:spacing w:val="-14"/>
        </w:rPr>
        <w:t> </w:t>
      </w:r>
      <w:r>
        <w:rPr>
          <w:color w:val="231F20"/>
          <w:spacing w:val="-3"/>
        </w:rPr>
        <w:t>unions</w:t>
      </w:r>
      <w:r>
        <w:rPr>
          <w:color w:val="231F20"/>
          <w:spacing w:val="-15"/>
        </w:rPr>
        <w:t> </w:t>
      </w:r>
      <w:r>
        <w:rPr>
          <w:color w:val="231F20"/>
          <w:spacing w:val="-3"/>
        </w:rPr>
        <w:t>currently</w:t>
      </w:r>
      <w:r>
        <w:rPr>
          <w:color w:val="231F20"/>
          <w:spacing w:val="-14"/>
        </w:rPr>
        <w:t> </w:t>
      </w:r>
      <w:r>
        <w:rPr>
          <w:color w:val="231F20"/>
        </w:rPr>
        <w:t>in</w:t>
      </w:r>
      <w:r>
        <w:rPr>
          <w:color w:val="231F20"/>
          <w:spacing w:val="-14"/>
        </w:rPr>
        <w:t> </w:t>
      </w:r>
      <w:r>
        <w:rPr>
          <w:color w:val="231F20"/>
          <w:spacing w:val="-3"/>
        </w:rPr>
        <w:t>negotiations </w:t>
      </w:r>
      <w:r>
        <w:rPr>
          <w:color w:val="231F20"/>
        </w:rPr>
        <w:t>for</w:t>
      </w:r>
      <w:r>
        <w:rPr>
          <w:color w:val="231F20"/>
          <w:spacing w:val="-14"/>
        </w:rPr>
        <w:t> </w:t>
      </w:r>
      <w:r>
        <w:rPr>
          <w:color w:val="231F20"/>
          <w:spacing w:val="-3"/>
        </w:rPr>
        <w:t>labor</w:t>
      </w:r>
      <w:r>
        <w:rPr>
          <w:color w:val="231F20"/>
          <w:spacing w:val="-14"/>
        </w:rPr>
        <w:t> </w:t>
      </w:r>
      <w:r>
        <w:rPr>
          <w:color w:val="231F20"/>
          <w:spacing w:val="-3"/>
        </w:rPr>
        <w:t>agreements</w:t>
      </w:r>
      <w:r>
        <w:rPr>
          <w:color w:val="231F20"/>
          <w:spacing w:val="-14"/>
        </w:rPr>
        <w:t> </w:t>
      </w:r>
      <w:r>
        <w:rPr>
          <w:color w:val="231F20"/>
        </w:rPr>
        <w:t>or</w:t>
      </w:r>
      <w:r>
        <w:rPr>
          <w:color w:val="231F20"/>
          <w:spacing w:val="-14"/>
        </w:rPr>
        <w:t> </w:t>
      </w:r>
      <w:r>
        <w:rPr>
          <w:color w:val="231F20"/>
          <w:spacing w:val="-3"/>
        </w:rPr>
        <w:t>have</w:t>
      </w:r>
      <w:r>
        <w:rPr>
          <w:color w:val="231F20"/>
          <w:spacing w:val="-14"/>
        </w:rPr>
        <w:t> </w:t>
      </w:r>
      <w:r>
        <w:rPr>
          <w:color w:val="231F20"/>
          <w:spacing w:val="-3"/>
        </w:rPr>
        <w:t>labor</w:t>
      </w:r>
      <w:r>
        <w:rPr>
          <w:color w:val="231F20"/>
          <w:spacing w:val="-14"/>
        </w:rPr>
        <w:t> </w:t>
      </w:r>
      <w:r>
        <w:rPr>
          <w:color w:val="231F20"/>
          <w:spacing w:val="-3"/>
        </w:rPr>
        <w:t>agreements</w:t>
      </w:r>
      <w:r>
        <w:rPr>
          <w:color w:val="231F20"/>
          <w:spacing w:val="-14"/>
        </w:rPr>
        <w:t> </w:t>
      </w:r>
      <w:r>
        <w:rPr>
          <w:color w:val="231F20"/>
          <w:spacing w:val="-3"/>
        </w:rPr>
        <w:t>that</w:t>
      </w:r>
      <w:r>
        <w:rPr>
          <w:color w:val="231F20"/>
          <w:spacing w:val="-14"/>
        </w:rPr>
        <w:t> </w:t>
      </w:r>
      <w:r>
        <w:rPr>
          <w:color w:val="231F20"/>
          <w:spacing w:val="-3"/>
        </w:rPr>
        <w:t>become</w:t>
      </w:r>
      <w:r>
        <w:rPr>
          <w:color w:val="231F20"/>
          <w:spacing w:val="-14"/>
        </w:rPr>
        <w:t> </w:t>
      </w:r>
      <w:r>
        <w:rPr>
          <w:color w:val="231F20"/>
          <w:spacing w:val="-3"/>
        </w:rPr>
        <w:t>amendable</w:t>
      </w:r>
      <w:r>
        <w:rPr>
          <w:color w:val="231F20"/>
          <w:spacing w:val="-14"/>
        </w:rPr>
        <w:t> </w:t>
      </w:r>
      <w:r>
        <w:rPr>
          <w:color w:val="231F20"/>
        </w:rPr>
        <w:t>in</w:t>
      </w:r>
      <w:r>
        <w:rPr>
          <w:color w:val="231F20"/>
          <w:spacing w:val="-14"/>
        </w:rPr>
        <w:t> </w:t>
      </w:r>
      <w:r>
        <w:rPr>
          <w:color w:val="231F20"/>
          <w:spacing w:val="-3"/>
        </w:rPr>
        <w:t>2014,</w:t>
      </w:r>
      <w:r>
        <w:rPr>
          <w:color w:val="231F20"/>
          <w:spacing w:val="-14"/>
        </w:rPr>
        <w:t> </w:t>
      </w:r>
      <w:r>
        <w:rPr>
          <w:color w:val="231F20"/>
          <w:spacing w:val="-3"/>
        </w:rPr>
        <w:t>which</w:t>
      </w:r>
      <w:r>
        <w:rPr>
          <w:color w:val="231F20"/>
          <w:spacing w:val="-14"/>
        </w:rPr>
        <w:t> </w:t>
      </w:r>
      <w:r>
        <w:rPr>
          <w:color w:val="231F20"/>
          <w:spacing w:val="-3"/>
        </w:rPr>
        <w:t>could</w:t>
      </w:r>
      <w:r>
        <w:rPr>
          <w:color w:val="231F20"/>
          <w:spacing w:val="-14"/>
        </w:rPr>
        <w:t> </w:t>
      </w:r>
      <w:r>
        <w:rPr>
          <w:color w:val="231F20"/>
          <w:spacing w:val="-3"/>
        </w:rPr>
        <w:t>continue</w:t>
      </w:r>
      <w:r>
        <w:rPr>
          <w:color w:val="231F20"/>
          <w:spacing w:val="-14"/>
        </w:rPr>
        <w:t> </w:t>
      </w:r>
      <w:r>
        <w:rPr>
          <w:color w:val="231F20"/>
        </w:rPr>
        <w:t>to</w:t>
      </w:r>
      <w:r>
        <w:rPr>
          <w:color w:val="231F20"/>
          <w:spacing w:val="-14"/>
        </w:rPr>
        <w:t> </w:t>
      </w:r>
      <w:r>
        <w:rPr>
          <w:color w:val="231F20"/>
        </w:rPr>
        <w:t>put</w:t>
      </w:r>
      <w:r>
        <w:rPr>
          <w:color w:val="231F20"/>
          <w:spacing w:val="-14"/>
        </w:rPr>
        <w:t> </w:t>
      </w:r>
      <w:r>
        <w:rPr>
          <w:color w:val="231F20"/>
          <w:spacing w:val="-3"/>
        </w:rPr>
        <w:t>pressure </w:t>
      </w:r>
      <w:r>
        <w:rPr>
          <w:color w:val="231F20"/>
        </w:rPr>
        <w:t>on</w:t>
      </w:r>
      <w:r>
        <w:rPr>
          <w:color w:val="231F20"/>
          <w:spacing w:val="-16"/>
        </w:rPr>
        <w:t> </w:t>
      </w:r>
      <w:r>
        <w:rPr>
          <w:color w:val="231F20"/>
        </w:rPr>
        <w:t>the</w:t>
      </w:r>
      <w:r>
        <w:rPr>
          <w:color w:val="231F20"/>
          <w:spacing w:val="-16"/>
        </w:rPr>
        <w:t> </w:t>
      </w:r>
      <w:r>
        <w:rPr>
          <w:color w:val="231F20"/>
          <w:spacing w:val="-3"/>
        </w:rPr>
        <w:t>Company’s</w:t>
      </w:r>
      <w:r>
        <w:rPr>
          <w:color w:val="231F20"/>
          <w:spacing w:val="-16"/>
        </w:rPr>
        <w:t> </w:t>
      </w:r>
      <w:r>
        <w:rPr>
          <w:color w:val="231F20"/>
          <w:spacing w:val="-3"/>
        </w:rPr>
        <w:t>labor</w:t>
      </w:r>
      <w:r>
        <w:rPr>
          <w:color w:val="231F20"/>
          <w:spacing w:val="-16"/>
        </w:rPr>
        <w:t> </w:t>
      </w:r>
      <w:r>
        <w:rPr>
          <w:color w:val="231F20"/>
          <w:spacing w:val="-3"/>
        </w:rPr>
        <w:t>costs.</w:t>
      </w:r>
      <w:r>
        <w:rPr>
          <w:color w:val="231F20"/>
          <w:spacing w:val="-16"/>
        </w:rPr>
        <w:t> </w:t>
      </w:r>
      <w:r>
        <w:rPr>
          <w:color w:val="231F20"/>
        </w:rPr>
        <w:t>In</w:t>
      </w:r>
      <w:r>
        <w:rPr>
          <w:color w:val="231F20"/>
          <w:spacing w:val="-16"/>
        </w:rPr>
        <w:t> </w:t>
      </w:r>
      <w:r>
        <w:rPr>
          <w:color w:val="231F20"/>
          <w:spacing w:val="-3"/>
        </w:rPr>
        <w:t>addition,</w:t>
      </w:r>
      <w:r>
        <w:rPr>
          <w:color w:val="231F20"/>
          <w:spacing w:val="-16"/>
        </w:rPr>
        <w:t> </w:t>
      </w:r>
      <w:r>
        <w:rPr>
          <w:color w:val="231F20"/>
        </w:rPr>
        <w:t>the</w:t>
      </w:r>
      <w:r>
        <w:rPr>
          <w:color w:val="231F20"/>
          <w:spacing w:val="-16"/>
        </w:rPr>
        <w:t> </w:t>
      </w:r>
      <w:r>
        <w:rPr>
          <w:color w:val="231F20"/>
          <w:spacing w:val="-3"/>
        </w:rPr>
        <w:t>Company</w:t>
      </w:r>
      <w:r>
        <w:rPr>
          <w:color w:val="231F20"/>
          <w:spacing w:val="-16"/>
        </w:rPr>
        <w:t> </w:t>
      </w:r>
      <w:r>
        <w:rPr>
          <w:color w:val="231F20"/>
          <w:spacing w:val="-3"/>
        </w:rPr>
        <w:t>anticipates</w:t>
      </w:r>
      <w:r>
        <w:rPr>
          <w:color w:val="231F20"/>
          <w:spacing w:val="-16"/>
        </w:rPr>
        <w:t> </w:t>
      </w:r>
      <w:r>
        <w:rPr>
          <w:color w:val="231F20"/>
          <w:spacing w:val="-3"/>
        </w:rPr>
        <w:t>that</w:t>
      </w:r>
      <w:r>
        <w:rPr>
          <w:color w:val="231F20"/>
          <w:spacing w:val="-16"/>
        </w:rPr>
        <w:t> </w:t>
      </w:r>
      <w:r>
        <w:rPr>
          <w:color w:val="231F20"/>
        </w:rPr>
        <w:t>the</w:t>
      </w:r>
      <w:r>
        <w:rPr>
          <w:color w:val="231F20"/>
          <w:spacing w:val="-16"/>
        </w:rPr>
        <w:t> </w:t>
      </w:r>
      <w:r>
        <w:rPr>
          <w:color w:val="231F20"/>
          <w:spacing w:val="-3"/>
        </w:rPr>
        <w:t>combination</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spacing w:val="-3"/>
        </w:rPr>
        <w:t>various</w:t>
      </w:r>
      <w:r>
        <w:rPr>
          <w:color w:val="231F20"/>
          <w:spacing w:val="-16"/>
        </w:rPr>
        <w:t> </w:t>
      </w:r>
      <w:r>
        <w:rPr>
          <w:color w:val="231F20"/>
          <w:spacing w:val="-3"/>
        </w:rPr>
        <w:t>Southwest</w:t>
      </w:r>
      <w:r>
        <w:rPr>
          <w:color w:val="231F20"/>
          <w:spacing w:val="-16"/>
        </w:rPr>
        <w:t> </w:t>
      </w:r>
      <w:r>
        <w:rPr>
          <w:color w:val="231F20"/>
          <w:spacing w:val="-3"/>
        </w:rPr>
        <w:t>and AirTran labor contracts </w:t>
      </w:r>
      <w:r>
        <w:rPr>
          <w:color w:val="231F20"/>
        </w:rPr>
        <w:t>and </w:t>
      </w:r>
      <w:r>
        <w:rPr>
          <w:color w:val="231F20"/>
          <w:spacing w:val="-3"/>
        </w:rPr>
        <w:t>frontline workforces will increase AirTran labor costs over their historical levels. As discussed</w:t>
      </w:r>
      <w:r>
        <w:rPr>
          <w:color w:val="231F20"/>
          <w:spacing w:val="-16"/>
        </w:rPr>
        <w:t> </w:t>
      </w:r>
      <w:r>
        <w:rPr>
          <w:color w:val="231F20"/>
          <w:spacing w:val="-3"/>
        </w:rPr>
        <w:t>above</w:t>
      </w:r>
      <w:r>
        <w:rPr>
          <w:color w:val="231F20"/>
          <w:spacing w:val="-17"/>
        </w:rPr>
        <w:t> </w:t>
      </w:r>
      <w:r>
        <w:rPr>
          <w:color w:val="231F20"/>
          <w:spacing w:val="-3"/>
        </w:rPr>
        <w:t>under</w:t>
      </w:r>
      <w:r>
        <w:rPr>
          <w:color w:val="231F20"/>
          <w:spacing w:val="-17"/>
        </w:rPr>
        <w:t> </w:t>
      </w:r>
      <w:r>
        <w:rPr>
          <w:color w:val="231F20"/>
          <w:spacing w:val="-3"/>
        </w:rPr>
        <w:t>“Business-Regulation,”</w:t>
      </w:r>
      <w:r>
        <w:rPr>
          <w:color w:val="231F20"/>
          <w:spacing w:val="-17"/>
        </w:rPr>
        <w:t> </w:t>
      </w:r>
      <w:r>
        <w:rPr>
          <w:color w:val="231F20"/>
        </w:rPr>
        <w:t>the</w:t>
      </w:r>
      <w:r>
        <w:rPr>
          <w:color w:val="231F20"/>
          <w:spacing w:val="-17"/>
        </w:rPr>
        <w:t> </w:t>
      </w:r>
      <w:r>
        <w:rPr>
          <w:color w:val="231F20"/>
          <w:spacing w:val="-3"/>
        </w:rPr>
        <w:t>airline</w:t>
      </w:r>
      <w:r>
        <w:rPr>
          <w:color w:val="231F20"/>
          <w:spacing w:val="-17"/>
        </w:rPr>
        <w:t> </w:t>
      </w:r>
      <w:r>
        <w:rPr>
          <w:color w:val="231F20"/>
          <w:spacing w:val="-3"/>
        </w:rPr>
        <w:t>industry</w:t>
      </w:r>
      <w:r>
        <w:rPr>
          <w:color w:val="231F20"/>
          <w:spacing w:val="-16"/>
        </w:rPr>
        <w:t> </w:t>
      </w:r>
      <w:r>
        <w:rPr>
          <w:color w:val="231F20"/>
        </w:rPr>
        <w:t>is</w:t>
      </w:r>
      <w:r>
        <w:rPr>
          <w:color w:val="231F20"/>
          <w:spacing w:val="-17"/>
        </w:rPr>
        <w:t> </w:t>
      </w:r>
      <w:r>
        <w:rPr>
          <w:color w:val="231F20"/>
          <w:spacing w:val="-3"/>
        </w:rPr>
        <w:t>heavily</w:t>
      </w:r>
      <w:r>
        <w:rPr>
          <w:color w:val="231F20"/>
          <w:spacing w:val="-16"/>
        </w:rPr>
        <w:t> </w:t>
      </w:r>
      <w:r>
        <w:rPr>
          <w:color w:val="231F20"/>
          <w:spacing w:val="-3"/>
        </w:rPr>
        <w:t>regulated,</w:t>
      </w:r>
      <w:r>
        <w:rPr>
          <w:color w:val="231F20"/>
          <w:spacing w:val="-16"/>
        </w:rPr>
        <w:t> </w:t>
      </w:r>
      <w:r>
        <w:rPr>
          <w:color w:val="231F20"/>
        </w:rPr>
        <w:t>and</w:t>
      </w:r>
      <w:r>
        <w:rPr>
          <w:color w:val="231F20"/>
          <w:spacing w:val="-16"/>
        </w:rPr>
        <w:t> </w:t>
      </w:r>
      <w:r>
        <w:rPr>
          <w:color w:val="231F20"/>
        </w:rPr>
        <w:t>the</w:t>
      </w:r>
      <w:r>
        <w:rPr>
          <w:color w:val="231F20"/>
          <w:spacing w:val="-17"/>
        </w:rPr>
        <w:t> </w:t>
      </w:r>
      <w:r>
        <w:rPr>
          <w:color w:val="231F20"/>
          <w:spacing w:val="-3"/>
        </w:rPr>
        <w:t>Company’s</w:t>
      </w:r>
      <w:r>
        <w:rPr>
          <w:color w:val="231F20"/>
          <w:spacing w:val="-17"/>
        </w:rPr>
        <w:t> </w:t>
      </w:r>
      <w:r>
        <w:rPr>
          <w:color w:val="231F20"/>
          <w:spacing w:val="-3"/>
        </w:rPr>
        <w:t>regulatory compliance costs </w:t>
      </w:r>
      <w:r>
        <w:rPr>
          <w:color w:val="231F20"/>
        </w:rPr>
        <w:t>are </w:t>
      </w:r>
      <w:r>
        <w:rPr>
          <w:color w:val="231F20"/>
          <w:spacing w:val="-3"/>
        </w:rPr>
        <w:t>subject </w:t>
      </w:r>
      <w:r>
        <w:rPr>
          <w:color w:val="231F20"/>
        </w:rPr>
        <w:t>to </w:t>
      </w:r>
      <w:r>
        <w:rPr>
          <w:color w:val="231F20"/>
          <w:spacing w:val="-3"/>
        </w:rPr>
        <w:t>potentially significant increases from time </w:t>
      </w:r>
      <w:r>
        <w:rPr>
          <w:color w:val="231F20"/>
        </w:rPr>
        <w:t>to </w:t>
      </w:r>
      <w:r>
        <w:rPr>
          <w:color w:val="231F20"/>
          <w:spacing w:val="-3"/>
        </w:rPr>
        <w:t>time based </w:t>
      </w:r>
      <w:r>
        <w:rPr>
          <w:color w:val="231F20"/>
        </w:rPr>
        <w:t>on </w:t>
      </w:r>
      <w:r>
        <w:rPr>
          <w:color w:val="231F20"/>
          <w:spacing w:val="-3"/>
        </w:rPr>
        <w:t>actions </w:t>
      </w:r>
      <w:r>
        <w:rPr>
          <w:color w:val="231F20"/>
        </w:rPr>
        <w:t>by the </w:t>
      </w:r>
      <w:r>
        <w:rPr>
          <w:color w:val="231F20"/>
          <w:spacing w:val="-3"/>
        </w:rPr>
        <w:t>regulatory agencies. Additionally, when other airlines reduce their capacity, airport costs </w:t>
      </w:r>
      <w:r>
        <w:rPr>
          <w:color w:val="231F20"/>
        </w:rPr>
        <w:t>are </w:t>
      </w:r>
      <w:r>
        <w:rPr>
          <w:color w:val="231F20"/>
          <w:spacing w:val="-3"/>
        </w:rPr>
        <w:t>then allocated among </w:t>
      </w:r>
      <w:r>
        <w:rPr>
          <w:color w:val="231F20"/>
        </w:rPr>
        <w:t>a </w:t>
      </w:r>
      <w:r>
        <w:rPr>
          <w:color w:val="231F20"/>
          <w:spacing w:val="-3"/>
        </w:rPr>
        <w:t>fewer number </w:t>
      </w:r>
      <w:r>
        <w:rPr>
          <w:color w:val="231F20"/>
        </w:rPr>
        <w:t>of </w:t>
      </w:r>
      <w:r>
        <w:rPr>
          <w:color w:val="231F20"/>
          <w:spacing w:val="-3"/>
        </w:rPr>
        <w:t>total flights, which </w:t>
      </w:r>
      <w:r>
        <w:rPr>
          <w:color w:val="231F20"/>
        </w:rPr>
        <w:t>can </w:t>
      </w:r>
      <w:r>
        <w:rPr>
          <w:color w:val="231F20"/>
          <w:spacing w:val="-3"/>
        </w:rPr>
        <w:t>result </w:t>
      </w:r>
      <w:r>
        <w:rPr>
          <w:color w:val="231F20"/>
        </w:rPr>
        <w:t>in </w:t>
      </w:r>
      <w:r>
        <w:rPr>
          <w:color w:val="231F20"/>
          <w:spacing w:val="-3"/>
        </w:rPr>
        <w:t>increased landing fees </w:t>
      </w:r>
      <w:r>
        <w:rPr>
          <w:color w:val="231F20"/>
        </w:rPr>
        <w:t>and </w:t>
      </w:r>
      <w:r>
        <w:rPr>
          <w:color w:val="231F20"/>
          <w:spacing w:val="-3"/>
        </w:rPr>
        <w:t>other costs </w:t>
      </w:r>
      <w:r>
        <w:rPr>
          <w:color w:val="231F20"/>
        </w:rPr>
        <w:t>for the </w:t>
      </w:r>
      <w:r>
        <w:rPr>
          <w:color w:val="231F20"/>
          <w:spacing w:val="-3"/>
        </w:rPr>
        <w:t>Company. </w:t>
      </w:r>
      <w:r>
        <w:rPr>
          <w:color w:val="231F20"/>
        </w:rPr>
        <w:t>The </w:t>
      </w:r>
      <w:r>
        <w:rPr>
          <w:color w:val="231F20"/>
          <w:spacing w:val="-3"/>
        </w:rPr>
        <w:t>Company is also</w:t>
      </w:r>
      <w:r>
        <w:rPr>
          <w:color w:val="231F20"/>
          <w:spacing w:val="-12"/>
        </w:rPr>
        <w:t> </w:t>
      </w:r>
      <w:r>
        <w:rPr>
          <w:color w:val="231F20"/>
          <w:spacing w:val="-3"/>
        </w:rPr>
        <w:t>reliant</w:t>
      </w:r>
      <w:r>
        <w:rPr>
          <w:color w:val="231F20"/>
          <w:spacing w:val="-13"/>
        </w:rPr>
        <w:t> </w:t>
      </w:r>
      <w:r>
        <w:rPr>
          <w:color w:val="231F20"/>
          <w:spacing w:val="-3"/>
        </w:rPr>
        <w:t>upon</w:t>
      </w:r>
      <w:r>
        <w:rPr>
          <w:color w:val="231F20"/>
          <w:spacing w:val="-12"/>
        </w:rPr>
        <w:t> </w:t>
      </w:r>
      <w:r>
        <w:rPr>
          <w:color w:val="231F20"/>
          <w:spacing w:val="-3"/>
        </w:rPr>
        <w:t>third</w:t>
      </w:r>
      <w:r>
        <w:rPr>
          <w:color w:val="231F20"/>
          <w:spacing w:val="-12"/>
        </w:rPr>
        <w:t> </w:t>
      </w:r>
      <w:r>
        <w:rPr>
          <w:color w:val="231F20"/>
          <w:spacing w:val="-3"/>
        </w:rPr>
        <w:t>party</w:t>
      </w:r>
      <w:r>
        <w:rPr>
          <w:color w:val="231F20"/>
          <w:spacing w:val="-12"/>
        </w:rPr>
        <w:t> </w:t>
      </w:r>
      <w:r>
        <w:rPr>
          <w:color w:val="231F20"/>
          <w:spacing w:val="-3"/>
        </w:rPr>
        <w:t>vendors</w:t>
      </w:r>
      <w:r>
        <w:rPr>
          <w:color w:val="231F20"/>
          <w:spacing w:val="-13"/>
        </w:rPr>
        <w:t> </w:t>
      </w:r>
      <w:r>
        <w:rPr>
          <w:color w:val="231F20"/>
        </w:rPr>
        <w:t>and</w:t>
      </w:r>
      <w:r>
        <w:rPr>
          <w:color w:val="231F20"/>
          <w:spacing w:val="-12"/>
        </w:rPr>
        <w:t> </w:t>
      </w:r>
      <w:r>
        <w:rPr>
          <w:color w:val="231F20"/>
          <w:spacing w:val="-3"/>
        </w:rPr>
        <w:t>service</w:t>
      </w:r>
      <w:r>
        <w:rPr>
          <w:color w:val="231F20"/>
          <w:spacing w:val="-13"/>
        </w:rPr>
        <w:t> </w:t>
      </w:r>
      <w:r>
        <w:rPr>
          <w:color w:val="231F20"/>
          <w:spacing w:val="-3"/>
        </w:rPr>
        <w:t>providers,</w:t>
      </w:r>
      <w:r>
        <w:rPr>
          <w:color w:val="231F20"/>
          <w:spacing w:val="-12"/>
        </w:rPr>
        <w:t> </w:t>
      </w:r>
      <w:r>
        <w:rPr>
          <w:color w:val="231F20"/>
        </w:rPr>
        <w:t>and</w:t>
      </w:r>
      <w:r>
        <w:rPr>
          <w:color w:val="231F20"/>
          <w:spacing w:val="-12"/>
        </w:rPr>
        <w:t> </w:t>
      </w:r>
      <w:r>
        <w:rPr>
          <w:color w:val="231F20"/>
        </w:rPr>
        <w:t>its</w:t>
      </w:r>
      <w:r>
        <w:rPr>
          <w:color w:val="231F20"/>
          <w:spacing w:val="-13"/>
        </w:rPr>
        <w:t> </w:t>
      </w:r>
      <w:r>
        <w:rPr>
          <w:color w:val="231F20"/>
          <w:spacing w:val="-3"/>
        </w:rPr>
        <w:t>low-cost</w:t>
      </w:r>
      <w:r>
        <w:rPr>
          <w:color w:val="231F20"/>
          <w:spacing w:val="-13"/>
        </w:rPr>
        <w:t> </w:t>
      </w:r>
      <w:r>
        <w:rPr>
          <w:color w:val="231F20"/>
          <w:spacing w:val="-3"/>
        </w:rPr>
        <w:t>advantage</w:t>
      </w:r>
      <w:r>
        <w:rPr>
          <w:color w:val="231F20"/>
          <w:spacing w:val="-13"/>
        </w:rPr>
        <w:t> </w:t>
      </w:r>
      <w:r>
        <w:rPr>
          <w:color w:val="231F20"/>
        </w:rPr>
        <w:t>is</w:t>
      </w:r>
      <w:r>
        <w:rPr>
          <w:color w:val="231F20"/>
          <w:spacing w:val="-13"/>
        </w:rPr>
        <w:t> </w:t>
      </w:r>
      <w:r>
        <w:rPr>
          <w:color w:val="231F20"/>
          <w:spacing w:val="-3"/>
        </w:rPr>
        <w:t>also</w:t>
      </w:r>
      <w:r>
        <w:rPr>
          <w:color w:val="231F20"/>
          <w:spacing w:val="-12"/>
        </w:rPr>
        <w:t> </w:t>
      </w:r>
      <w:r>
        <w:rPr>
          <w:color w:val="231F20"/>
          <w:spacing w:val="-3"/>
        </w:rPr>
        <w:t>dependent</w:t>
      </w:r>
      <w:r>
        <w:rPr>
          <w:color w:val="231F20"/>
          <w:spacing w:val="-13"/>
        </w:rPr>
        <w:t> </w:t>
      </w:r>
      <w:r>
        <w:rPr>
          <w:color w:val="231F20"/>
        </w:rPr>
        <w:t>in</w:t>
      </w:r>
      <w:r>
        <w:rPr>
          <w:color w:val="231F20"/>
          <w:spacing w:val="-12"/>
        </w:rPr>
        <w:t> </w:t>
      </w:r>
      <w:r>
        <w:rPr>
          <w:color w:val="231F20"/>
          <w:spacing w:val="-3"/>
        </w:rPr>
        <w:t>part</w:t>
      </w:r>
      <w:r>
        <w:rPr>
          <w:color w:val="231F20"/>
          <w:spacing w:val="-13"/>
        </w:rPr>
        <w:t> </w:t>
      </w:r>
      <w:r>
        <w:rPr>
          <w:color w:val="231F20"/>
        </w:rPr>
        <w:t>on</w:t>
      </w:r>
      <w:r>
        <w:rPr>
          <w:color w:val="231F20"/>
          <w:spacing w:val="-12"/>
        </w:rPr>
        <w:t> </w:t>
      </w:r>
      <w:r>
        <w:rPr>
          <w:color w:val="231F20"/>
          <w:spacing w:val="-3"/>
        </w:rPr>
        <w:t>its ability</w:t>
      </w:r>
      <w:r>
        <w:rPr>
          <w:color w:val="231F20"/>
          <w:spacing w:val="-16"/>
        </w:rPr>
        <w:t> </w:t>
      </w:r>
      <w:r>
        <w:rPr>
          <w:color w:val="231F20"/>
        </w:rPr>
        <w:t>to</w:t>
      </w:r>
      <w:r>
        <w:rPr>
          <w:color w:val="231F20"/>
          <w:spacing w:val="-16"/>
        </w:rPr>
        <w:t> </w:t>
      </w:r>
      <w:r>
        <w:rPr>
          <w:color w:val="231F20"/>
          <w:spacing w:val="-3"/>
        </w:rPr>
        <w:t>obtain</w:t>
      </w:r>
      <w:r>
        <w:rPr>
          <w:color w:val="231F20"/>
          <w:spacing w:val="-16"/>
        </w:rPr>
        <w:t> </w:t>
      </w:r>
      <w:r>
        <w:rPr>
          <w:color w:val="231F20"/>
        </w:rPr>
        <w:t>and</w:t>
      </w:r>
      <w:r>
        <w:rPr>
          <w:color w:val="231F20"/>
          <w:spacing w:val="-16"/>
        </w:rPr>
        <w:t> </w:t>
      </w:r>
      <w:r>
        <w:rPr>
          <w:color w:val="231F20"/>
          <w:spacing w:val="-3"/>
        </w:rPr>
        <w:t>maintain</w:t>
      </w:r>
      <w:r>
        <w:rPr>
          <w:color w:val="231F20"/>
          <w:spacing w:val="-16"/>
        </w:rPr>
        <w:t> </w:t>
      </w:r>
      <w:r>
        <w:rPr>
          <w:color w:val="231F20"/>
          <w:spacing w:val="-3"/>
        </w:rPr>
        <w:t>commercially</w:t>
      </w:r>
      <w:r>
        <w:rPr>
          <w:color w:val="231F20"/>
          <w:spacing w:val="-16"/>
        </w:rPr>
        <w:t> </w:t>
      </w:r>
      <w:r>
        <w:rPr>
          <w:color w:val="231F20"/>
          <w:spacing w:val="-3"/>
        </w:rPr>
        <w:t>reasonable</w:t>
      </w:r>
      <w:r>
        <w:rPr>
          <w:color w:val="231F20"/>
          <w:spacing w:val="-16"/>
        </w:rPr>
        <w:t> </w:t>
      </w:r>
      <w:r>
        <w:rPr>
          <w:color w:val="231F20"/>
          <w:spacing w:val="-3"/>
        </w:rPr>
        <w:t>terms</w:t>
      </w:r>
      <w:r>
        <w:rPr>
          <w:color w:val="231F20"/>
          <w:spacing w:val="-16"/>
        </w:rPr>
        <w:t> </w:t>
      </w:r>
      <w:r>
        <w:rPr>
          <w:color w:val="231F20"/>
          <w:spacing w:val="-3"/>
        </w:rPr>
        <w:t>with</w:t>
      </w:r>
      <w:r>
        <w:rPr>
          <w:color w:val="231F20"/>
          <w:spacing w:val="-16"/>
        </w:rPr>
        <w:t> </w:t>
      </w:r>
      <w:r>
        <w:rPr>
          <w:color w:val="231F20"/>
          <w:spacing w:val="-3"/>
        </w:rPr>
        <w:t>those</w:t>
      </w:r>
      <w:r>
        <w:rPr>
          <w:color w:val="231F20"/>
          <w:spacing w:val="-16"/>
        </w:rPr>
        <w:t> </w:t>
      </w:r>
      <w:r>
        <w:rPr>
          <w:color w:val="231F20"/>
          <w:spacing w:val="-3"/>
        </w:rPr>
        <w:t>parties.</w:t>
      </w:r>
    </w:p>
    <w:p>
      <w:pPr>
        <w:pStyle w:val="BodyText"/>
        <w:spacing w:line="249" w:lineRule="auto" w:before="181"/>
        <w:ind w:left="100" w:right="186" w:firstLine="490"/>
      </w:pPr>
      <w:r>
        <w:rPr>
          <w:color w:val="231F20"/>
        </w:rPr>
        <w:t>As </w:t>
      </w:r>
      <w:r>
        <w:rPr>
          <w:color w:val="231F20"/>
          <w:spacing w:val="-3"/>
        </w:rPr>
        <w:t>discussed above under “Business-Insurance,” </w:t>
      </w:r>
      <w:r>
        <w:rPr>
          <w:color w:val="231F20"/>
        </w:rPr>
        <w:t>the </w:t>
      </w:r>
      <w:r>
        <w:rPr>
          <w:color w:val="231F20"/>
          <w:spacing w:val="-3"/>
        </w:rPr>
        <w:t>Company carries insurance </w:t>
      </w:r>
      <w:r>
        <w:rPr>
          <w:color w:val="231F20"/>
        </w:rPr>
        <w:t>of </w:t>
      </w:r>
      <w:r>
        <w:rPr>
          <w:color w:val="231F20"/>
          <w:spacing w:val="-3"/>
        </w:rPr>
        <w:t>types customary </w:t>
      </w:r>
      <w:r>
        <w:rPr>
          <w:color w:val="231F20"/>
        </w:rPr>
        <w:t>in </w:t>
      </w:r>
      <w:r>
        <w:rPr>
          <w:color w:val="231F20"/>
          <w:spacing w:val="-3"/>
        </w:rPr>
        <w:t>the airline</w:t>
      </w:r>
      <w:r>
        <w:rPr>
          <w:color w:val="231F20"/>
          <w:spacing w:val="-16"/>
        </w:rPr>
        <w:t> </w:t>
      </w:r>
      <w:r>
        <w:rPr>
          <w:color w:val="231F20"/>
          <w:spacing w:val="-3"/>
        </w:rPr>
        <w:t>industry</w:t>
      </w:r>
      <w:r>
        <w:rPr>
          <w:color w:val="231F20"/>
          <w:spacing w:val="-16"/>
        </w:rPr>
        <w:t> </w:t>
      </w:r>
      <w:r>
        <w:rPr>
          <w:color w:val="231F20"/>
        </w:rPr>
        <w:t>and</w:t>
      </w:r>
      <w:r>
        <w:rPr>
          <w:color w:val="231F20"/>
          <w:spacing w:val="-16"/>
        </w:rPr>
        <w:t> </w:t>
      </w:r>
      <w:r>
        <w:rPr>
          <w:color w:val="231F20"/>
        </w:rPr>
        <w:t>is</w:t>
      </w:r>
      <w:r>
        <w:rPr>
          <w:color w:val="231F20"/>
          <w:spacing w:val="-17"/>
        </w:rPr>
        <w:t> </w:t>
      </w:r>
      <w:r>
        <w:rPr>
          <w:color w:val="231F20"/>
          <w:spacing w:val="-3"/>
        </w:rPr>
        <w:t>also</w:t>
      </w:r>
      <w:r>
        <w:rPr>
          <w:color w:val="231F20"/>
          <w:spacing w:val="-16"/>
        </w:rPr>
        <w:t> </w:t>
      </w:r>
      <w:r>
        <w:rPr>
          <w:color w:val="231F20"/>
          <w:spacing w:val="-3"/>
        </w:rPr>
        <w:t>provided</w:t>
      </w:r>
      <w:r>
        <w:rPr>
          <w:color w:val="231F20"/>
          <w:spacing w:val="-16"/>
        </w:rPr>
        <w:t> </w:t>
      </w:r>
      <w:r>
        <w:rPr>
          <w:color w:val="231F20"/>
          <w:spacing w:val="-3"/>
        </w:rPr>
        <w:t>supplemental,</w:t>
      </w:r>
      <w:r>
        <w:rPr>
          <w:color w:val="231F20"/>
          <w:spacing w:val="-16"/>
        </w:rPr>
        <w:t> </w:t>
      </w:r>
      <w:r>
        <w:rPr>
          <w:color w:val="231F20"/>
          <w:spacing w:val="-3"/>
        </w:rPr>
        <w:t>first-party,</w:t>
      </w:r>
      <w:r>
        <w:rPr>
          <w:color w:val="231F20"/>
          <w:spacing w:val="-16"/>
        </w:rPr>
        <w:t> </w:t>
      </w:r>
      <w:r>
        <w:rPr>
          <w:color w:val="231F20"/>
          <w:spacing w:val="-3"/>
        </w:rPr>
        <w:t>war-risk</w:t>
      </w:r>
      <w:r>
        <w:rPr>
          <w:color w:val="231F20"/>
          <w:spacing w:val="-16"/>
        </w:rPr>
        <w:t> </w:t>
      </w:r>
      <w:r>
        <w:rPr>
          <w:color w:val="231F20"/>
          <w:spacing w:val="-3"/>
        </w:rPr>
        <w:t>insurance</w:t>
      </w:r>
      <w:r>
        <w:rPr>
          <w:color w:val="231F20"/>
          <w:spacing w:val="-16"/>
        </w:rPr>
        <w:t> </w:t>
      </w:r>
      <w:r>
        <w:rPr>
          <w:color w:val="231F20"/>
          <w:spacing w:val="-3"/>
        </w:rPr>
        <w:t>coverage</w:t>
      </w:r>
      <w:r>
        <w:rPr>
          <w:color w:val="231F20"/>
          <w:spacing w:val="-16"/>
        </w:rPr>
        <w:t> </w:t>
      </w:r>
      <w:r>
        <w:rPr>
          <w:color w:val="231F20"/>
        </w:rPr>
        <w:t>by</w:t>
      </w:r>
      <w:r>
        <w:rPr>
          <w:color w:val="231F20"/>
          <w:spacing w:val="-16"/>
        </w:rPr>
        <w:t> </w:t>
      </w:r>
      <w:r>
        <w:rPr>
          <w:color w:val="231F20"/>
        </w:rPr>
        <w:t>the</w:t>
      </w:r>
      <w:r>
        <w:rPr>
          <w:color w:val="231F20"/>
          <w:spacing w:val="-16"/>
        </w:rPr>
        <w:t> </w:t>
      </w:r>
      <w:r>
        <w:rPr>
          <w:color w:val="231F20"/>
          <w:spacing w:val="-3"/>
        </w:rPr>
        <w:t>federal</w:t>
      </w:r>
      <w:r>
        <w:rPr>
          <w:color w:val="231F20"/>
          <w:spacing w:val="-17"/>
        </w:rPr>
        <w:t> </w:t>
      </w:r>
      <w:r>
        <w:rPr>
          <w:color w:val="231F20"/>
          <w:spacing w:val="-3"/>
        </w:rPr>
        <w:t>government. </w:t>
      </w:r>
      <w:r>
        <w:rPr>
          <w:color w:val="231F20"/>
        </w:rPr>
        <w:t>If the </w:t>
      </w:r>
      <w:r>
        <w:rPr>
          <w:color w:val="231F20"/>
          <w:spacing w:val="-3"/>
        </w:rPr>
        <w:t>supplemental coverage </w:t>
      </w:r>
      <w:r>
        <w:rPr>
          <w:color w:val="231F20"/>
        </w:rPr>
        <w:t>is not </w:t>
      </w:r>
      <w:r>
        <w:rPr>
          <w:color w:val="231F20"/>
          <w:spacing w:val="-3"/>
        </w:rPr>
        <w:t>extended, </w:t>
      </w:r>
      <w:r>
        <w:rPr>
          <w:color w:val="231F20"/>
        </w:rPr>
        <w:t>the </w:t>
      </w:r>
      <w:r>
        <w:rPr>
          <w:color w:val="231F20"/>
          <w:spacing w:val="-3"/>
        </w:rPr>
        <w:t>Company will </w:t>
      </w:r>
      <w:r>
        <w:rPr>
          <w:color w:val="231F20"/>
        </w:rPr>
        <w:t>be </w:t>
      </w:r>
      <w:r>
        <w:rPr>
          <w:color w:val="231F20"/>
          <w:spacing w:val="-3"/>
        </w:rPr>
        <w:t>required </w:t>
      </w:r>
      <w:r>
        <w:rPr>
          <w:color w:val="231F20"/>
        </w:rPr>
        <w:t>to </w:t>
      </w:r>
      <w:r>
        <w:rPr>
          <w:color w:val="231F20"/>
          <w:spacing w:val="-3"/>
        </w:rPr>
        <w:t>obtain war-risk insurance coverage commercially. Such commercial insurance could have material differences </w:t>
      </w:r>
      <w:r>
        <w:rPr>
          <w:color w:val="231F20"/>
        </w:rPr>
        <w:t>in </w:t>
      </w:r>
      <w:r>
        <w:rPr>
          <w:color w:val="231F20"/>
          <w:spacing w:val="-3"/>
        </w:rPr>
        <w:t>coverage than </w:t>
      </w:r>
      <w:r>
        <w:rPr>
          <w:color w:val="231F20"/>
        </w:rPr>
        <w:t>is </w:t>
      </w:r>
      <w:r>
        <w:rPr>
          <w:color w:val="231F20"/>
          <w:spacing w:val="-3"/>
        </w:rPr>
        <w:t>currently provided by </w:t>
      </w:r>
      <w:r>
        <w:rPr>
          <w:color w:val="231F20"/>
        </w:rPr>
        <w:t>the</w:t>
      </w:r>
      <w:r>
        <w:rPr>
          <w:color w:val="231F20"/>
          <w:spacing w:val="-13"/>
        </w:rPr>
        <w:t> </w:t>
      </w:r>
      <w:r>
        <w:rPr>
          <w:color w:val="231F20"/>
          <w:spacing w:val="-3"/>
        </w:rPr>
        <w:t>U.S.</w:t>
      </w:r>
      <w:r>
        <w:rPr>
          <w:color w:val="231F20"/>
          <w:spacing w:val="-13"/>
        </w:rPr>
        <w:t> </w:t>
      </w:r>
      <w:r>
        <w:rPr>
          <w:color w:val="231F20"/>
          <w:spacing w:val="-3"/>
        </w:rPr>
        <w:t>government</w:t>
      </w:r>
      <w:r>
        <w:rPr>
          <w:color w:val="231F20"/>
          <w:spacing w:val="-13"/>
        </w:rPr>
        <w:t> </w:t>
      </w:r>
      <w:r>
        <w:rPr>
          <w:color w:val="231F20"/>
        </w:rPr>
        <w:t>and</w:t>
      </w:r>
      <w:r>
        <w:rPr>
          <w:color w:val="231F20"/>
          <w:spacing w:val="-13"/>
        </w:rPr>
        <w:t> </w:t>
      </w:r>
      <w:r>
        <w:rPr>
          <w:color w:val="231F20"/>
        </w:rPr>
        <w:t>may</w:t>
      </w:r>
      <w:r>
        <w:rPr>
          <w:color w:val="231F20"/>
          <w:spacing w:val="-13"/>
        </w:rPr>
        <w:t> </w:t>
      </w:r>
      <w:r>
        <w:rPr>
          <w:color w:val="231F20"/>
        </w:rPr>
        <w:t>not</w:t>
      </w:r>
      <w:r>
        <w:rPr>
          <w:color w:val="231F20"/>
          <w:spacing w:val="-13"/>
        </w:rPr>
        <w:t> </w:t>
      </w:r>
      <w:r>
        <w:rPr>
          <w:color w:val="231F20"/>
        </w:rPr>
        <w:t>be</w:t>
      </w:r>
      <w:r>
        <w:rPr>
          <w:color w:val="231F20"/>
          <w:spacing w:val="-13"/>
        </w:rPr>
        <w:t> </w:t>
      </w:r>
      <w:r>
        <w:rPr>
          <w:color w:val="231F20"/>
          <w:spacing w:val="-3"/>
        </w:rPr>
        <w:t>adequate</w:t>
      </w:r>
      <w:r>
        <w:rPr>
          <w:color w:val="231F20"/>
          <w:spacing w:val="-13"/>
        </w:rPr>
        <w:t> </w:t>
      </w:r>
      <w:r>
        <w:rPr>
          <w:color w:val="231F20"/>
        </w:rPr>
        <w:t>to</w:t>
      </w:r>
      <w:r>
        <w:rPr>
          <w:color w:val="231F20"/>
          <w:spacing w:val="-13"/>
        </w:rPr>
        <w:t> </w:t>
      </w:r>
      <w:r>
        <w:rPr>
          <w:color w:val="231F20"/>
          <w:spacing w:val="-3"/>
        </w:rPr>
        <w:t>protect</w:t>
      </w:r>
      <w:r>
        <w:rPr>
          <w:color w:val="231F20"/>
          <w:spacing w:val="-13"/>
        </w:rPr>
        <w:t> </w:t>
      </w:r>
      <w:r>
        <w:rPr>
          <w:color w:val="231F20"/>
        </w:rPr>
        <w:t>the</w:t>
      </w:r>
      <w:r>
        <w:rPr>
          <w:color w:val="231F20"/>
          <w:spacing w:val="-13"/>
        </w:rPr>
        <w:t> </w:t>
      </w:r>
      <w:r>
        <w:rPr>
          <w:color w:val="231F20"/>
          <w:spacing w:val="-3"/>
        </w:rPr>
        <w:t>Company’s</w:t>
      </w:r>
      <w:r>
        <w:rPr>
          <w:color w:val="231F20"/>
          <w:spacing w:val="-13"/>
        </w:rPr>
        <w:t> </w:t>
      </w:r>
      <w:r>
        <w:rPr>
          <w:color w:val="231F20"/>
          <w:spacing w:val="-3"/>
        </w:rPr>
        <w:t>risk</w:t>
      </w:r>
      <w:r>
        <w:rPr>
          <w:color w:val="231F20"/>
          <w:spacing w:val="-13"/>
        </w:rPr>
        <w:t> </w:t>
      </w:r>
      <w:r>
        <w:rPr>
          <w:color w:val="231F20"/>
        </w:rPr>
        <w:t>of</w:t>
      </w:r>
      <w:r>
        <w:rPr>
          <w:color w:val="231F20"/>
          <w:spacing w:val="-13"/>
        </w:rPr>
        <w:t> </w:t>
      </w:r>
      <w:r>
        <w:rPr>
          <w:color w:val="231F20"/>
          <w:spacing w:val="-3"/>
        </w:rPr>
        <w:t>loss</w:t>
      </w:r>
      <w:r>
        <w:rPr>
          <w:color w:val="231F20"/>
          <w:spacing w:val="-13"/>
        </w:rPr>
        <w:t> </w:t>
      </w:r>
      <w:r>
        <w:rPr>
          <w:color w:val="231F20"/>
          <w:spacing w:val="-3"/>
        </w:rPr>
        <w:t>from</w:t>
      </w:r>
      <w:r>
        <w:rPr>
          <w:color w:val="231F20"/>
          <w:spacing w:val="-13"/>
        </w:rPr>
        <w:t> </w:t>
      </w:r>
      <w:r>
        <w:rPr>
          <w:color w:val="231F20"/>
          <w:spacing w:val="-3"/>
        </w:rPr>
        <w:t>future</w:t>
      </w:r>
      <w:r>
        <w:rPr>
          <w:color w:val="231F20"/>
          <w:spacing w:val="-13"/>
        </w:rPr>
        <w:t> </w:t>
      </w:r>
      <w:r>
        <w:rPr>
          <w:color w:val="231F20"/>
          <w:spacing w:val="-3"/>
        </w:rPr>
        <w:t>acts</w:t>
      </w:r>
      <w:r>
        <w:rPr>
          <w:color w:val="231F20"/>
          <w:spacing w:val="-13"/>
        </w:rPr>
        <w:t> </w:t>
      </w:r>
      <w:r>
        <w:rPr>
          <w:color w:val="231F20"/>
        </w:rPr>
        <w:t>of</w:t>
      </w:r>
      <w:r>
        <w:rPr>
          <w:color w:val="231F20"/>
          <w:spacing w:val="-13"/>
        </w:rPr>
        <w:t> </w:t>
      </w:r>
      <w:r>
        <w:rPr>
          <w:color w:val="231F20"/>
          <w:spacing w:val="-3"/>
        </w:rPr>
        <w:t>terrorism.</w:t>
      </w:r>
      <w:r>
        <w:rPr>
          <w:color w:val="231F20"/>
          <w:spacing w:val="-13"/>
        </w:rPr>
        <w:t> </w:t>
      </w:r>
      <w:r>
        <w:rPr>
          <w:color w:val="231F20"/>
          <w:spacing w:val="-3"/>
        </w:rPr>
        <w:t>In addition, </w:t>
      </w:r>
      <w:r>
        <w:rPr>
          <w:color w:val="231F20"/>
        </w:rPr>
        <w:t>an </w:t>
      </w:r>
      <w:r>
        <w:rPr>
          <w:color w:val="231F20"/>
          <w:spacing w:val="-3"/>
        </w:rPr>
        <w:t>accident </w:t>
      </w:r>
      <w:r>
        <w:rPr>
          <w:color w:val="231F20"/>
        </w:rPr>
        <w:t>or </w:t>
      </w:r>
      <w:r>
        <w:rPr>
          <w:color w:val="231F20"/>
          <w:spacing w:val="-3"/>
        </w:rPr>
        <w:t>other incident involving Southwest </w:t>
      </w:r>
      <w:r>
        <w:rPr>
          <w:color w:val="231F20"/>
        </w:rPr>
        <w:t>or </w:t>
      </w:r>
      <w:r>
        <w:rPr>
          <w:color w:val="231F20"/>
          <w:spacing w:val="-3"/>
        </w:rPr>
        <w:t>AirTran aircraft could result </w:t>
      </w:r>
      <w:r>
        <w:rPr>
          <w:color w:val="231F20"/>
        </w:rPr>
        <w:t>in </w:t>
      </w:r>
      <w:r>
        <w:rPr>
          <w:color w:val="231F20"/>
          <w:spacing w:val="-3"/>
        </w:rPr>
        <w:t>costs </w:t>
      </w:r>
      <w:r>
        <w:rPr>
          <w:color w:val="231F20"/>
        </w:rPr>
        <w:t>in </w:t>
      </w:r>
      <w:r>
        <w:rPr>
          <w:color w:val="231F20"/>
          <w:spacing w:val="-3"/>
        </w:rPr>
        <w:t>excess </w:t>
      </w:r>
      <w:r>
        <w:rPr>
          <w:color w:val="231F20"/>
        </w:rPr>
        <w:t>of </w:t>
      </w:r>
      <w:r>
        <w:rPr>
          <w:color w:val="231F20"/>
          <w:spacing w:val="-3"/>
        </w:rPr>
        <w:t>its related insurance coverage, which costs could </w:t>
      </w:r>
      <w:r>
        <w:rPr>
          <w:color w:val="231F20"/>
        </w:rPr>
        <w:t>be </w:t>
      </w:r>
      <w:r>
        <w:rPr>
          <w:color w:val="231F20"/>
          <w:spacing w:val="-3"/>
        </w:rPr>
        <w:t>substantial. </w:t>
      </w:r>
      <w:r>
        <w:rPr>
          <w:color w:val="231F20"/>
        </w:rPr>
        <w:t>Any </w:t>
      </w:r>
      <w:r>
        <w:rPr>
          <w:color w:val="231F20"/>
          <w:spacing w:val="-3"/>
        </w:rPr>
        <w:t>aircraft accident </w:t>
      </w:r>
      <w:r>
        <w:rPr>
          <w:color w:val="231F20"/>
        </w:rPr>
        <w:t>or </w:t>
      </w:r>
      <w:r>
        <w:rPr>
          <w:color w:val="231F20"/>
          <w:spacing w:val="-3"/>
        </w:rPr>
        <w:t>other incident, even </w:t>
      </w:r>
      <w:r>
        <w:rPr>
          <w:color w:val="231F20"/>
        </w:rPr>
        <w:t>if </w:t>
      </w:r>
      <w:r>
        <w:rPr>
          <w:color w:val="231F20"/>
          <w:spacing w:val="-3"/>
        </w:rPr>
        <w:t>fully insured,</w:t>
      </w:r>
      <w:r>
        <w:rPr>
          <w:color w:val="231F20"/>
          <w:spacing w:val="-15"/>
        </w:rPr>
        <w:t> </w:t>
      </w:r>
      <w:r>
        <w:rPr>
          <w:color w:val="231F20"/>
          <w:spacing w:val="-3"/>
        </w:rPr>
        <w:t>could</w:t>
      </w:r>
      <w:r>
        <w:rPr>
          <w:color w:val="231F20"/>
          <w:spacing w:val="-15"/>
        </w:rPr>
        <w:t> </w:t>
      </w:r>
      <w:r>
        <w:rPr>
          <w:color w:val="231F20"/>
          <w:spacing w:val="-3"/>
        </w:rPr>
        <w:t>also</w:t>
      </w:r>
      <w:r>
        <w:rPr>
          <w:color w:val="231F20"/>
          <w:spacing w:val="-15"/>
        </w:rPr>
        <w:t> </w:t>
      </w:r>
      <w:r>
        <w:rPr>
          <w:color w:val="231F20"/>
          <w:spacing w:val="-3"/>
        </w:rPr>
        <w:t>have</w:t>
      </w:r>
      <w:r>
        <w:rPr>
          <w:color w:val="231F20"/>
          <w:spacing w:val="-15"/>
        </w:rPr>
        <w:t> </w:t>
      </w:r>
      <w:r>
        <w:rPr>
          <w:color w:val="231F20"/>
        </w:rPr>
        <w:t>a</w:t>
      </w:r>
      <w:r>
        <w:rPr>
          <w:color w:val="231F20"/>
          <w:spacing w:val="-15"/>
        </w:rPr>
        <w:t> </w:t>
      </w:r>
      <w:r>
        <w:rPr>
          <w:color w:val="231F20"/>
          <w:spacing w:val="-3"/>
        </w:rPr>
        <w:t>material</w:t>
      </w:r>
      <w:r>
        <w:rPr>
          <w:color w:val="231F20"/>
          <w:spacing w:val="-15"/>
        </w:rPr>
        <w:t> </w:t>
      </w:r>
      <w:r>
        <w:rPr>
          <w:color w:val="231F20"/>
          <w:spacing w:val="-3"/>
        </w:rPr>
        <w:t>adverse</w:t>
      </w:r>
      <w:r>
        <w:rPr>
          <w:color w:val="231F20"/>
          <w:spacing w:val="-15"/>
        </w:rPr>
        <w:t> </w:t>
      </w:r>
      <w:r>
        <w:rPr>
          <w:color w:val="231F20"/>
          <w:spacing w:val="-3"/>
        </w:rPr>
        <w:t>effect</w:t>
      </w:r>
      <w:r>
        <w:rPr>
          <w:color w:val="231F20"/>
          <w:spacing w:val="-15"/>
        </w:rPr>
        <w:t> </w:t>
      </w:r>
      <w:r>
        <w:rPr>
          <w:color w:val="231F20"/>
        </w:rPr>
        <w:t>on</w:t>
      </w:r>
      <w:r>
        <w:rPr>
          <w:color w:val="231F20"/>
          <w:spacing w:val="-15"/>
        </w:rPr>
        <w:t> </w:t>
      </w:r>
      <w:r>
        <w:rPr>
          <w:color w:val="231F20"/>
        </w:rPr>
        <w:t>the</w:t>
      </w:r>
      <w:r>
        <w:rPr>
          <w:color w:val="231F20"/>
          <w:spacing w:val="-15"/>
        </w:rPr>
        <w:t> </w:t>
      </w:r>
      <w:r>
        <w:rPr>
          <w:color w:val="231F20"/>
          <w:spacing w:val="-3"/>
        </w:rPr>
        <w:t>public’s</w:t>
      </w:r>
      <w:r>
        <w:rPr>
          <w:color w:val="231F20"/>
          <w:spacing w:val="-15"/>
        </w:rPr>
        <w:t> </w:t>
      </w:r>
      <w:r>
        <w:rPr>
          <w:color w:val="231F20"/>
          <w:spacing w:val="-3"/>
        </w:rPr>
        <w:t>perception</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spacing w:val="-3"/>
        </w:rPr>
        <w:t>Company.</w:t>
      </w:r>
    </w:p>
    <w:p>
      <w:pPr>
        <w:pStyle w:val="BodyText"/>
        <w:spacing w:line="249" w:lineRule="auto" w:before="181"/>
        <w:ind w:left="100" w:right="111" w:firstLine="490"/>
      </w:pPr>
      <w:r>
        <w:rPr>
          <w:color w:val="231F20"/>
        </w:rPr>
        <w:t>The Company cannot guarantee it will be able to maintain or improve upon its current level of low-cost advantage. For example, in recent years the Company’s maintenance costs have been pressured with the aging of its fleet, which has required the Company to spend more to maintain a portion of its fleet and to implement a related fleet modernization and replacement plan. Further, some of the Company’s competitors have achieved substantially lower employee pay scales through bankruptcy than the Company. Additionally, in response to volatile fuel prices and economic uncertainty, some of the Company’s competitors have taken additional efficiency and cost reduction measures, such as capacity cuts and headcount reductions, which have reduced the Company’s cost advantage. Further, other competitors have continued to grow their fleets and expand their networks, potentially enabling them to better control costs per available seat mile. In addition, some competitors have announced plans to add a significant number of new aircraft to their fleets, which could potentially decrease their operating costs through better fuel efficiencies, and lower maintenance costs. Some of the Company’s competitors have taken advantage of reorganization in bankruptcy, and even the threat of bankruptcy, to decrease operating costs through renegotiated labor, supply, and financing agreements. In addition, some airlines have consolidated and reported significant expected cost synergies.</w:t>
      </w:r>
    </w:p>
    <w:p>
      <w:pPr>
        <w:spacing w:after="0" w:line="249" w:lineRule="auto"/>
        <w:sectPr>
          <w:pgSz w:w="11880" w:h="15480"/>
          <w:pgMar w:header="0" w:footer="1253" w:top="1240" w:bottom="1440" w:left="1280" w:right="1300"/>
        </w:sectPr>
      </w:pPr>
    </w:p>
    <w:p>
      <w:pPr>
        <w:pStyle w:val="Heading4"/>
        <w:spacing w:line="249" w:lineRule="auto" w:before="73"/>
        <w:ind w:right="249"/>
      </w:pPr>
      <w:r>
        <w:rPr>
          <w:i/>
          <w:color w:val="231F20"/>
        </w:rPr>
        <w:t>The Company is increasingly dependent on technology to operate its business and continues to implement </w:t>
      </w:r>
      <w:r>
        <w:rPr>
          <w:color w:val="231F20"/>
        </w:rPr>
        <w:t>substantial changes to its information systems; any failure or disruption in the Company’s information systems could materially adversely affect its operations.</w:t>
      </w:r>
    </w:p>
    <w:p>
      <w:pPr>
        <w:pStyle w:val="BodyText"/>
        <w:spacing w:line="249" w:lineRule="auto" w:before="160"/>
        <w:ind w:left="100" w:right="137" w:firstLine="490"/>
      </w:pPr>
      <w:r>
        <w:rPr>
          <w:color w:val="231F20"/>
        </w:rPr>
        <w:t>The Company is increasingly dependent on the use of complex technology and systems to run its ongoing operations. In addition, technology is critical to the success of the Company’s strategic initiatives. In recent years the Company has been committed to technology improvements to support its ongoing operations and initiatives. For example, the Company has invested in significant technology changes to support initiatives such as the implementation of connecting capabilities between the Southwest and AirTran reservations systems, Southwest’s Rapid Rewards frequent flyer program, introduction of the Boeing 737-800 to its fleet, enhanced southwest.com website, WiFi implementation, and live television connectivity. In addition, the Company has added new reservation system technology to support Southwest’s international itineraries and, in January 2014, began selling its first international itineraries to be flown by Southwest aircraft. The Company intends to continue to devote significant technology resources towards, among other things, (i) continued improvement of its revenue management technical capabilities, (ii) replacement of Southwest’s existing domestic reservation system with a comprehensive system that would provide Southwest with the ability to serve both domestic and international markets, and (iii) a new suite of operational tools that the Company expects will improve operational management.</w:t>
      </w:r>
    </w:p>
    <w:p>
      <w:pPr>
        <w:pStyle w:val="BodyText"/>
        <w:spacing w:line="249" w:lineRule="auto" w:before="160"/>
        <w:ind w:left="100" w:right="129" w:firstLine="490"/>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 initiatives.</w:t>
      </w:r>
    </w:p>
    <w:p>
      <w:pPr>
        <w:pStyle w:val="BodyText"/>
        <w:spacing w:line="249" w:lineRule="auto" w:before="160"/>
        <w:ind w:left="100" w:right="102" w:firstLine="490"/>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For example, new software was developed for Pilot scheduling in response to the DOT’s and FAA’s new flight, duty, and rest regulations that went into effect in January 2014.</w:t>
      </w:r>
    </w:p>
    <w:p>
      <w:pPr>
        <w:pStyle w:val="BodyText"/>
        <w:spacing w:line="249" w:lineRule="auto" w:before="1"/>
        <w:ind w:left="100" w:right="102"/>
      </w:pPr>
      <w:r>
        <w:rPr>
          <w:color w:val="231F20"/>
        </w:rPr>
        <w:t>Modifications and refinements to the Company’s systems have been and are expected to continue to be expensive to implement and may divert management’s attention from other key initiatives. In addition, the Company’s operations could be adversely affected, or it could face imposition of regulatory penalties, if it is unable to timely or effectively modify its systems as necessary.</w:t>
      </w:r>
    </w:p>
    <w:p>
      <w:pPr>
        <w:pStyle w:val="BodyText"/>
        <w:spacing w:line="249" w:lineRule="auto" w:before="160"/>
        <w:ind w:left="100" w:right="103" w:firstLine="490"/>
      </w:pPr>
      <w:r>
        <w:rPr>
          <w:color w:val="231F20"/>
        </w:rPr>
        <w:t>The Company may occasionally experience system interruptions and delays that make its websites and services unavailable or slow to respond, which could prevent the Company from 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w:t>
      </w:r>
      <w:r>
        <w:rPr>
          <w:color w:val="231F20"/>
          <w:spacing w:val="6"/>
        </w:rPr>
        <w:t> </w:t>
      </w:r>
      <w:r>
        <w:rPr>
          <w:color w:val="231F20"/>
        </w:rPr>
        <w:t>remedy.</w:t>
      </w:r>
    </w:p>
    <w:p>
      <w:pPr>
        <w:pStyle w:val="Heading4"/>
        <w:spacing w:line="249" w:lineRule="auto" w:before="160"/>
        <w:ind w:right="295"/>
      </w:pPr>
      <w:r>
        <w:rPr>
          <w:i/>
          <w:color w:val="231F20"/>
        </w:rPr>
        <w:t>The Company’s business is labor intensive; therefore, the Company would be adversely affected if it were </w:t>
      </w:r>
      <w:r>
        <w:rPr>
          <w:color w:val="231F20"/>
        </w:rPr>
        <w:t>unable to maintain satisfactory relations with its Employees or its Employees’ Representatives or if the Company were unable to employ sufficient numbers of qualified Employees to maintain its operations.</w:t>
      </w:r>
    </w:p>
    <w:p>
      <w:pPr>
        <w:pStyle w:val="BodyText"/>
        <w:spacing w:line="249" w:lineRule="auto" w:before="160"/>
        <w:ind w:left="100" w:right="223" w:firstLine="490"/>
      </w:pPr>
      <w:r>
        <w:rPr>
          <w:color w:val="231F20"/>
        </w:rPr>
        <w:t>The airline business is labor intensive. Salaries, wages, and benefits represented approximately 31 percent of the Company’s operating expenses for the year ended December 31, 2013. In addition, as of December 31, 2013, approximately 83 percent of the Company’s Employees (including AirTran Employees) were represented for collective bargaining purposes by labor unions, making the Company particularly exposed in the event of</w:t>
      </w:r>
    </w:p>
    <w:p>
      <w:pPr>
        <w:spacing w:after="0" w:line="249" w:lineRule="auto"/>
        <w:sectPr>
          <w:pgSz w:w="11880" w:h="15480"/>
          <w:pgMar w:header="0" w:footer="1253" w:top="1240" w:bottom="1440" w:left="1280" w:right="1280"/>
        </w:sectPr>
      </w:pPr>
    </w:p>
    <w:p>
      <w:pPr>
        <w:pStyle w:val="BodyText"/>
        <w:spacing w:line="249" w:lineRule="auto" w:before="73"/>
        <w:ind w:left="100" w:right="162"/>
      </w:pPr>
      <w:r>
        <w:rPr>
          <w:color w:val="231F20"/>
        </w:rPr>
        <w:t>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approximately 99 percent of Southwest’s unionized Employees, including those represented by nine of Southwest’s eleven unions, are in unions currently in negotiations for labor agreements or have labor agreements that become amendable in 2014, which could continue to put pressure on the Company’s labor costs. Increasing labor costs, whether or not combined with curtailed growth, could negatively impact the Company’s competitive position.</w:t>
      </w:r>
    </w:p>
    <w:p>
      <w:pPr>
        <w:pStyle w:val="BodyText"/>
        <w:spacing w:line="249" w:lineRule="auto" w:before="172"/>
        <w:ind w:left="100" w:right="256" w:firstLine="490"/>
      </w:pPr>
      <w:r>
        <w:rPr>
          <w:color w:val="231F20"/>
        </w:rPr>
        <w:t>The Company’s success also depends on its ability to attract and retain skilled personnel. Competition for skilled personnel may intensify if overall industry capacity increases and/or if high levels of current personnel reach retirement age. The Company may be required to increase existing levels of compensation to retain or supplement its skilled workforce. The inability to recruit and retain skilled personnel or the unexpected loss of key skilled personnel could adversely affect the Company’s operations.</w:t>
      </w:r>
    </w:p>
    <w:p>
      <w:pPr>
        <w:pStyle w:val="Heading4"/>
        <w:spacing w:line="249" w:lineRule="auto" w:before="172"/>
        <w:ind w:right="151"/>
        <w:jc w:val="both"/>
      </w:pPr>
      <w:r>
        <w:rPr>
          <w:i/>
          <w:color w:val="231F20"/>
        </w:rPr>
        <w:t>The Company may be unable to successfully complete the integration of AirTran’s business and realize the </w:t>
      </w:r>
      <w:r>
        <w:rPr>
          <w:color w:val="231F20"/>
        </w:rPr>
        <w:t>anticipated benefits of its acquisition of AirTran. In addition, delays in integration could cause anticipated synergies to take longer than anticipated to realize.</w:t>
      </w:r>
    </w:p>
    <w:p>
      <w:pPr>
        <w:pStyle w:val="BodyText"/>
        <w:spacing w:line="249" w:lineRule="auto" w:before="172"/>
        <w:ind w:left="100" w:right="462" w:firstLine="490"/>
      </w:pPr>
      <w:r>
        <w:rPr>
          <w:color w:val="231F20"/>
        </w:rPr>
        <w:t>Risk factors associated with the Company’s acquisition and integration of AirTran are discussed below under “Risk Factors Related to the Company’s Acquisition and Integration of AirTran.”</w:t>
      </w:r>
    </w:p>
    <w:p>
      <w:pPr>
        <w:pStyle w:val="Heading4"/>
        <w:spacing w:line="249" w:lineRule="auto" w:before="172"/>
        <w:ind w:right="232"/>
      </w:pPr>
      <w:r>
        <w:rPr>
          <w:i/>
          <w:color w:val="231F20"/>
        </w:rPr>
        <w:t>The Company is currently dependent on single aircraft and engine suppliers, as well as single suppliers of </w:t>
      </w:r>
      <w:r>
        <w:rPr>
          <w:color w:val="231F20"/>
        </w:rPr>
        <w:t>certain other parts; therefore, the Company would be materially adversely affected if it were unable to obtain additional equipment or support from any of these suppliers or in the event of a mechanical or regulatory issue associated with their equipment.</w:t>
      </w:r>
    </w:p>
    <w:p>
      <w:pPr>
        <w:pStyle w:val="BodyText"/>
        <w:spacing w:line="249" w:lineRule="auto" w:before="172"/>
        <w:ind w:left="100" w:right="175" w:firstLine="490"/>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or Boeing 717 aircraft type, whether as a result of downtime for part or all of the Company’s fleet or because of a negative perception by the flying public. The Company believes, however, that its years of experience with the Boeing 737 aircraft type, as well as the efficiencies Southwest has historically achieved by operating with a single aircraft type, currently outweigh the risks associated with its single aircraft supplier strategy. To enable Southwest to sustain the benefits associated with operating a single aircraft type, in July 2012 the Company entered into an agreement with Delta Air Lines, Inc. and Boeing Capital Corp. to lease or sublease all 88 of AirTran’s Boeing 717-200 aircraft to Delta.</w:t>
      </w:r>
    </w:p>
    <w:p>
      <w:pPr>
        <w:pStyle w:val="BodyText"/>
        <w:spacing w:line="249" w:lineRule="auto" w:before="1"/>
        <w:ind w:left="100" w:right="114"/>
      </w:pPr>
      <w:r>
        <w:rPr>
          <w:color w:val="231F20"/>
        </w:rPr>
        <w:t>Deliveries to Delta began in September 2013 at the rate of approximately three aircraft per month. As of December 31, 2013, 22 of AirTran’s Boeing 717-200 aircraft had been removed from service and 13 had been delivered to Delta. The Company is also dependent on sole suppliers for aircraft engines and certain other aircraft parts and would therefore also be materially adversely affected in the event of the unavailability of, or a mechanical or regulatory issue associated with, engines and other parts.</w:t>
      </w:r>
    </w:p>
    <w:p>
      <w:pPr>
        <w:pStyle w:val="Heading4"/>
        <w:spacing w:line="249" w:lineRule="auto" w:before="172"/>
        <w:ind w:right="260"/>
      </w:pPr>
      <w:r>
        <w:rPr>
          <w:i/>
          <w:color w:val="231F20"/>
        </w:rPr>
        <w:t>Any failure of the Company to maintain the security of certain Customer-related information could result </w:t>
      </w:r>
      <w:r>
        <w:rPr>
          <w:color w:val="231F20"/>
        </w:rPr>
        <w:t>in damage to the Company’s reputation and could be costly to remediate.</w:t>
      </w:r>
    </w:p>
    <w:p>
      <w:pPr>
        <w:pStyle w:val="BodyText"/>
        <w:spacing w:line="249" w:lineRule="auto" w:before="172"/>
        <w:ind w:left="100" w:right="451" w:firstLine="490"/>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 tampering, and theft. Although the Company maintains systems to prevent this from occurring, these systems require ongoing monitoring and updating as technologies change, and security could be compromised,</w:t>
      </w:r>
    </w:p>
    <w:p>
      <w:pPr>
        <w:spacing w:after="0" w:line="249" w:lineRule="auto"/>
        <w:sectPr>
          <w:pgSz w:w="11880" w:h="15480"/>
          <w:pgMar w:header="0" w:footer="1253" w:top="1240" w:bottom="1440" w:left="1280" w:right="1280"/>
        </w:sectPr>
      </w:pPr>
    </w:p>
    <w:p>
      <w:pPr>
        <w:pStyle w:val="BodyText"/>
        <w:spacing w:line="249" w:lineRule="auto" w:before="73"/>
        <w:ind w:left="100" w:right="127"/>
      </w:pPr>
      <w:r>
        <w:rPr>
          <w:color w:val="231F20"/>
        </w:rPr>
        <w:t>confidential information could be misappropriated, or system disruptions could occur. The Company must also provide certain confidential, proprietary, and personal information to third parties in the ordinary course of its business.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 Although the Company has not experienced cyber incidents that are individually, or in the aggregate, material, the Company has experienced cyber attacks in the past, which have thus far been mitigated by preventive and detective measures put in place by the</w:t>
      </w:r>
      <w:r>
        <w:rPr>
          <w:color w:val="231F20"/>
          <w:spacing w:val="5"/>
        </w:rPr>
        <w:t> </w:t>
      </w:r>
      <w:r>
        <w:rPr>
          <w:color w:val="231F20"/>
        </w:rPr>
        <w:t>Company.</w:t>
      </w:r>
    </w:p>
    <w:p>
      <w:pPr>
        <w:pStyle w:val="Heading4"/>
        <w:spacing w:line="249" w:lineRule="auto" w:before="160"/>
        <w:ind w:right="416"/>
      </w:pPr>
      <w:r>
        <w:rPr>
          <w:i/>
          <w:color w:val="231F20"/>
        </w:rPr>
        <w:t>The Company’s results of operations could be adversely impacted if it is unable to grow or to timely and </w:t>
      </w:r>
      <w:r>
        <w:rPr>
          <w:color w:val="231F20"/>
        </w:rPr>
        <w:t>effectively implement its revenue and other initiatives.</w:t>
      </w:r>
    </w:p>
    <w:p>
      <w:pPr>
        <w:pStyle w:val="BodyText"/>
        <w:spacing w:line="249" w:lineRule="auto" w:before="160"/>
        <w:ind w:left="100" w:firstLine="490"/>
      </w:pPr>
      <w:r>
        <w:rPr>
          <w:color w:val="231F20"/>
        </w:rPr>
        <w:t>Southwest has historically been regarded as a growth airline; however, less than satisfactory returns on capital caused by the combination of a difficult economic environment and growing jet fuel costs led to the Company’s decision to limit organic growth for the indefinite future. In addition, organic growth has become increasingly difficult, because (i) the number of opportunities for domestic expansion has declined; (ii) with the exception of AirTran’s near-international service, the Company currently does not have international service; and</w:t>
      </w:r>
    </w:p>
    <w:p>
      <w:pPr>
        <w:pStyle w:val="ListParagraph"/>
        <w:numPr>
          <w:ilvl w:val="0"/>
          <w:numId w:val="3"/>
        </w:numPr>
        <w:tabs>
          <w:tab w:pos="452" w:val="left" w:leader="none"/>
        </w:tabs>
        <w:spacing w:line="249" w:lineRule="auto" w:before="1" w:after="0"/>
        <w:ind w:left="100" w:right="113" w:firstLine="0"/>
        <w:jc w:val="left"/>
        <w:rPr>
          <w:sz w:val="20"/>
        </w:rPr>
      </w:pPr>
      <w:r>
        <w:rPr>
          <w:color w:val="231F20"/>
          <w:sz w:val="20"/>
        </w:rPr>
        <w:t>the Company has faced an increased presence of other low-cost, low-fare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 long</w:t>
      </w:r>
      <w:r>
        <w:rPr>
          <w:color w:val="231F20"/>
          <w:spacing w:val="6"/>
          <w:sz w:val="20"/>
        </w:rPr>
        <w:t> </w:t>
      </w:r>
      <w:r>
        <w:rPr>
          <w:color w:val="231F20"/>
          <w:sz w:val="20"/>
        </w:rPr>
        <w:t>term.</w:t>
      </w:r>
    </w:p>
    <w:p>
      <w:pPr>
        <w:pStyle w:val="Heading4"/>
        <w:spacing w:line="249" w:lineRule="auto" w:before="160"/>
        <w:ind w:right="120"/>
      </w:pPr>
      <w:r>
        <w:rPr>
          <w:i/>
          <w:color w:val="231F20"/>
        </w:rPr>
        <w:t>Instability of credit, capital, and energy markets can result in pressure on the Company’s credit ratings and </w:t>
      </w:r>
      <w:r>
        <w:rPr>
          <w:color w:val="231F20"/>
        </w:rPr>
        <w:t>can also negatively affect the Company’s ability to obtain financing on acceptable terms and the Company’s liquidity</w:t>
      </w:r>
      <w:r>
        <w:rPr>
          <w:color w:val="231F20"/>
          <w:spacing w:val="2"/>
        </w:rPr>
        <w:t> </w:t>
      </w:r>
      <w:r>
        <w:rPr>
          <w:color w:val="231F20"/>
        </w:rPr>
        <w:t>generally.</w:t>
      </w:r>
    </w:p>
    <w:p>
      <w:pPr>
        <w:pStyle w:val="BodyText"/>
        <w:spacing w:line="249" w:lineRule="auto" w:before="160"/>
        <w:ind w:left="100" w:firstLine="490"/>
      </w:pPr>
      <w:r>
        <w:rPr>
          <w:color w:val="231F20"/>
        </w:rPr>
        <w:t>During</w:t>
      </w:r>
      <w:r>
        <w:rPr>
          <w:color w:val="231F20"/>
          <w:spacing w:val="-13"/>
        </w:rPr>
        <w:t> </w:t>
      </w:r>
      <w:r>
        <w:rPr>
          <w:color w:val="231F20"/>
        </w:rPr>
        <w:t>the</w:t>
      </w:r>
      <w:r>
        <w:rPr>
          <w:color w:val="231F20"/>
          <w:spacing w:val="-12"/>
        </w:rPr>
        <w:t> </w:t>
      </w:r>
      <w:r>
        <w:rPr>
          <w:color w:val="231F20"/>
        </w:rPr>
        <w:t>recession</w:t>
      </w:r>
      <w:r>
        <w:rPr>
          <w:color w:val="231F20"/>
          <w:spacing w:val="-13"/>
        </w:rPr>
        <w:t> </w:t>
      </w:r>
      <w:r>
        <w:rPr>
          <w:color w:val="231F20"/>
        </w:rPr>
        <w:t>in</w:t>
      </w:r>
      <w:r>
        <w:rPr>
          <w:color w:val="231F20"/>
          <w:spacing w:val="-13"/>
        </w:rPr>
        <w:t> </w:t>
      </w:r>
      <w:r>
        <w:rPr>
          <w:color w:val="231F20"/>
        </w:rPr>
        <w:t>2009,</w:t>
      </w:r>
      <w:r>
        <w:rPr>
          <w:color w:val="231F20"/>
          <w:spacing w:val="-13"/>
        </w:rPr>
        <w:t> </w:t>
      </w:r>
      <w:r>
        <w:rPr>
          <w:color w:val="231F20"/>
        </w:rPr>
        <w:t>the</w:t>
      </w:r>
      <w:r>
        <w:rPr>
          <w:color w:val="231F20"/>
          <w:spacing w:val="-12"/>
        </w:rPr>
        <w:t> </w:t>
      </w:r>
      <w:r>
        <w:rPr>
          <w:color w:val="231F20"/>
        </w:rPr>
        <w:t>Company’s</w:t>
      </w:r>
      <w:r>
        <w:rPr>
          <w:color w:val="231F20"/>
          <w:spacing w:val="-12"/>
        </w:rPr>
        <w:t> </w:t>
      </w:r>
      <w:r>
        <w:rPr>
          <w:color w:val="231F20"/>
        </w:rPr>
        <w:t>credit</w:t>
      </w:r>
      <w:r>
        <w:rPr>
          <w:color w:val="231F20"/>
          <w:spacing w:val="-12"/>
        </w:rPr>
        <w:t> </w:t>
      </w:r>
      <w:r>
        <w:rPr>
          <w:color w:val="231F20"/>
        </w:rPr>
        <w:t>ratings</w:t>
      </w:r>
      <w:r>
        <w:rPr>
          <w:color w:val="231F20"/>
          <w:spacing w:val="-12"/>
        </w:rPr>
        <w:t> </w:t>
      </w:r>
      <w:r>
        <w:rPr>
          <w:color w:val="231F20"/>
        </w:rPr>
        <w:t>were</w:t>
      </w:r>
      <w:r>
        <w:rPr>
          <w:color w:val="231F20"/>
          <w:spacing w:val="-12"/>
        </w:rPr>
        <w:t> </w:t>
      </w:r>
      <w:r>
        <w:rPr>
          <w:color w:val="231F20"/>
        </w:rPr>
        <w:t>pressured</w:t>
      </w:r>
      <w:r>
        <w:rPr>
          <w:color w:val="231F20"/>
          <w:spacing w:val="-13"/>
        </w:rPr>
        <w:t> </w:t>
      </w:r>
      <w:r>
        <w:rPr>
          <w:color w:val="231F20"/>
        </w:rPr>
        <w:t>by</w:t>
      </w:r>
      <w:r>
        <w:rPr>
          <w:color w:val="231F20"/>
          <w:spacing w:val="-13"/>
        </w:rPr>
        <w:t> </w:t>
      </w:r>
      <w:r>
        <w:rPr>
          <w:color w:val="231F20"/>
        </w:rPr>
        <w:t>weak</w:t>
      </w:r>
      <w:r>
        <w:rPr>
          <w:color w:val="231F20"/>
          <w:spacing w:val="-13"/>
        </w:rPr>
        <w:t> </w:t>
      </w:r>
      <w:r>
        <w:rPr>
          <w:color w:val="231F20"/>
        </w:rPr>
        <w:t>industry</w:t>
      </w:r>
      <w:r>
        <w:rPr>
          <w:color w:val="231F20"/>
          <w:spacing w:val="-13"/>
        </w:rPr>
        <w:t> </w:t>
      </w:r>
      <w:r>
        <w:rPr>
          <w:color w:val="231F20"/>
        </w:rPr>
        <w:t>revenue</w:t>
      </w:r>
      <w:r>
        <w:rPr>
          <w:color w:val="231F20"/>
          <w:spacing w:val="-12"/>
        </w:rPr>
        <w:t> </w:t>
      </w:r>
      <w:r>
        <w:rPr>
          <w:color w:val="231F20"/>
        </w:rPr>
        <w:t>and</w:t>
      </w:r>
      <w:r>
        <w:rPr>
          <w:color w:val="231F20"/>
          <w:spacing w:val="-13"/>
        </w:rPr>
        <w:t> </w:t>
      </w:r>
      <w:r>
        <w:rPr>
          <w:color w:val="231F20"/>
        </w:rPr>
        <w:t>an extraordinarily volatile fuel price environment. While the Company’s credit rating is “investment grade,” factors such</w:t>
      </w:r>
      <w:r>
        <w:rPr>
          <w:color w:val="231F20"/>
          <w:spacing w:val="-12"/>
        </w:rPr>
        <w:t> </w:t>
      </w:r>
      <w:r>
        <w:rPr>
          <w:color w:val="231F20"/>
        </w:rPr>
        <w:t>as</w:t>
      </w:r>
      <w:r>
        <w:rPr>
          <w:color w:val="231F20"/>
          <w:spacing w:val="-12"/>
        </w:rPr>
        <w:t> </w:t>
      </w:r>
      <w:r>
        <w:rPr>
          <w:color w:val="231F20"/>
        </w:rPr>
        <w:t>future</w:t>
      </w:r>
      <w:r>
        <w:rPr>
          <w:color w:val="231F20"/>
          <w:spacing w:val="-12"/>
        </w:rPr>
        <w:t> </w:t>
      </w:r>
      <w:r>
        <w:rPr>
          <w:color w:val="231F20"/>
        </w:rPr>
        <w:t>unfavorable</w:t>
      </w:r>
      <w:r>
        <w:rPr>
          <w:color w:val="231F20"/>
          <w:spacing w:val="-12"/>
        </w:rPr>
        <w:t> </w:t>
      </w:r>
      <w:r>
        <w:rPr>
          <w:color w:val="231F20"/>
        </w:rPr>
        <w:t>economic</w:t>
      </w:r>
      <w:r>
        <w:rPr>
          <w:color w:val="231F20"/>
          <w:spacing w:val="-12"/>
        </w:rPr>
        <w:t> </w:t>
      </w:r>
      <w:r>
        <w:rPr>
          <w:color w:val="231F20"/>
        </w:rPr>
        <w:t>conditions,</w:t>
      </w:r>
      <w:r>
        <w:rPr>
          <w:color w:val="231F20"/>
          <w:spacing w:val="-12"/>
        </w:rPr>
        <w:t> </w:t>
      </w:r>
      <w:r>
        <w:rPr>
          <w:color w:val="231F20"/>
        </w:rPr>
        <w:t>a</w:t>
      </w:r>
      <w:r>
        <w:rPr>
          <w:color w:val="231F20"/>
          <w:spacing w:val="-12"/>
        </w:rPr>
        <w:t> </w:t>
      </w:r>
      <w:r>
        <w:rPr>
          <w:color w:val="231F20"/>
        </w:rPr>
        <w:t>significant</w:t>
      </w:r>
      <w:r>
        <w:rPr>
          <w:color w:val="231F20"/>
          <w:spacing w:val="-12"/>
        </w:rPr>
        <w:t> </w:t>
      </w:r>
      <w:r>
        <w:rPr>
          <w:color w:val="231F20"/>
        </w:rPr>
        <w:t>decline</w:t>
      </w:r>
      <w:r>
        <w:rPr>
          <w:color w:val="231F20"/>
          <w:spacing w:val="-12"/>
        </w:rPr>
        <w:t> </w:t>
      </w:r>
      <w:r>
        <w:rPr>
          <w:color w:val="231F20"/>
        </w:rPr>
        <w:t>in</w:t>
      </w:r>
      <w:r>
        <w:rPr>
          <w:color w:val="231F20"/>
          <w:spacing w:val="-12"/>
        </w:rPr>
        <w:t> </w:t>
      </w:r>
      <w:r>
        <w:rPr>
          <w:color w:val="231F20"/>
        </w:rPr>
        <w:t>demand</w:t>
      </w:r>
      <w:r>
        <w:rPr>
          <w:color w:val="231F20"/>
          <w:spacing w:val="-12"/>
        </w:rPr>
        <w:t> </w:t>
      </w:r>
      <w:r>
        <w:rPr>
          <w:color w:val="231F20"/>
        </w:rPr>
        <w:t>for</w:t>
      </w:r>
      <w:r>
        <w:rPr>
          <w:color w:val="231F20"/>
          <w:spacing w:val="-12"/>
        </w:rPr>
        <w:t> </w:t>
      </w:r>
      <w:r>
        <w:rPr>
          <w:color w:val="231F20"/>
        </w:rPr>
        <w:t>air</w:t>
      </w:r>
      <w:r>
        <w:rPr>
          <w:color w:val="231F20"/>
          <w:spacing w:val="-12"/>
        </w:rPr>
        <w:t> </w:t>
      </w:r>
      <w:r>
        <w:rPr>
          <w:color w:val="231F20"/>
        </w:rPr>
        <w:t>travel,</w:t>
      </w:r>
      <w:r>
        <w:rPr>
          <w:color w:val="231F20"/>
          <w:spacing w:val="-12"/>
        </w:rPr>
        <w:t> </w:t>
      </w:r>
      <w:r>
        <w:rPr>
          <w:color w:val="231F20"/>
        </w:rPr>
        <w:t>or</w:t>
      </w:r>
      <w:r>
        <w:rPr>
          <w:color w:val="231F20"/>
          <w:spacing w:val="-12"/>
        </w:rPr>
        <w:t> </w:t>
      </w:r>
      <w:r>
        <w:rPr>
          <w:color w:val="231F20"/>
        </w:rPr>
        <w:t>instability</w:t>
      </w:r>
      <w:r>
        <w:rPr>
          <w:color w:val="231F20"/>
          <w:spacing w:val="-12"/>
        </w:rPr>
        <w:t> </w:t>
      </w:r>
      <w:r>
        <w:rPr>
          <w:color w:val="231F20"/>
        </w:rPr>
        <w:t>of</w:t>
      </w:r>
      <w:r>
        <w:rPr>
          <w:color w:val="231F20"/>
          <w:spacing w:val="-12"/>
        </w:rPr>
        <w:t> </w:t>
      </w:r>
      <w:r>
        <w:rPr>
          <w:color w:val="231F20"/>
          <w:spacing w:val="-2"/>
        </w:rPr>
        <w:t>the </w:t>
      </w:r>
      <w:r>
        <w:rPr>
          <w:color w:val="231F20"/>
        </w:rPr>
        <w:t>credit and capital markets could result in future pressure on credit ratings, which could negatively affect (i) </w:t>
      </w:r>
      <w:r>
        <w:rPr>
          <w:color w:val="231F20"/>
          <w:spacing w:val="-2"/>
        </w:rPr>
        <w:t>the </w:t>
      </w:r>
      <w:r>
        <w:rPr>
          <w:color w:val="231F20"/>
        </w:rPr>
        <w:t>Company’s ability to obtain financing on acceptable terms, (ii) the Company’s liquidity generally, and (iii) </w:t>
      </w:r>
      <w:r>
        <w:rPr>
          <w:color w:val="231F20"/>
          <w:spacing w:val="-2"/>
        </w:rPr>
        <w:t>the </w:t>
      </w:r>
      <w:r>
        <w:rPr>
          <w:color w:val="231F20"/>
        </w:rPr>
        <w:t>availability and cost of insurance. A credit rating downgrade would subject the Company to credit rating triggers related to its credit card transaction processing agreements, the pricing related to any funds drawn under </w:t>
      </w:r>
      <w:r>
        <w:rPr>
          <w:color w:val="231F20"/>
          <w:spacing w:val="-2"/>
        </w:rPr>
        <w:t>its </w:t>
      </w:r>
      <w:r>
        <w:rPr>
          <w:color w:val="231F20"/>
        </w:rPr>
        <w:t>revolving credit facility, and some of its hedging counterparty agreements. The potential effect of credit </w:t>
      </w:r>
      <w:r>
        <w:rPr>
          <w:color w:val="231F20"/>
          <w:spacing w:val="-2"/>
        </w:rPr>
        <w:t>rating </w:t>
      </w:r>
      <w:r>
        <w:rPr>
          <w:color w:val="231F20"/>
        </w:rPr>
        <w:t>downgrades</w:t>
      </w:r>
      <w:r>
        <w:rPr>
          <w:color w:val="231F20"/>
          <w:spacing w:val="-16"/>
        </w:rPr>
        <w:t> </w:t>
      </w:r>
      <w:r>
        <w:rPr>
          <w:color w:val="231F20"/>
        </w:rPr>
        <w:t>is</w:t>
      </w:r>
      <w:r>
        <w:rPr>
          <w:color w:val="231F20"/>
          <w:spacing w:val="-16"/>
        </w:rPr>
        <w:t> </w:t>
      </w:r>
      <w:r>
        <w:rPr>
          <w:color w:val="231F20"/>
        </w:rPr>
        <w:t>discussed</w:t>
      </w:r>
      <w:r>
        <w:rPr>
          <w:color w:val="231F20"/>
          <w:spacing w:val="-16"/>
        </w:rPr>
        <w:t> </w:t>
      </w:r>
      <w:r>
        <w:rPr>
          <w:color w:val="231F20"/>
        </w:rPr>
        <w:t>in</w:t>
      </w:r>
      <w:r>
        <w:rPr>
          <w:color w:val="231F20"/>
          <w:spacing w:val="-16"/>
        </w:rPr>
        <w:t> </w:t>
      </w:r>
      <w:r>
        <w:rPr>
          <w:color w:val="231F20"/>
        </w:rPr>
        <w:t>more</w:t>
      </w:r>
      <w:r>
        <w:rPr>
          <w:color w:val="231F20"/>
          <w:spacing w:val="-16"/>
        </w:rPr>
        <w:t> </w:t>
      </w:r>
      <w:r>
        <w:rPr>
          <w:color w:val="231F20"/>
        </w:rPr>
        <w:t>detail</w:t>
      </w:r>
      <w:r>
        <w:rPr>
          <w:color w:val="231F20"/>
          <w:spacing w:val="-16"/>
        </w:rPr>
        <w:t> </w:t>
      </w:r>
      <w:r>
        <w:rPr>
          <w:color w:val="231F20"/>
        </w:rPr>
        <w:t>below</w:t>
      </w:r>
      <w:r>
        <w:rPr>
          <w:color w:val="231F20"/>
          <w:spacing w:val="-16"/>
        </w:rPr>
        <w:t> </w:t>
      </w:r>
      <w:r>
        <w:rPr>
          <w:color w:val="231F20"/>
        </w:rPr>
        <w:t>under</w:t>
      </w:r>
      <w:r>
        <w:rPr>
          <w:color w:val="231F20"/>
          <w:spacing w:val="-16"/>
        </w:rPr>
        <w:t> </w:t>
      </w:r>
      <w:r>
        <w:rPr>
          <w:color w:val="231F20"/>
        </w:rPr>
        <w:t>“Quantitative</w:t>
      </w:r>
      <w:r>
        <w:rPr>
          <w:color w:val="231F20"/>
          <w:spacing w:val="-16"/>
        </w:rPr>
        <w:t> </w:t>
      </w:r>
      <w:r>
        <w:rPr>
          <w:color w:val="231F20"/>
        </w:rPr>
        <w:t>and</w:t>
      </w:r>
      <w:r>
        <w:rPr>
          <w:color w:val="231F20"/>
          <w:spacing w:val="-16"/>
        </w:rPr>
        <w:t> </w:t>
      </w:r>
      <w:r>
        <w:rPr>
          <w:color w:val="231F20"/>
        </w:rPr>
        <w:t>Qualitative</w:t>
      </w:r>
      <w:r>
        <w:rPr>
          <w:color w:val="231F20"/>
          <w:spacing w:val="-16"/>
        </w:rPr>
        <w:t> </w:t>
      </w:r>
      <w:r>
        <w:rPr>
          <w:color w:val="231F20"/>
        </w:rPr>
        <w:t>Disclosures</w:t>
      </w:r>
      <w:r>
        <w:rPr>
          <w:color w:val="231F20"/>
          <w:spacing w:val="-16"/>
        </w:rPr>
        <w:t> </w:t>
      </w:r>
      <w:r>
        <w:rPr>
          <w:color w:val="231F20"/>
        </w:rPr>
        <w:t>About</w:t>
      </w:r>
      <w:r>
        <w:rPr>
          <w:color w:val="231F20"/>
          <w:spacing w:val="-16"/>
        </w:rPr>
        <w:t> </w:t>
      </w:r>
      <w:r>
        <w:rPr>
          <w:color w:val="231F20"/>
        </w:rPr>
        <w:t>Market</w:t>
      </w:r>
      <w:r>
        <w:rPr>
          <w:color w:val="231F20"/>
          <w:spacing w:val="-16"/>
        </w:rPr>
        <w:t> </w:t>
      </w:r>
      <w:r>
        <w:rPr>
          <w:color w:val="231F20"/>
          <w:spacing w:val="-2"/>
        </w:rPr>
        <w:t>Risk.”</w:t>
      </w:r>
    </w:p>
    <w:p>
      <w:pPr>
        <w:pStyle w:val="Heading4"/>
        <w:spacing w:line="249" w:lineRule="auto" w:before="160"/>
        <w:ind w:right="260"/>
      </w:pPr>
      <w:r>
        <w:rPr>
          <w:i/>
          <w:color w:val="231F20"/>
        </w:rPr>
        <w:t>The airline industry has faced on-going security concerns and related cost burdens; further threatened or </w:t>
      </w:r>
      <w:r>
        <w:rPr>
          <w:color w:val="231F20"/>
        </w:rPr>
        <w:t>actual terrorist attacks, or other hostilities, could significantly harm the airline industry and the Company’s operations.</w:t>
      </w:r>
    </w:p>
    <w:p>
      <w:pPr>
        <w:pStyle w:val="BodyText"/>
        <w:spacing w:line="249" w:lineRule="auto" w:before="160"/>
        <w:ind w:left="100" w:right="162" w:firstLine="490"/>
      </w:pPr>
      <w:r>
        <w:rPr>
          <w:color w:val="231F20"/>
        </w:rPr>
        <w:t>Terrorist attacks and threatened attacks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 industry.</w:t>
      </w:r>
    </w:p>
    <w:p>
      <w:pPr>
        <w:spacing w:after="0" w:line="249" w:lineRule="auto"/>
        <w:sectPr>
          <w:footerReference w:type="default" r:id="rId13"/>
          <w:pgSz w:w="11880" w:h="15480"/>
          <w:pgMar w:footer="1253" w:header="0" w:top="1240" w:bottom="1440" w:left="1280" w:right="1280"/>
        </w:sectPr>
      </w:pPr>
    </w:p>
    <w:p>
      <w:pPr>
        <w:pStyle w:val="Heading4"/>
        <w:spacing w:line="249" w:lineRule="auto" w:before="73"/>
        <w:ind w:right="749"/>
      </w:pPr>
      <w:r>
        <w:rPr>
          <w:i/>
          <w:color w:val="231F20"/>
        </w:rPr>
        <w:t>Airport capacity constraints and air traffic control inefficiencies could limit the Company’s growth; </w:t>
      </w:r>
      <w:r>
        <w:rPr>
          <w:color w:val="231F20"/>
        </w:rPr>
        <w:t>changes in or additional governmental regulation could increase the Company’s operating costs or otherwise limit the Company’s ability to conduct business.</w:t>
      </w:r>
    </w:p>
    <w:p>
      <w:pPr>
        <w:pStyle w:val="BodyText"/>
        <w:spacing w:line="249" w:lineRule="auto" w:before="181"/>
        <w:ind w:left="100" w:right="110" w:firstLine="400"/>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 U.S. airspace, and airlines are completely dependent on the FAA operating that airspace in a safe and efficient manner. The air traffic control system, which is operated by the FAA, could continue to face airspace and/or airport congestion challenges in the future, which could limit the Company’s opportunities for growth. As discussed above under “Business — Regulation,” airlines are also subject to other extensive regulatory requirements. These requirements often impose substantial costs on airlines. The Company’s initiatives and results of operations could be negatively affected by changes in law and future actions taken by domestic and foreign governmental agencies having jurisdiction over its operations, including, but not limited</w:t>
      </w:r>
      <w:r>
        <w:rPr>
          <w:color w:val="231F20"/>
          <w:spacing w:val="7"/>
        </w:rPr>
        <w:t> </w:t>
      </w:r>
      <w:r>
        <w:rPr>
          <w:color w:val="231F20"/>
        </w:rPr>
        <w:t>to:</w:t>
      </w:r>
    </w:p>
    <w:p>
      <w:pPr>
        <w:pStyle w:val="ListParagraph"/>
        <w:numPr>
          <w:ilvl w:val="1"/>
          <w:numId w:val="3"/>
        </w:numPr>
        <w:tabs>
          <w:tab w:pos="1077" w:val="left" w:leader="none"/>
          <w:tab w:pos="1078" w:val="left" w:leader="none"/>
        </w:tabs>
        <w:spacing w:line="240" w:lineRule="auto" w:before="181" w:after="0"/>
        <w:ind w:left="1078" w:right="0" w:hanging="366"/>
        <w:jc w:val="left"/>
        <w:rPr>
          <w:sz w:val="20"/>
        </w:rPr>
      </w:pPr>
      <w:r>
        <w:rPr>
          <w:color w:val="231F20"/>
          <w:sz w:val="20"/>
        </w:rPr>
        <w:t>increases in airport rates and</w:t>
      </w:r>
      <w:r>
        <w:rPr>
          <w:color w:val="231F20"/>
          <w:spacing w:val="4"/>
          <w:sz w:val="20"/>
        </w:rPr>
        <w:t> </w:t>
      </w:r>
      <w:r>
        <w:rPr>
          <w:color w:val="231F20"/>
          <w:sz w:val="20"/>
        </w:rPr>
        <w:t>charges;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limitations on airport gate capacity or use of other airport</w:t>
      </w:r>
      <w:r>
        <w:rPr>
          <w:color w:val="231F20"/>
          <w:spacing w:val="8"/>
          <w:sz w:val="20"/>
        </w:rPr>
        <w:t> </w:t>
      </w:r>
      <w:r>
        <w:rPr>
          <w:color w:val="231F20"/>
          <w:sz w:val="20"/>
        </w:rPr>
        <w:t>facilities;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limitations on route</w:t>
      </w:r>
      <w:r>
        <w:rPr>
          <w:color w:val="231F20"/>
          <w:spacing w:val="4"/>
          <w:sz w:val="20"/>
        </w:rPr>
        <w:t> </w:t>
      </w:r>
      <w:r>
        <w:rPr>
          <w:color w:val="231F20"/>
          <w:sz w:val="20"/>
        </w:rPr>
        <w:t>authorities;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actions and decisions that create difficulties in obtaining access at slot-controlled</w:t>
      </w:r>
      <w:r>
        <w:rPr>
          <w:color w:val="231F20"/>
          <w:spacing w:val="13"/>
          <w:sz w:val="20"/>
        </w:rPr>
        <w:t> </w:t>
      </w:r>
      <w:r>
        <w:rPr>
          <w:color w:val="231F20"/>
          <w:sz w:val="20"/>
        </w:rPr>
        <w:t>airports;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actions and decisions that create difficulties in obtaining operating permits and</w:t>
      </w:r>
      <w:r>
        <w:rPr>
          <w:color w:val="231F20"/>
          <w:spacing w:val="12"/>
          <w:sz w:val="20"/>
        </w:rPr>
        <w:t> </w:t>
      </w:r>
      <w:r>
        <w:rPr>
          <w:color w:val="231F20"/>
          <w:sz w:val="20"/>
        </w:rPr>
        <w:t>approvals;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changes to environmental</w:t>
      </w:r>
      <w:r>
        <w:rPr>
          <w:color w:val="231F20"/>
          <w:spacing w:val="2"/>
          <w:sz w:val="20"/>
        </w:rPr>
        <w:t> </w:t>
      </w:r>
      <w:r>
        <w:rPr>
          <w:color w:val="231F20"/>
          <w:sz w:val="20"/>
        </w:rPr>
        <w:t>regulations;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new or increased taxes;</w:t>
      </w:r>
    </w:p>
    <w:p>
      <w:pPr>
        <w:pStyle w:val="ListParagraph"/>
        <w:numPr>
          <w:ilvl w:val="1"/>
          <w:numId w:val="3"/>
        </w:numPr>
        <w:tabs>
          <w:tab w:pos="1077" w:val="left" w:leader="none"/>
          <w:tab w:pos="1078" w:val="left" w:leader="none"/>
        </w:tabs>
        <w:spacing w:line="249" w:lineRule="auto" w:before="189" w:after="0"/>
        <w:ind w:left="1078" w:right="441" w:hanging="366"/>
        <w:jc w:val="left"/>
        <w:rPr>
          <w:sz w:val="20"/>
        </w:rPr>
      </w:pPr>
      <w:r>
        <w:rPr>
          <w:color w:val="231F20"/>
          <w:sz w:val="20"/>
        </w:rPr>
        <w:t>changes to laws that affect the services that can be offered by airlines in particular markets and at particular</w:t>
      </w:r>
      <w:r>
        <w:rPr>
          <w:color w:val="231F20"/>
          <w:spacing w:val="2"/>
          <w:sz w:val="20"/>
        </w:rPr>
        <w:t> </w:t>
      </w:r>
      <w:r>
        <w:rPr>
          <w:color w:val="231F20"/>
          <w:sz w:val="20"/>
        </w:rPr>
        <w:t>airports;</w:t>
      </w:r>
    </w:p>
    <w:p>
      <w:pPr>
        <w:pStyle w:val="ListParagraph"/>
        <w:numPr>
          <w:ilvl w:val="1"/>
          <w:numId w:val="3"/>
        </w:numPr>
        <w:tabs>
          <w:tab w:pos="1077" w:val="left" w:leader="none"/>
          <w:tab w:pos="1078" w:val="left" w:leader="none"/>
        </w:tabs>
        <w:spacing w:line="240" w:lineRule="auto" w:before="180" w:after="0"/>
        <w:ind w:left="1078" w:right="0" w:hanging="366"/>
        <w:jc w:val="left"/>
        <w:rPr>
          <w:sz w:val="20"/>
        </w:rPr>
      </w:pPr>
      <w:r>
        <w:rPr>
          <w:color w:val="231F20"/>
          <w:sz w:val="20"/>
        </w:rPr>
        <w:t>restrictions on competitive</w:t>
      </w:r>
      <w:r>
        <w:rPr>
          <w:color w:val="231F20"/>
          <w:spacing w:val="5"/>
          <w:sz w:val="20"/>
        </w:rPr>
        <w:t> </w:t>
      </w:r>
      <w:r>
        <w:rPr>
          <w:color w:val="231F20"/>
          <w:sz w:val="20"/>
        </w:rPr>
        <w:t>practices;</w:t>
      </w:r>
    </w:p>
    <w:p>
      <w:pPr>
        <w:pStyle w:val="ListParagraph"/>
        <w:numPr>
          <w:ilvl w:val="1"/>
          <w:numId w:val="3"/>
        </w:numPr>
        <w:tabs>
          <w:tab w:pos="1077" w:val="left" w:leader="none"/>
          <w:tab w:pos="1078" w:val="left" w:leader="none"/>
        </w:tabs>
        <w:spacing w:line="249" w:lineRule="auto" w:before="189" w:after="0"/>
        <w:ind w:left="1078" w:right="181" w:hanging="366"/>
        <w:jc w:val="left"/>
        <w:rPr>
          <w:sz w:val="20"/>
        </w:rPr>
      </w:pPr>
      <w:r>
        <w:rPr>
          <w:color w:val="231F20"/>
          <w:sz w:val="20"/>
        </w:rPr>
        <w:t>changes in laws that increase costs for safety, security, compliance, or other Customer Service standards, such as the new FAA regulations with respect to Pilot flight/duty time limitations and rest requirements discussed above under “Business</w:t>
      </w:r>
      <w:r>
        <w:rPr>
          <w:color w:val="231F20"/>
          <w:spacing w:val="4"/>
          <w:sz w:val="20"/>
        </w:rPr>
        <w:t> </w:t>
      </w:r>
      <w:r>
        <w:rPr>
          <w:color w:val="231F20"/>
          <w:sz w:val="20"/>
        </w:rPr>
        <w:t>-Regulation”;</w:t>
      </w:r>
    </w:p>
    <w:p>
      <w:pPr>
        <w:pStyle w:val="ListParagraph"/>
        <w:numPr>
          <w:ilvl w:val="1"/>
          <w:numId w:val="3"/>
        </w:numPr>
        <w:tabs>
          <w:tab w:pos="1077" w:val="left" w:leader="none"/>
          <w:tab w:pos="1078" w:val="left" w:leader="none"/>
        </w:tabs>
        <w:spacing w:line="249" w:lineRule="auto" w:before="180" w:after="0"/>
        <w:ind w:left="1078" w:right="224" w:hanging="366"/>
        <w:jc w:val="left"/>
        <w:rPr>
          <w:sz w:val="20"/>
        </w:rPr>
      </w:pPr>
      <w:r>
        <w:rPr>
          <w:color w:val="231F20"/>
          <w:sz w:val="20"/>
        </w:rPr>
        <w:t>changes in laws that may limit the Company’s ability to enter into fuel derivative contracts to hedge against increases in fuel</w:t>
      </w:r>
      <w:r>
        <w:rPr>
          <w:color w:val="231F20"/>
          <w:spacing w:val="4"/>
          <w:sz w:val="20"/>
        </w:rPr>
        <w:t> </w:t>
      </w:r>
      <w:r>
        <w:rPr>
          <w:color w:val="231F20"/>
          <w:sz w:val="20"/>
        </w:rPr>
        <w:t>prices;</w:t>
      </w:r>
    </w:p>
    <w:p>
      <w:pPr>
        <w:pStyle w:val="ListParagraph"/>
        <w:numPr>
          <w:ilvl w:val="1"/>
          <w:numId w:val="3"/>
        </w:numPr>
        <w:tabs>
          <w:tab w:pos="1077" w:val="left" w:leader="none"/>
          <w:tab w:pos="1078" w:val="left" w:leader="none"/>
        </w:tabs>
        <w:spacing w:line="249" w:lineRule="auto" w:before="180" w:after="0"/>
        <w:ind w:left="1078" w:right="132" w:hanging="366"/>
        <w:jc w:val="left"/>
        <w:rPr>
          <w:sz w:val="20"/>
        </w:rPr>
      </w:pPr>
      <w:r>
        <w:rPr>
          <w:color w:val="231F20"/>
          <w:sz w:val="20"/>
        </w:rPr>
        <w:t>changes in laws that may limit or regulate the Company’s ability to promote the Company’s business or fares, such as the DOT’s full-fare advertising rule discussed above under “Business -Regulation”; and</w:t>
      </w:r>
    </w:p>
    <w:p>
      <w:pPr>
        <w:pStyle w:val="ListParagraph"/>
        <w:numPr>
          <w:ilvl w:val="1"/>
          <w:numId w:val="3"/>
        </w:numPr>
        <w:tabs>
          <w:tab w:pos="1077" w:val="left" w:leader="none"/>
          <w:tab w:pos="1078" w:val="left" w:leader="none"/>
        </w:tabs>
        <w:spacing w:line="240" w:lineRule="auto" w:before="180" w:after="0"/>
        <w:ind w:left="1078" w:right="0" w:hanging="366"/>
        <w:jc w:val="left"/>
        <w:rPr>
          <w:sz w:val="20"/>
        </w:rPr>
      </w:pPr>
      <w:r>
        <w:rPr>
          <w:color w:val="231F20"/>
          <w:sz w:val="20"/>
        </w:rPr>
        <w:t>the adoption of more restrictive locally-imposed noise</w:t>
      </w:r>
      <w:r>
        <w:rPr>
          <w:color w:val="231F20"/>
          <w:spacing w:val="8"/>
          <w:sz w:val="20"/>
        </w:rPr>
        <w:t> </w:t>
      </w:r>
      <w:r>
        <w:rPr>
          <w:color w:val="231F20"/>
          <w:sz w:val="20"/>
        </w:rPr>
        <w:t>regulations.</w:t>
      </w:r>
    </w:p>
    <w:p>
      <w:pPr>
        <w:pStyle w:val="BodyText"/>
        <w:spacing w:line="249" w:lineRule="auto" w:before="189"/>
        <w:ind w:left="100" w:right="329" w:firstLine="490"/>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spacing w:after="0" w:line="249" w:lineRule="auto"/>
        <w:sectPr>
          <w:footerReference w:type="default" r:id="rId14"/>
          <w:pgSz w:w="11880" w:h="15480"/>
          <w:pgMar w:footer="1253" w:header="0" w:top="1240" w:bottom="1440" w:left="1280" w:right="1280"/>
          <w:pgNumType w:start="31"/>
        </w:sectPr>
      </w:pPr>
    </w:p>
    <w:p>
      <w:pPr>
        <w:pStyle w:val="Heading4"/>
        <w:spacing w:line="249" w:lineRule="auto" w:before="73"/>
        <w:ind w:right="679"/>
      </w:pPr>
      <w:r>
        <w:rPr>
          <w:i/>
          <w:color w:val="231F20"/>
        </w:rPr>
        <w:t>The airline industry is affected by many conditions that are beyond its control, which can impact the </w:t>
      </w:r>
      <w:r>
        <w:rPr>
          <w:color w:val="231F20"/>
        </w:rPr>
        <w:t>Company’s business strategies.</w:t>
      </w:r>
    </w:p>
    <w:p>
      <w:pPr>
        <w:pStyle w:val="BodyText"/>
        <w:spacing w:line="249" w:lineRule="auto" w:before="170"/>
        <w:ind w:left="100" w:right="198" w:firstLine="400"/>
      </w:pPr>
      <w:r>
        <w:rPr>
          <w:color w:val="231F20"/>
        </w:rPr>
        <w:t>In addition to the unpredictable economic conditions and fuel costs discussed above, the Company, like the airline industry in general, is affected by conditions that are largely unforeseeable and outside of its control, including, among others:</w:t>
      </w:r>
    </w:p>
    <w:p>
      <w:pPr>
        <w:pStyle w:val="ListParagraph"/>
        <w:numPr>
          <w:ilvl w:val="1"/>
          <w:numId w:val="3"/>
        </w:numPr>
        <w:tabs>
          <w:tab w:pos="1077" w:val="left" w:leader="none"/>
          <w:tab w:pos="1078" w:val="left" w:leader="none"/>
        </w:tabs>
        <w:spacing w:line="240" w:lineRule="auto" w:before="170" w:after="0"/>
        <w:ind w:left="1078" w:right="0" w:hanging="366"/>
        <w:jc w:val="left"/>
        <w:rPr>
          <w:sz w:val="20"/>
        </w:rPr>
      </w:pPr>
      <w:r>
        <w:rPr>
          <w:color w:val="231F20"/>
          <w:sz w:val="20"/>
        </w:rPr>
        <w:t>adverse weather and natural</w:t>
      </w:r>
      <w:r>
        <w:rPr>
          <w:color w:val="231F20"/>
          <w:spacing w:val="3"/>
          <w:sz w:val="20"/>
        </w:rPr>
        <w:t> </w:t>
      </w:r>
      <w:r>
        <w:rPr>
          <w:color w:val="231F20"/>
          <w:sz w:val="20"/>
        </w:rPr>
        <w:t>disasters;</w:t>
      </w:r>
    </w:p>
    <w:p>
      <w:pPr>
        <w:pStyle w:val="ListParagraph"/>
        <w:numPr>
          <w:ilvl w:val="1"/>
          <w:numId w:val="3"/>
        </w:numPr>
        <w:tabs>
          <w:tab w:pos="1077" w:val="left" w:leader="none"/>
          <w:tab w:pos="1078" w:val="left" w:leader="none"/>
        </w:tabs>
        <w:spacing w:line="240" w:lineRule="auto" w:before="178" w:after="0"/>
        <w:ind w:left="1078" w:right="0" w:hanging="366"/>
        <w:jc w:val="left"/>
        <w:rPr>
          <w:sz w:val="20"/>
        </w:rPr>
      </w:pPr>
      <w:r>
        <w:rPr>
          <w:color w:val="231F20"/>
          <w:sz w:val="20"/>
        </w:rPr>
        <w:t>outbreaks of</w:t>
      </w:r>
      <w:r>
        <w:rPr>
          <w:color w:val="231F20"/>
          <w:spacing w:val="1"/>
          <w:sz w:val="20"/>
        </w:rPr>
        <w:t> </w:t>
      </w:r>
      <w:r>
        <w:rPr>
          <w:color w:val="231F20"/>
          <w:sz w:val="20"/>
        </w:rPr>
        <w:t>disease;</w:t>
      </w:r>
    </w:p>
    <w:p>
      <w:pPr>
        <w:pStyle w:val="ListParagraph"/>
        <w:numPr>
          <w:ilvl w:val="1"/>
          <w:numId w:val="3"/>
        </w:numPr>
        <w:tabs>
          <w:tab w:pos="1077" w:val="left" w:leader="none"/>
          <w:tab w:pos="1078" w:val="left" w:leader="none"/>
        </w:tabs>
        <w:spacing w:line="249" w:lineRule="auto" w:before="178" w:after="0"/>
        <w:ind w:left="1078" w:right="208" w:hanging="366"/>
        <w:jc w:val="left"/>
        <w:rPr>
          <w:sz w:val="20"/>
        </w:rPr>
      </w:pPr>
      <w:r>
        <w:rPr>
          <w:color w:val="231F20"/>
          <w:sz w:val="20"/>
        </w:rPr>
        <w:t>changes in consumer preferences, perceptions, spending patterns, or demographic trends (including, without limitation, changes in government travel patterns due to government shutdowns or sequestration);</w:t>
      </w:r>
    </w:p>
    <w:p>
      <w:pPr>
        <w:pStyle w:val="ListParagraph"/>
        <w:numPr>
          <w:ilvl w:val="1"/>
          <w:numId w:val="3"/>
        </w:numPr>
        <w:tabs>
          <w:tab w:pos="1077" w:val="left" w:leader="none"/>
          <w:tab w:pos="1078" w:val="left" w:leader="none"/>
        </w:tabs>
        <w:spacing w:line="249" w:lineRule="auto" w:before="170" w:after="0"/>
        <w:ind w:left="1078" w:right="479" w:hanging="366"/>
        <w:jc w:val="left"/>
        <w:rPr>
          <w:sz w:val="20"/>
        </w:rPr>
      </w:pPr>
      <w:r>
        <w:rPr>
          <w:color w:val="231F20"/>
          <w:sz w:val="20"/>
        </w:rPr>
        <w:t>actual or potential disruptions in the air traffic control system (including, without limitation, as a result of potential FAA budget cuts due to government shutdowns or</w:t>
      </w:r>
      <w:r>
        <w:rPr>
          <w:color w:val="231F20"/>
          <w:spacing w:val="3"/>
          <w:sz w:val="20"/>
        </w:rPr>
        <w:t> </w:t>
      </w:r>
      <w:r>
        <w:rPr>
          <w:color w:val="231F20"/>
          <w:sz w:val="20"/>
        </w:rPr>
        <w:t>sequestration);</w:t>
      </w:r>
    </w:p>
    <w:p>
      <w:pPr>
        <w:pStyle w:val="ListParagraph"/>
        <w:numPr>
          <w:ilvl w:val="1"/>
          <w:numId w:val="3"/>
        </w:numPr>
        <w:tabs>
          <w:tab w:pos="1077" w:val="left" w:leader="none"/>
          <w:tab w:pos="1078" w:val="left" w:leader="none"/>
        </w:tabs>
        <w:spacing w:line="249" w:lineRule="auto" w:before="170" w:after="0"/>
        <w:ind w:left="1078" w:right="412" w:hanging="366"/>
        <w:jc w:val="left"/>
        <w:rPr>
          <w:sz w:val="20"/>
        </w:rPr>
      </w:pPr>
      <w:r>
        <w:rPr>
          <w:color w:val="231F20"/>
          <w:sz w:val="20"/>
        </w:rPr>
        <w:t>changes in the competitive environment due to industry consolidation, industry bankruptcies, and other</w:t>
      </w:r>
      <w:r>
        <w:rPr>
          <w:color w:val="231F20"/>
          <w:spacing w:val="1"/>
          <w:sz w:val="20"/>
        </w:rPr>
        <w:t> </w:t>
      </w:r>
      <w:r>
        <w:rPr>
          <w:color w:val="231F20"/>
          <w:sz w:val="20"/>
        </w:rPr>
        <w:t>factors;</w:t>
      </w:r>
    </w:p>
    <w:p>
      <w:pPr>
        <w:pStyle w:val="ListParagraph"/>
        <w:numPr>
          <w:ilvl w:val="1"/>
          <w:numId w:val="3"/>
        </w:numPr>
        <w:tabs>
          <w:tab w:pos="1077" w:val="left" w:leader="none"/>
          <w:tab w:pos="1078" w:val="left" w:leader="none"/>
        </w:tabs>
        <w:spacing w:line="240" w:lineRule="auto" w:before="170" w:after="0"/>
        <w:ind w:left="1078" w:right="0" w:hanging="366"/>
        <w:jc w:val="left"/>
        <w:rPr>
          <w:sz w:val="20"/>
        </w:rPr>
      </w:pPr>
      <w:r>
        <w:rPr>
          <w:color w:val="231F20"/>
          <w:sz w:val="20"/>
        </w:rPr>
        <w:t>air traffic congestion and other air traffic control issues;</w:t>
      </w:r>
      <w:r>
        <w:rPr>
          <w:color w:val="231F20"/>
          <w:spacing w:val="10"/>
          <w:sz w:val="20"/>
        </w:rPr>
        <w:t> </w:t>
      </w:r>
      <w:r>
        <w:rPr>
          <w:color w:val="231F20"/>
          <w:sz w:val="20"/>
        </w:rPr>
        <w:t>and</w:t>
      </w:r>
    </w:p>
    <w:p>
      <w:pPr>
        <w:pStyle w:val="ListParagraph"/>
        <w:numPr>
          <w:ilvl w:val="1"/>
          <w:numId w:val="3"/>
        </w:numPr>
        <w:tabs>
          <w:tab w:pos="1077" w:val="left" w:leader="none"/>
          <w:tab w:pos="1078" w:val="left" w:leader="none"/>
        </w:tabs>
        <w:spacing w:line="240" w:lineRule="auto" w:before="179" w:after="0"/>
        <w:ind w:left="1078" w:right="0" w:hanging="366"/>
        <w:jc w:val="left"/>
        <w:rPr>
          <w:sz w:val="20"/>
        </w:rPr>
      </w:pPr>
      <w:r>
        <w:rPr>
          <w:color w:val="231F20"/>
          <w:sz w:val="20"/>
        </w:rPr>
        <w:t>actual or threatened war, terrorist attacks, and political</w:t>
      </w:r>
      <w:r>
        <w:rPr>
          <w:color w:val="231F20"/>
          <w:spacing w:val="9"/>
          <w:sz w:val="20"/>
        </w:rPr>
        <w:t> </w:t>
      </w:r>
      <w:r>
        <w:rPr>
          <w:color w:val="231F20"/>
          <w:sz w:val="20"/>
        </w:rPr>
        <w:t>instability.</w:t>
      </w:r>
    </w:p>
    <w:p>
      <w:pPr>
        <w:pStyle w:val="Heading4"/>
        <w:spacing w:before="179"/>
        <w:jc w:val="both"/>
        <w:rPr>
          <w:i/>
        </w:rPr>
      </w:pPr>
      <w:r>
        <w:rPr>
          <w:i/>
          <w:color w:val="231F20"/>
        </w:rPr>
        <w:t>The airline industry is intensely competitive.</w:t>
      </w:r>
    </w:p>
    <w:p>
      <w:pPr>
        <w:pStyle w:val="BodyText"/>
        <w:spacing w:line="249" w:lineRule="auto" w:before="179"/>
        <w:ind w:left="100" w:firstLine="490"/>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 activities.</w:t>
      </w:r>
    </w:p>
    <w:p>
      <w:pPr>
        <w:spacing w:before="170"/>
        <w:ind w:left="83" w:right="2420" w:firstLine="0"/>
        <w:jc w:val="center"/>
        <w:rPr>
          <w:b/>
          <w:sz w:val="20"/>
        </w:rPr>
      </w:pPr>
      <w:r>
        <w:rPr>
          <w:b/>
          <w:color w:val="231F20"/>
          <w:sz w:val="20"/>
        </w:rPr>
        <w:t>Risk Factors Related to the Company’s Acquisition and Integration of AirTran</w:t>
      </w:r>
    </w:p>
    <w:p>
      <w:pPr>
        <w:pStyle w:val="Heading4"/>
        <w:spacing w:line="249" w:lineRule="auto" w:before="179"/>
        <w:ind w:right="240"/>
        <w:jc w:val="both"/>
      </w:pPr>
      <w:r>
        <w:rPr>
          <w:i/>
          <w:color w:val="231F20"/>
        </w:rPr>
        <w:t>The Company may be unable to effectively complete the integration of AirTran’s business and realize the </w:t>
      </w:r>
      <w:r>
        <w:rPr>
          <w:color w:val="231F20"/>
        </w:rPr>
        <w:t>anticipated benefits of the acquisition. In addition, delays in integration could cause anticipated synergies to take longer to realize than currently anticipated.</w:t>
      </w:r>
    </w:p>
    <w:p>
      <w:pPr>
        <w:pStyle w:val="BodyText"/>
        <w:spacing w:line="249" w:lineRule="auto" w:before="170"/>
        <w:ind w:left="100" w:right="249" w:firstLine="400"/>
      </w:pPr>
      <w:r>
        <w:rPr>
          <w:color w:val="231F20"/>
        </w:rPr>
        <w:t>The Company must devote significant management attention and resources to integrating the business practices and operations of AirTran. Potential difficulties the Company may encounter as part of the integration process include the following:</w:t>
      </w:r>
    </w:p>
    <w:p>
      <w:pPr>
        <w:pStyle w:val="ListParagraph"/>
        <w:numPr>
          <w:ilvl w:val="1"/>
          <w:numId w:val="3"/>
        </w:numPr>
        <w:tabs>
          <w:tab w:pos="1077" w:val="left" w:leader="none"/>
          <w:tab w:pos="1078" w:val="left" w:leader="none"/>
        </w:tabs>
        <w:spacing w:line="249" w:lineRule="auto" w:before="170" w:after="0"/>
        <w:ind w:left="1078" w:right="119" w:hanging="366"/>
        <w:jc w:val="left"/>
        <w:rPr>
          <w:sz w:val="20"/>
        </w:rPr>
      </w:pPr>
      <w:r>
        <w:rPr>
          <w:color w:val="231F20"/>
          <w:sz w:val="20"/>
        </w:rPr>
        <w:t>the inability to successfully combine the AirTran business with that of the Company in a manner that permits the Company to achieve anticipated net synergies and other anticipated benefits of the acquisition;</w:t>
      </w:r>
    </w:p>
    <w:p>
      <w:pPr>
        <w:pStyle w:val="ListParagraph"/>
        <w:numPr>
          <w:ilvl w:val="1"/>
          <w:numId w:val="3"/>
        </w:numPr>
        <w:tabs>
          <w:tab w:pos="1077" w:val="left" w:leader="none"/>
          <w:tab w:pos="1078" w:val="left" w:leader="none"/>
        </w:tabs>
        <w:spacing w:line="249" w:lineRule="auto" w:before="170" w:after="0"/>
        <w:ind w:left="1078" w:right="595" w:hanging="366"/>
        <w:jc w:val="left"/>
        <w:rPr>
          <w:sz w:val="20"/>
        </w:rPr>
      </w:pPr>
      <w:r>
        <w:rPr>
          <w:color w:val="231F20"/>
          <w:sz w:val="20"/>
        </w:rPr>
        <w:t>the inability to successfully maintain passenger unit revenues upon converting AirTran into the Southwest business</w:t>
      </w:r>
      <w:r>
        <w:rPr>
          <w:color w:val="231F20"/>
          <w:spacing w:val="1"/>
          <w:sz w:val="20"/>
        </w:rPr>
        <w:t> </w:t>
      </w:r>
      <w:r>
        <w:rPr>
          <w:color w:val="231F20"/>
          <w:sz w:val="20"/>
        </w:rPr>
        <w:t>model;</w:t>
      </w:r>
    </w:p>
    <w:p>
      <w:pPr>
        <w:pStyle w:val="ListParagraph"/>
        <w:numPr>
          <w:ilvl w:val="1"/>
          <w:numId w:val="3"/>
        </w:numPr>
        <w:tabs>
          <w:tab w:pos="1077" w:val="left" w:leader="none"/>
          <w:tab w:pos="1078" w:val="left" w:leader="none"/>
        </w:tabs>
        <w:spacing w:line="249" w:lineRule="auto" w:before="170" w:after="0"/>
        <w:ind w:left="1078" w:right="170" w:hanging="366"/>
        <w:jc w:val="left"/>
        <w:rPr>
          <w:sz w:val="20"/>
        </w:rPr>
      </w:pPr>
      <w:r>
        <w:rPr>
          <w:color w:val="231F20"/>
          <w:sz w:val="20"/>
        </w:rPr>
        <w:t>the challenges associated with new international operations, including compliance with international laws;</w:t>
      </w:r>
    </w:p>
    <w:p>
      <w:pPr>
        <w:pStyle w:val="ListParagraph"/>
        <w:numPr>
          <w:ilvl w:val="1"/>
          <w:numId w:val="3"/>
        </w:numPr>
        <w:tabs>
          <w:tab w:pos="1077" w:val="left" w:leader="none"/>
          <w:tab w:pos="1078" w:val="left" w:leader="none"/>
        </w:tabs>
        <w:spacing w:line="249" w:lineRule="auto" w:before="170" w:after="0"/>
        <w:ind w:left="1078" w:right="227" w:hanging="366"/>
        <w:jc w:val="left"/>
        <w:rPr>
          <w:sz w:val="20"/>
        </w:rPr>
      </w:pPr>
      <w:r>
        <w:rPr>
          <w:color w:val="231F20"/>
          <w:sz w:val="20"/>
        </w:rPr>
        <w:t>the challenges associated with integrating complex systems, technology, aircraft fleets, networks, facilities, and other assets of the Company in a seamless manner that minimizes any adverse impact on Customers, suppliers, Employees, and other</w:t>
      </w:r>
      <w:r>
        <w:rPr>
          <w:color w:val="231F20"/>
          <w:spacing w:val="4"/>
          <w:sz w:val="20"/>
        </w:rPr>
        <w:t> </w:t>
      </w:r>
      <w:r>
        <w:rPr>
          <w:color w:val="231F20"/>
          <w:sz w:val="20"/>
        </w:rPr>
        <w:t>constituencies;</w:t>
      </w:r>
    </w:p>
    <w:p>
      <w:pPr>
        <w:spacing w:after="0" w:line="249" w:lineRule="auto"/>
        <w:jc w:val="left"/>
        <w:rPr>
          <w:sz w:val="20"/>
        </w:rPr>
        <w:sectPr>
          <w:pgSz w:w="11880" w:h="15480"/>
          <w:pgMar w:header="0" w:footer="1253" w:top="1240" w:bottom="1440" w:left="1280" w:right="1300"/>
        </w:sectPr>
      </w:pPr>
    </w:p>
    <w:p>
      <w:pPr>
        <w:pStyle w:val="ListParagraph"/>
        <w:numPr>
          <w:ilvl w:val="1"/>
          <w:numId w:val="3"/>
        </w:numPr>
        <w:tabs>
          <w:tab w:pos="1078" w:val="left" w:leader="none"/>
        </w:tabs>
        <w:spacing w:line="249" w:lineRule="auto" w:before="73" w:after="0"/>
        <w:ind w:left="1078" w:right="523" w:hanging="366"/>
        <w:jc w:val="both"/>
        <w:rPr>
          <w:sz w:val="20"/>
        </w:rPr>
      </w:pPr>
      <w:r>
        <w:rPr>
          <w:color w:val="231F20"/>
          <w:sz w:val="20"/>
        </w:rPr>
        <w:t>the challenges associated with integrating the Company’s workforce while maintaining focus on providing consistent, high quality Customer Service;</w:t>
      </w:r>
      <w:r>
        <w:rPr>
          <w:color w:val="231F20"/>
          <w:spacing w:val="6"/>
          <w:sz w:val="20"/>
        </w:rPr>
        <w:t> </w:t>
      </w:r>
      <w:r>
        <w:rPr>
          <w:color w:val="231F20"/>
          <w:sz w:val="20"/>
        </w:rPr>
        <w:t>and</w:t>
      </w:r>
    </w:p>
    <w:p>
      <w:pPr>
        <w:pStyle w:val="ListParagraph"/>
        <w:numPr>
          <w:ilvl w:val="1"/>
          <w:numId w:val="3"/>
        </w:numPr>
        <w:tabs>
          <w:tab w:pos="1078" w:val="left" w:leader="none"/>
        </w:tabs>
        <w:spacing w:line="249" w:lineRule="auto" w:before="134" w:after="0"/>
        <w:ind w:left="1078" w:right="592" w:hanging="366"/>
        <w:jc w:val="both"/>
        <w:rPr>
          <w:sz w:val="20"/>
        </w:rPr>
      </w:pPr>
      <w:r>
        <w:rPr>
          <w:color w:val="231F20"/>
          <w:sz w:val="20"/>
        </w:rPr>
        <w:t>potential unknown liabilities, liabilities that are significantly larger than the Company currently anticipates, and unforeseen increased expenses or delays, including costs to integrate AirTran’s business that may exceed the Company’s</w:t>
      </w:r>
      <w:r>
        <w:rPr>
          <w:color w:val="231F20"/>
          <w:spacing w:val="2"/>
          <w:sz w:val="20"/>
        </w:rPr>
        <w:t> </w:t>
      </w:r>
      <w:r>
        <w:rPr>
          <w:color w:val="231F20"/>
          <w:sz w:val="20"/>
        </w:rPr>
        <w:t>estimates.</w:t>
      </w:r>
    </w:p>
    <w:p>
      <w:pPr>
        <w:pStyle w:val="BodyText"/>
        <w:spacing w:line="249" w:lineRule="auto" w:before="134"/>
        <w:ind w:left="100" w:right="258" w:firstLine="490"/>
      </w:pPr>
      <w:r>
        <w:rPr>
          <w:color w:val="231F20"/>
        </w:rPr>
        <w:t>Any of the foregoing factors could adversely affect the Company’s ability to maintain relationships with Customers, suppliers, Employees, and other constituencies or the Company’s ability to achieve the anticipated benefits of the acquisition on a timely basis, or at all, or could reduce the Company’s earnings or otherwise adversely affect the business and financial results of the Company. In addition, integration requirements have caused, and may continue to cause, the Company to delay other strategic initiatives. There can be no assurances that the Company will be successful or that it will realize the expected operating efficiencies, cost savings, revenue enhancements, and other benefits currently anticipated from the acquisition.</w:t>
      </w:r>
    </w:p>
    <w:p>
      <w:pPr>
        <w:pStyle w:val="Heading4"/>
        <w:spacing w:line="249" w:lineRule="auto" w:before="134"/>
        <w:ind w:right="900"/>
      </w:pPr>
      <w:r>
        <w:rPr>
          <w:i/>
          <w:color w:val="231F20"/>
        </w:rPr>
        <w:t>The Company’s future results will suffer if it does not effectively manage its expanded operations, </w:t>
      </w:r>
      <w:r>
        <w:rPr>
          <w:color w:val="231F20"/>
        </w:rPr>
        <w:t>including its international operations.</w:t>
      </w:r>
    </w:p>
    <w:p>
      <w:pPr>
        <w:pStyle w:val="BodyText"/>
        <w:spacing w:line="249" w:lineRule="auto" w:before="134"/>
        <w:ind w:left="100" w:right="273" w:firstLine="490"/>
      </w:pPr>
      <w:r>
        <w:rPr>
          <w:color w:val="231F20"/>
        </w:rPr>
        <w:t>Upon completion of the Company’s acquisition of AirTran, the size of the Company’s business increased significantly beyond the then current size of either the Company’s or AirTran’s businesses. The Company’s future success depends, in part, upon its ability to manage this expanded business, which may pose substantial challenges for management, including challenges related to the management and monitoring of new operations, including new international operations, and associated increased costs and complexity.</w:t>
      </w:r>
    </w:p>
    <w:p>
      <w:pPr>
        <w:pStyle w:val="BodyText"/>
        <w:spacing w:line="249" w:lineRule="auto" w:before="134"/>
        <w:ind w:left="100" w:right="186" w:firstLine="490"/>
      </w:pPr>
      <w:r>
        <w:rPr>
          <w:color w:val="231F20"/>
        </w:rPr>
        <w:t>As the Company expands its international flight offerings, the U.S. Customs and Border Protection (“CBP”) will become an increasingly important federal presence. CBP personnel and CBP-mandated procedures can affect the Company’s operations, costs, and Customer experience. The Company will make significant investments in facilities, equipment, and technologies at certain airports in order to improve the Customer experience and to assist CBP with the inspection and processing duties; however, the Company is not able to predict the impact, if any, that various CBP measures or the lack of CBP resources will have on Company revenues and costs, either in the short term or the long term.</w:t>
      </w:r>
    </w:p>
    <w:p>
      <w:pPr>
        <w:pStyle w:val="BodyText"/>
        <w:spacing w:line="249" w:lineRule="auto" w:before="134"/>
        <w:ind w:left="100" w:right="305" w:firstLine="490"/>
        <w:jc w:val="both"/>
      </w:pPr>
      <w:r>
        <w:rPr>
          <w:color w:val="231F20"/>
        </w:rPr>
        <w:t>International flying will require Southwest to modify certain processes, as the entire airport experience is dramatically different in certain international locations with respect to, among other things, common-use ticket counters and gate areas, open-air terminals, and cultural preferences.</w:t>
      </w:r>
    </w:p>
    <w:p>
      <w:pPr>
        <w:pStyle w:val="BodyText"/>
        <w:spacing w:line="249" w:lineRule="auto" w:before="134"/>
        <w:ind w:left="100" w:right="115" w:firstLine="490"/>
      </w:pPr>
      <w:r>
        <w:rPr>
          <w:color w:val="231F20"/>
        </w:rPr>
        <w:t>The Company’s expansion, initially through AirTran,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 Further,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5"/>
        </w:rPr>
        <w:t> </w:t>
      </w:r>
      <w:r>
        <w:rPr>
          <w:color w:val="231F20"/>
        </w:rPr>
        <w:t>operations.</w:t>
      </w:r>
    </w:p>
    <w:p>
      <w:pPr>
        <w:pStyle w:val="Heading4"/>
        <w:spacing w:line="249" w:lineRule="auto" w:before="134"/>
        <w:ind w:right="217"/>
      </w:pPr>
      <w:r>
        <w:rPr>
          <w:i/>
          <w:color w:val="231F20"/>
        </w:rPr>
        <w:t>The need to integrate AirTran’s workforce presents the potential for delay in achieving expected synergies </w:t>
      </w:r>
      <w:r>
        <w:rPr>
          <w:color w:val="231F20"/>
        </w:rPr>
        <w:t>and other benefits, or labor disputes that could adversely affect the Company’s operations and costs.</w:t>
      </w:r>
    </w:p>
    <w:p>
      <w:pPr>
        <w:pStyle w:val="BodyText"/>
        <w:spacing w:line="249" w:lineRule="auto" w:before="134"/>
        <w:ind w:left="100" w:firstLine="490"/>
      </w:pPr>
      <w:r>
        <w:rPr>
          <w:color w:val="231F20"/>
        </w:rPr>
        <w:t>The successful integration of AirTran and achievement of the anticipated benefits of the acquisition depend significantly on integrating AirTran’s Employees into the Company and on maintaining productive Employee</w:t>
      </w:r>
    </w:p>
    <w:p>
      <w:pPr>
        <w:spacing w:after="0" w:line="249" w:lineRule="auto"/>
        <w:sectPr>
          <w:pgSz w:w="11880" w:h="15480"/>
          <w:pgMar w:header="0" w:footer="1253" w:top="1240" w:bottom="1440" w:left="1280" w:right="1280"/>
        </w:sectPr>
      </w:pPr>
    </w:p>
    <w:p>
      <w:pPr>
        <w:pStyle w:val="BodyText"/>
        <w:spacing w:line="249" w:lineRule="auto" w:before="73"/>
        <w:ind w:left="100" w:right="213"/>
      </w:pPr>
      <w:r>
        <w:rPr>
          <w:color w:val="231F20"/>
        </w:rPr>
        <w:t>relations. Failure to do so presents the potential for (i) delays in achieving expected synergies and other benefits of integration or (ii) labor disputes that could adversely affect the Company’s operations and costs. In addition, disputes regarding the integration of AirTran Employees could negatively affect the Company’s historically positive Employee culture.</w:t>
      </w:r>
    </w:p>
    <w:p>
      <w:pPr>
        <w:pStyle w:val="BodyText"/>
        <w:spacing w:line="249" w:lineRule="auto" w:before="172"/>
        <w:ind w:left="100" w:right="241" w:firstLine="490"/>
      </w:pPr>
      <w:r>
        <w:rPr>
          <w:color w:val="231F20"/>
        </w:rPr>
        <w:t>Pending operational integration of AirTran with the Company, it will be necessary to maintain a “fence” between Southwest and AirTran Employee groups subject to CBAs, during which time the Company and AirTran will continue to keep the Employee groups separate, each applying the terms of its own existing CBAs, unless other terms have been negotiated.</w:t>
      </w:r>
    </w:p>
    <w:p>
      <w:pPr>
        <w:pStyle w:val="Heading4"/>
        <w:spacing w:line="249" w:lineRule="auto" w:before="172"/>
        <w:ind w:right="1038"/>
      </w:pPr>
      <w:r>
        <w:rPr>
          <w:i/>
          <w:color w:val="231F20"/>
        </w:rPr>
        <w:t>The Company has incurred, and expects to continue to incur, substantial expenses related to the </w:t>
      </w:r>
      <w:r>
        <w:rPr>
          <w:color w:val="231F20"/>
        </w:rPr>
        <w:t>acquisition and integration of AirTran’s business.</w:t>
      </w:r>
    </w:p>
    <w:p>
      <w:pPr>
        <w:pStyle w:val="BodyText"/>
        <w:spacing w:line="249" w:lineRule="auto" w:before="172"/>
        <w:ind w:left="100" w:right="105" w:firstLine="490"/>
      </w:pPr>
      <w:r>
        <w:rPr>
          <w:color w:val="231F20"/>
        </w:rPr>
        <w:t>The Company has incurred, and expects to continue to incur, substantial integration and transition expenses in connection with the acquisition of AirTran, including the necessary costs associated with integrating the operations of Southwest and AirTran. There are a large number of processes, policies, procedures, operations, technologies, and systems that must be integrated, including reservations, frequent flyer, ticketing/distribution, maintenance, and flight operations. While the Company has assumed that a certain level of expenses will be incurred, there are many factors beyond its control that could affect the total amount or the timing of the integration expenses. Moreover, many of the expenses that will be incurred are, by their nature, difficult to estimate accurately. These expenses could, particularly in the near term, exceed the financial benefits the Company expects to achieve from the acquisition, including the elimination of duplicative expenses and the realization of economies of scale and cost savings. These integration expenses likely will continue to result in the Company taking substantial charges against earnings in future periods, and the amount and timing of such charges are uncertain at</w:t>
      </w:r>
      <w:r>
        <w:rPr>
          <w:color w:val="231F20"/>
          <w:spacing w:val="2"/>
        </w:rPr>
        <w:t> </w:t>
      </w:r>
      <w:r>
        <w:rPr>
          <w:color w:val="231F20"/>
        </w:rPr>
        <w:t>present.</w:t>
      </w:r>
    </w:p>
    <w:p>
      <w:pPr>
        <w:pStyle w:val="Heading4"/>
        <w:spacing w:line="249" w:lineRule="auto" w:before="172"/>
        <w:ind w:right="476"/>
      </w:pPr>
      <w:r>
        <w:rPr>
          <w:i/>
          <w:color w:val="231F20"/>
        </w:rPr>
        <w:t>The Company will need to continue certain branding or rebranding initiatives in connection with the </w:t>
      </w:r>
      <w:r>
        <w:rPr>
          <w:color w:val="231F20"/>
        </w:rPr>
        <w:t>acquisition that may take a significant amount of time and involve substantial additional costs and that may not be favorably received by Customers.</w:t>
      </w:r>
    </w:p>
    <w:p>
      <w:pPr>
        <w:pStyle w:val="BodyText"/>
        <w:spacing w:line="249" w:lineRule="auto" w:before="172"/>
        <w:ind w:left="100" w:right="175" w:firstLine="490"/>
      </w:pPr>
      <w:r>
        <w:rPr>
          <w:color w:val="231F20"/>
        </w:rPr>
        <w:t>The Company may incur substantial additional costs in rebranding AirTran’s products and services, and it may not be able to achieve or maintain brand name recognition or status under the Southwest brand that is comparable to the recognition and status previously enjoyed by AirTran in any of AirTran’s markets. The failure of any such rebranding initiative could adversely affect the Company’s ability to attract and retain Customers, which could cause the Company not to realize some or all of the anticipated benefits contemplated to result from the acquisition.</w:t>
      </w:r>
    </w:p>
    <w:p>
      <w:pPr>
        <w:pStyle w:val="Heading4"/>
        <w:spacing w:line="249" w:lineRule="auto" w:before="172"/>
        <w:ind w:right="460"/>
      </w:pPr>
      <w:r>
        <w:rPr>
          <w:i/>
          <w:color w:val="231F20"/>
        </w:rPr>
        <w:t>AirTran is currently subject to pending antitrust litigation, and if judgment were to be rendered against </w:t>
      </w:r>
      <w:r>
        <w:rPr>
          <w:color w:val="231F20"/>
        </w:rPr>
        <w:t>AirTran in the litigation, such judgment could adversely affect the Company’s operating results.</w:t>
      </w:r>
    </w:p>
    <w:p>
      <w:pPr>
        <w:pStyle w:val="BodyText"/>
        <w:spacing w:line="249" w:lineRule="auto" w:before="172"/>
        <w:ind w:left="100" w:right="103" w:firstLine="490"/>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w:t>
      </w:r>
      <w:r>
        <w:rPr>
          <w:color w:val="231F20"/>
          <w:spacing w:val="13"/>
        </w:rPr>
        <w:t> </w:t>
      </w:r>
      <w:r>
        <w:rPr>
          <w:color w:val="231F20"/>
        </w:rPr>
        <w:t>attorneys’</w:t>
      </w:r>
    </w:p>
    <w:p>
      <w:pPr>
        <w:spacing w:after="0" w:line="249" w:lineRule="auto"/>
        <w:sectPr>
          <w:pgSz w:w="11880" w:h="15480"/>
          <w:pgMar w:header="0" w:footer="1253" w:top="1240" w:bottom="1440" w:left="1280" w:right="1280"/>
        </w:sectPr>
      </w:pPr>
    </w:p>
    <w:p>
      <w:pPr>
        <w:pStyle w:val="BodyText"/>
        <w:spacing w:line="249" w:lineRule="auto" w:before="73"/>
        <w:ind w:left="100" w:right="103"/>
      </w:pPr>
      <w:r>
        <w:rPr>
          <w:color w:val="231F20"/>
        </w:rPr>
        <w:t>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AirTran filed a motion to exclude the class certification reports of plaintiffs’ expert. The Court has not yet ruled on the class certification motion or the related motion to exclude plaintiffs’ expert. The parties engaged in extensive discovery, which was extended due to discovery disputes between plaintiffs and Delta, but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have delayed further briefing on summary judgment. On November 15, 2013, the Court entered an order referring the case to mediation, and the mediation is scheduled to begin on February 4, 2014. On December 2, 2013, plaintiffs moved for discovery sanctions against Delta, and the Court has suspended further briefing on the motions for class certification, to exclude plaintiffs’ expert on class certification, and for summary judgment until the sanctions motion is resolved. While AirTran has denied all allegations of wrongdoing, including those in the Consolidated Amended Complaint, and intends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w:t>
      </w:r>
      <w:r>
        <w:rPr>
          <w:color w:val="231F20"/>
          <w:spacing w:val="1"/>
        </w:rPr>
        <w:t> </w:t>
      </w:r>
      <w:r>
        <w:rPr>
          <w:color w:val="231F20"/>
        </w:rPr>
        <w:t>results.</w:t>
      </w:r>
    </w:p>
    <w:p>
      <w:pPr>
        <w:pStyle w:val="Heading4"/>
        <w:spacing w:line="249" w:lineRule="auto" w:before="181"/>
        <w:ind w:right="255"/>
      </w:pPr>
      <w:r>
        <w:rPr>
          <w:i/>
          <w:color w:val="231F20"/>
        </w:rPr>
        <w:t>The application of the acquisition method of accounting resulted in the Company recording a significant </w:t>
      </w:r>
      <w:r>
        <w:rPr>
          <w:color w:val="231F20"/>
        </w:rPr>
        <w:t>amount of goodwill, which could result in significant future impairment charges and negatively affect the Company’s financial results.</w:t>
      </w:r>
    </w:p>
    <w:p>
      <w:pPr>
        <w:pStyle w:val="BodyText"/>
        <w:spacing w:line="249" w:lineRule="auto" w:before="181"/>
        <w:ind w:left="100" w:right="107" w:firstLine="490"/>
      </w:pPr>
      <w:r>
        <w:rPr>
          <w:color w:val="231F20"/>
        </w:rPr>
        <w:t>In accordance with applicable acquisition accounting rules, the Company recorded goodwill on its Consolidated Balance Sheet to the extent the AirTran acquisition purchase price exceeded the net fair value of AirTran’s tangible and intangible assets and liabilities as of the acquisition date. Goodwill is not amortized, but is tested for impairment at least annually. Future impairment of Goodwill could be recorded in the Company’s results of operations as a result of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 (ii)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The Company can provide no assurance that a significant impairment charge will not occur in one or more future periods. Any such charges may materially negatively affect the Company’s financial results. See Note 1 to the Consolidated Financial Statements for further</w:t>
      </w:r>
      <w:r>
        <w:rPr>
          <w:color w:val="231F20"/>
          <w:spacing w:val="4"/>
        </w:rPr>
        <w:t> </w:t>
      </w:r>
      <w:r>
        <w:rPr>
          <w:color w:val="231F20"/>
        </w:rPr>
        <w:t>information.</w:t>
      </w:r>
    </w:p>
    <w:p>
      <w:pPr>
        <w:tabs>
          <w:tab w:pos="1179" w:val="left" w:leader="none"/>
        </w:tabs>
        <w:spacing w:before="181"/>
        <w:ind w:left="100" w:right="0" w:firstLine="0"/>
        <w:jc w:val="left"/>
        <w:rPr>
          <w:b/>
          <w:i/>
          <w:sz w:val="20"/>
        </w:rPr>
      </w:pPr>
      <w:bookmarkStart w:name="Item 1B. Unresolved Staff Comments" w:id="5"/>
      <w:bookmarkEnd w:id="5"/>
      <w:r>
        <w:rPr/>
      </w:r>
      <w:r>
        <w:rPr>
          <w:b/>
          <w:color w:val="231F20"/>
          <w:sz w:val="20"/>
        </w:rPr>
        <w:t>Item</w:t>
      </w:r>
      <w:r>
        <w:rPr>
          <w:b/>
          <w:color w:val="231F20"/>
          <w:spacing w:val="1"/>
          <w:sz w:val="20"/>
        </w:rPr>
        <w:t> </w:t>
      </w:r>
      <w:r>
        <w:rPr>
          <w:b/>
          <w:color w:val="231F20"/>
          <w:sz w:val="20"/>
        </w:rPr>
        <w:t>1B.</w:t>
        <w:tab/>
      </w:r>
      <w:r>
        <w:rPr>
          <w:b/>
          <w:i/>
          <w:color w:val="231F20"/>
          <w:sz w:val="20"/>
        </w:rPr>
        <w:t>Unresolved Staff Comments</w:t>
      </w:r>
    </w:p>
    <w:p>
      <w:pPr>
        <w:pStyle w:val="BodyText"/>
        <w:spacing w:before="190"/>
        <w:ind w:left="590"/>
      </w:pPr>
      <w:r>
        <w:rPr>
          <w:color w:val="231F20"/>
        </w:rPr>
        <w:t>None.</w:t>
      </w:r>
    </w:p>
    <w:p>
      <w:pPr>
        <w:tabs>
          <w:tab w:pos="1179" w:val="left" w:leader="none"/>
        </w:tabs>
        <w:spacing w:before="190"/>
        <w:ind w:left="100" w:right="0" w:firstLine="0"/>
        <w:jc w:val="left"/>
        <w:rPr>
          <w:b/>
          <w:i/>
          <w:sz w:val="20"/>
        </w:rPr>
      </w:pPr>
      <w:bookmarkStart w:name="Item 2.   Properties" w:id="6"/>
      <w:bookmarkEnd w:id="6"/>
      <w:r>
        <w:rPr/>
      </w:r>
      <w:r>
        <w:rPr>
          <w:b/>
          <w:color w:val="231F20"/>
          <w:sz w:val="20"/>
        </w:rPr>
        <w:t>Item</w:t>
      </w:r>
      <w:r>
        <w:rPr>
          <w:b/>
          <w:color w:val="231F20"/>
          <w:spacing w:val="1"/>
          <w:sz w:val="20"/>
        </w:rPr>
        <w:t> </w:t>
      </w:r>
      <w:r>
        <w:rPr>
          <w:b/>
          <w:color w:val="231F20"/>
          <w:sz w:val="20"/>
        </w:rPr>
        <w:t>2.</w:t>
        <w:tab/>
      </w:r>
      <w:r>
        <w:rPr>
          <w:b/>
          <w:i/>
          <w:color w:val="231F20"/>
          <w:sz w:val="20"/>
        </w:rPr>
        <w:t>Properties</w:t>
      </w:r>
    </w:p>
    <w:p>
      <w:pPr>
        <w:pStyle w:val="Heading3"/>
        <w:spacing w:before="190"/>
      </w:pPr>
      <w:r>
        <w:rPr>
          <w:color w:val="231F20"/>
        </w:rPr>
        <w:t>Aircraft</w:t>
      </w:r>
    </w:p>
    <w:p>
      <w:pPr>
        <w:pStyle w:val="BodyText"/>
        <w:spacing w:line="249" w:lineRule="auto" w:before="190"/>
        <w:ind w:left="100" w:right="579" w:firstLine="490"/>
      </w:pPr>
      <w:r>
        <w:rPr>
          <w:color w:val="231F20"/>
        </w:rPr>
        <w:t>Southwest and AirTran operated a total of 680 Boeing aircraft in-service as of December 31, 2013, of which 160 and four were under operating and capital leases, respectively.</w:t>
      </w:r>
    </w:p>
    <w:p>
      <w:pPr>
        <w:spacing w:after="0" w:line="249" w:lineRule="auto"/>
        <w:sectPr>
          <w:pgSz w:w="11880" w:h="15480"/>
          <w:pgMar w:header="0" w:footer="1253" w:top="1240" w:bottom="1440" w:left="1280" w:right="1280"/>
        </w:sectPr>
      </w:pPr>
    </w:p>
    <w:p>
      <w:pPr>
        <w:pStyle w:val="BodyText"/>
        <w:spacing w:line="249" w:lineRule="auto" w:before="73"/>
        <w:ind w:left="160" w:firstLine="490"/>
      </w:pPr>
      <w:r>
        <w:rPr>
          <w:color w:val="231F20"/>
        </w:rPr>
        <w:t>The following table details information on the 680 active aircraft in the Company’s combined fleet as of December 31, 2013:</w:t>
      </w:r>
    </w:p>
    <w:p>
      <w:pPr>
        <w:spacing w:after="0" w:line="249" w:lineRule="auto"/>
        <w:sectPr>
          <w:pgSz w:w="11880" w:h="15480"/>
          <w:pgMar w:header="0" w:footer="1253" w:top="1240" w:bottom="1440" w:left="1220" w:right="1260"/>
        </w:sectPr>
      </w:pPr>
    </w:p>
    <w:p>
      <w:pPr>
        <w:pStyle w:val="Heading3"/>
        <w:spacing w:line="200" w:lineRule="exact" w:before="160"/>
        <w:ind w:left="5624" w:right="-20" w:hanging="189"/>
      </w:pPr>
      <w:r>
        <w:rPr/>
        <w:pict>
          <v:shape style="position:absolute;margin-left:66.5pt;margin-top:27.109976pt;width:458.5pt;height:77.150pt;mso-position-horizontal-relative:page;mso-position-vertical-relative:paragraph;z-index:18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05"/>
                    <w:gridCol w:w="686"/>
                    <w:gridCol w:w="945"/>
                    <w:gridCol w:w="928"/>
                    <w:gridCol w:w="200"/>
                    <w:gridCol w:w="895"/>
                    <w:gridCol w:w="200"/>
                    <w:gridCol w:w="711"/>
                  </w:tblGrid>
                  <w:tr>
                    <w:trPr>
                      <w:trHeight w:val="248" w:hRule="exact"/>
                    </w:trPr>
                    <w:tc>
                      <w:tcPr>
                        <w:tcW w:w="4605" w:type="dxa"/>
                        <w:tcBorders>
                          <w:bottom w:val="single" w:sz="8" w:space="0" w:color="231F20"/>
                        </w:tcBorders>
                      </w:tcPr>
                      <w:p>
                        <w:pPr>
                          <w:pStyle w:val="TableParagraph"/>
                          <w:spacing w:line="221" w:lineRule="exact"/>
                          <w:ind w:left="50"/>
                          <w:jc w:val="left"/>
                          <w:rPr>
                            <w:b/>
                            <w:sz w:val="20"/>
                          </w:rPr>
                        </w:pPr>
                        <w:r>
                          <w:rPr>
                            <w:b/>
                            <w:color w:val="231F20"/>
                            <w:sz w:val="20"/>
                          </w:rPr>
                          <w:t>Type</w:t>
                        </w:r>
                      </w:p>
                    </w:tc>
                    <w:tc>
                      <w:tcPr>
                        <w:tcW w:w="686" w:type="dxa"/>
                        <w:tcBorders>
                          <w:bottom w:val="single" w:sz="8" w:space="0" w:color="231F20"/>
                        </w:tcBorders>
                      </w:tcPr>
                      <w:p>
                        <w:pPr>
                          <w:pStyle w:val="TableParagraph"/>
                          <w:spacing w:line="221" w:lineRule="exact"/>
                          <w:ind w:left="56" w:right="145"/>
                          <w:jc w:val="center"/>
                          <w:rPr>
                            <w:b/>
                            <w:sz w:val="20"/>
                          </w:rPr>
                        </w:pPr>
                        <w:r>
                          <w:rPr>
                            <w:b/>
                            <w:color w:val="231F20"/>
                            <w:sz w:val="20"/>
                          </w:rPr>
                          <w:t>Seats</w:t>
                        </w:r>
                      </w:p>
                    </w:tc>
                    <w:tc>
                      <w:tcPr>
                        <w:tcW w:w="945" w:type="dxa"/>
                        <w:tcBorders>
                          <w:bottom w:val="single" w:sz="8" w:space="0" w:color="231F20"/>
                        </w:tcBorders>
                      </w:tcPr>
                      <w:p>
                        <w:pPr>
                          <w:pStyle w:val="TableParagraph"/>
                          <w:spacing w:line="221" w:lineRule="exact"/>
                          <w:ind w:left="147" w:right="312"/>
                          <w:jc w:val="center"/>
                          <w:rPr>
                            <w:b/>
                            <w:sz w:val="20"/>
                          </w:rPr>
                        </w:pPr>
                        <w:r>
                          <w:rPr>
                            <w:b/>
                            <w:color w:val="231F20"/>
                            <w:sz w:val="20"/>
                          </w:rPr>
                          <w:t>(Yrs)</w:t>
                        </w:r>
                      </w:p>
                    </w:tc>
                    <w:tc>
                      <w:tcPr>
                        <w:tcW w:w="928" w:type="dxa"/>
                        <w:tcBorders>
                          <w:bottom w:val="single" w:sz="8" w:space="0" w:color="231F20"/>
                        </w:tcBorders>
                      </w:tcPr>
                      <w:p>
                        <w:pPr>
                          <w:pStyle w:val="TableParagraph"/>
                          <w:spacing w:line="221" w:lineRule="exact"/>
                          <w:ind w:right="113"/>
                          <w:rPr>
                            <w:b/>
                            <w:sz w:val="20"/>
                          </w:rPr>
                        </w:pPr>
                        <w:r>
                          <w:rPr>
                            <w:b/>
                            <w:color w:val="231F20"/>
                            <w:sz w:val="20"/>
                          </w:rPr>
                          <w:t>Aircraft</w:t>
                        </w:r>
                      </w:p>
                    </w:tc>
                    <w:tc>
                      <w:tcPr>
                        <w:tcW w:w="200" w:type="dxa"/>
                        <w:tcBorders>
                          <w:bottom w:val="single" w:sz="8" w:space="0" w:color="231F20"/>
                        </w:tcBorders>
                      </w:tcPr>
                      <w:p>
                        <w:pPr/>
                      </w:p>
                    </w:tc>
                    <w:tc>
                      <w:tcPr>
                        <w:tcW w:w="895" w:type="dxa"/>
                        <w:tcBorders>
                          <w:bottom w:val="single" w:sz="8" w:space="0" w:color="231F20"/>
                        </w:tcBorders>
                      </w:tcPr>
                      <w:p>
                        <w:pPr>
                          <w:pStyle w:val="TableParagraph"/>
                          <w:spacing w:line="221" w:lineRule="exact"/>
                          <w:rPr>
                            <w:b/>
                            <w:sz w:val="20"/>
                          </w:rPr>
                        </w:pPr>
                        <w:r>
                          <w:rPr>
                            <w:b/>
                            <w:color w:val="231F20"/>
                            <w:sz w:val="20"/>
                          </w:rPr>
                          <w:t>Owned (1)</w:t>
                        </w:r>
                      </w:p>
                    </w:tc>
                    <w:tc>
                      <w:tcPr>
                        <w:tcW w:w="200" w:type="dxa"/>
                        <w:tcBorders>
                          <w:bottom w:val="single" w:sz="8" w:space="0" w:color="231F20"/>
                        </w:tcBorders>
                      </w:tcPr>
                      <w:p>
                        <w:pPr/>
                      </w:p>
                    </w:tc>
                    <w:tc>
                      <w:tcPr>
                        <w:tcW w:w="711" w:type="dxa"/>
                        <w:tcBorders>
                          <w:bottom w:val="single" w:sz="8" w:space="0" w:color="231F20"/>
                        </w:tcBorders>
                      </w:tcPr>
                      <w:p>
                        <w:pPr>
                          <w:pStyle w:val="TableParagraph"/>
                          <w:spacing w:line="221" w:lineRule="exact"/>
                          <w:ind w:right="55"/>
                          <w:rPr>
                            <w:b/>
                            <w:sz w:val="20"/>
                          </w:rPr>
                        </w:pPr>
                        <w:r>
                          <w:rPr>
                            <w:b/>
                            <w:color w:val="231F20"/>
                            <w:sz w:val="20"/>
                          </w:rPr>
                          <w:t>Leased</w:t>
                        </w:r>
                      </w:p>
                    </w:tc>
                  </w:tr>
                  <w:tr>
                    <w:trPr>
                      <w:trHeight w:val="304" w:hRule="exact"/>
                    </w:trPr>
                    <w:tc>
                      <w:tcPr>
                        <w:tcW w:w="4605" w:type="dxa"/>
                        <w:tcBorders>
                          <w:top w:val="single" w:sz="8" w:space="0" w:color="231F20"/>
                        </w:tcBorders>
                      </w:tcPr>
                      <w:p>
                        <w:pPr>
                          <w:pStyle w:val="TableParagraph"/>
                          <w:spacing w:before="53"/>
                          <w:ind w:left="50"/>
                          <w:jc w:val="left"/>
                          <w:rPr>
                            <w:sz w:val="20"/>
                          </w:rPr>
                        </w:pPr>
                        <w:r>
                          <w:rPr>
                            <w:color w:val="231F20"/>
                            <w:sz w:val="20"/>
                          </w:rPr>
                          <w:t>717-200  . . . . . . . . . . . . . . . . . . . . . . . . . . . . . . . . . . . . . </w:t>
                        </w:r>
                      </w:p>
                    </w:tc>
                    <w:tc>
                      <w:tcPr>
                        <w:tcW w:w="686" w:type="dxa"/>
                        <w:tcBorders>
                          <w:top w:val="single" w:sz="8" w:space="0" w:color="231F20"/>
                        </w:tcBorders>
                      </w:tcPr>
                      <w:p>
                        <w:pPr>
                          <w:pStyle w:val="TableParagraph"/>
                          <w:spacing w:before="53"/>
                          <w:ind w:left="56" w:right="144"/>
                          <w:jc w:val="center"/>
                          <w:rPr>
                            <w:sz w:val="20"/>
                          </w:rPr>
                        </w:pPr>
                        <w:r>
                          <w:rPr>
                            <w:color w:val="231F20"/>
                            <w:sz w:val="20"/>
                          </w:rPr>
                          <w:t>117</w:t>
                        </w:r>
                      </w:p>
                    </w:tc>
                    <w:tc>
                      <w:tcPr>
                        <w:tcW w:w="945" w:type="dxa"/>
                        <w:tcBorders>
                          <w:top w:val="single" w:sz="8" w:space="0" w:color="231F20"/>
                        </w:tcBorders>
                      </w:tcPr>
                      <w:p>
                        <w:pPr>
                          <w:pStyle w:val="TableParagraph"/>
                          <w:spacing w:before="53"/>
                          <w:ind w:left="147" w:right="310"/>
                          <w:jc w:val="center"/>
                          <w:rPr>
                            <w:sz w:val="20"/>
                          </w:rPr>
                        </w:pPr>
                        <w:r>
                          <w:rPr>
                            <w:color w:val="231F20"/>
                            <w:sz w:val="20"/>
                          </w:rPr>
                          <w:t>12</w:t>
                        </w:r>
                      </w:p>
                    </w:tc>
                    <w:tc>
                      <w:tcPr>
                        <w:tcW w:w="928" w:type="dxa"/>
                        <w:tcBorders>
                          <w:top w:val="single" w:sz="8" w:space="0" w:color="231F20"/>
                        </w:tcBorders>
                      </w:tcPr>
                      <w:p>
                        <w:pPr>
                          <w:pStyle w:val="TableParagraph"/>
                          <w:spacing w:before="53"/>
                          <w:ind w:right="99"/>
                          <w:rPr>
                            <w:sz w:val="20"/>
                          </w:rPr>
                        </w:pPr>
                        <w:r>
                          <w:rPr>
                            <w:color w:val="231F20"/>
                            <w:sz w:val="20"/>
                          </w:rPr>
                          <w:t>66</w:t>
                        </w:r>
                      </w:p>
                    </w:tc>
                    <w:tc>
                      <w:tcPr>
                        <w:tcW w:w="200" w:type="dxa"/>
                        <w:tcBorders>
                          <w:top w:val="single" w:sz="8" w:space="0" w:color="231F20"/>
                        </w:tcBorders>
                      </w:tcPr>
                      <w:p>
                        <w:pPr/>
                      </w:p>
                    </w:tc>
                    <w:tc>
                      <w:tcPr>
                        <w:tcW w:w="895" w:type="dxa"/>
                        <w:tcBorders>
                          <w:top w:val="single" w:sz="8" w:space="0" w:color="231F20"/>
                        </w:tcBorders>
                      </w:tcPr>
                      <w:p>
                        <w:pPr>
                          <w:pStyle w:val="TableParagraph"/>
                          <w:spacing w:before="53"/>
                          <w:ind w:right="99"/>
                          <w:rPr>
                            <w:sz w:val="20"/>
                          </w:rPr>
                        </w:pPr>
                        <w:r>
                          <w:rPr>
                            <w:color w:val="231F20"/>
                            <w:sz w:val="20"/>
                          </w:rPr>
                          <w:t>8</w:t>
                        </w:r>
                      </w:p>
                    </w:tc>
                    <w:tc>
                      <w:tcPr>
                        <w:tcW w:w="200" w:type="dxa"/>
                        <w:tcBorders>
                          <w:top w:val="single" w:sz="8" w:space="0" w:color="231F20"/>
                        </w:tcBorders>
                      </w:tcPr>
                      <w:p>
                        <w:pPr/>
                      </w:p>
                    </w:tc>
                    <w:tc>
                      <w:tcPr>
                        <w:tcW w:w="711" w:type="dxa"/>
                        <w:tcBorders>
                          <w:top w:val="single" w:sz="8" w:space="0" w:color="231F20"/>
                        </w:tcBorders>
                      </w:tcPr>
                      <w:p>
                        <w:pPr>
                          <w:pStyle w:val="TableParagraph"/>
                          <w:spacing w:before="53"/>
                          <w:ind w:right="99"/>
                          <w:rPr>
                            <w:sz w:val="20"/>
                          </w:rPr>
                        </w:pPr>
                        <w:r>
                          <w:rPr>
                            <w:color w:val="231F20"/>
                            <w:sz w:val="20"/>
                          </w:rPr>
                          <w:t>58</w:t>
                        </w:r>
                      </w:p>
                    </w:tc>
                  </w:tr>
                  <w:tr>
                    <w:trPr>
                      <w:trHeight w:val="240" w:hRule="exact"/>
                    </w:trPr>
                    <w:tc>
                      <w:tcPr>
                        <w:tcW w:w="4605" w:type="dxa"/>
                      </w:tcPr>
                      <w:p>
                        <w:pPr>
                          <w:pStyle w:val="TableParagraph"/>
                          <w:spacing w:line="229" w:lineRule="exact"/>
                          <w:ind w:left="50"/>
                          <w:jc w:val="left"/>
                          <w:rPr>
                            <w:sz w:val="20"/>
                          </w:rPr>
                        </w:pPr>
                        <w:r>
                          <w:rPr>
                            <w:color w:val="231F20"/>
                            <w:sz w:val="20"/>
                          </w:rPr>
                          <w:t>737-300  . . . . . . . . . . . . . . . . . . . . . . . . . . . . . . . . . . . . . </w:t>
                        </w:r>
                      </w:p>
                    </w:tc>
                    <w:tc>
                      <w:tcPr>
                        <w:tcW w:w="686" w:type="dxa"/>
                      </w:tcPr>
                      <w:p>
                        <w:pPr>
                          <w:pStyle w:val="TableParagraph"/>
                          <w:spacing w:line="229" w:lineRule="exact"/>
                          <w:ind w:left="56" w:right="144"/>
                          <w:jc w:val="center"/>
                          <w:rPr>
                            <w:sz w:val="20"/>
                          </w:rPr>
                        </w:pPr>
                        <w:r>
                          <w:rPr>
                            <w:color w:val="231F20"/>
                            <w:sz w:val="20"/>
                          </w:rPr>
                          <w:t>143</w:t>
                        </w:r>
                      </w:p>
                    </w:tc>
                    <w:tc>
                      <w:tcPr>
                        <w:tcW w:w="945" w:type="dxa"/>
                      </w:tcPr>
                      <w:p>
                        <w:pPr>
                          <w:pStyle w:val="TableParagraph"/>
                          <w:spacing w:line="229" w:lineRule="exact"/>
                          <w:ind w:left="147" w:right="310"/>
                          <w:jc w:val="center"/>
                          <w:rPr>
                            <w:sz w:val="20"/>
                          </w:rPr>
                        </w:pPr>
                        <w:r>
                          <w:rPr>
                            <w:color w:val="231F20"/>
                            <w:sz w:val="20"/>
                          </w:rPr>
                          <w:t>20</w:t>
                        </w:r>
                      </w:p>
                    </w:tc>
                    <w:tc>
                      <w:tcPr>
                        <w:tcW w:w="928" w:type="dxa"/>
                      </w:tcPr>
                      <w:p>
                        <w:pPr>
                          <w:pStyle w:val="TableParagraph"/>
                          <w:spacing w:line="229" w:lineRule="exact"/>
                          <w:ind w:right="99"/>
                          <w:rPr>
                            <w:sz w:val="20"/>
                          </w:rPr>
                        </w:pPr>
                        <w:r>
                          <w:rPr>
                            <w:color w:val="231F20"/>
                            <w:sz w:val="20"/>
                          </w:rPr>
                          <w:t>122</w:t>
                        </w:r>
                      </w:p>
                    </w:tc>
                    <w:tc>
                      <w:tcPr>
                        <w:tcW w:w="200" w:type="dxa"/>
                      </w:tcPr>
                      <w:p>
                        <w:pPr/>
                      </w:p>
                    </w:tc>
                    <w:tc>
                      <w:tcPr>
                        <w:tcW w:w="895" w:type="dxa"/>
                      </w:tcPr>
                      <w:p>
                        <w:pPr>
                          <w:pStyle w:val="TableParagraph"/>
                          <w:spacing w:line="229" w:lineRule="exact"/>
                          <w:ind w:right="99"/>
                          <w:rPr>
                            <w:sz w:val="20"/>
                          </w:rPr>
                        </w:pPr>
                        <w:r>
                          <w:rPr>
                            <w:color w:val="231F20"/>
                            <w:sz w:val="20"/>
                          </w:rPr>
                          <w:t>76</w:t>
                        </w:r>
                      </w:p>
                    </w:tc>
                    <w:tc>
                      <w:tcPr>
                        <w:tcW w:w="200" w:type="dxa"/>
                      </w:tcPr>
                      <w:p>
                        <w:pPr/>
                      </w:p>
                    </w:tc>
                    <w:tc>
                      <w:tcPr>
                        <w:tcW w:w="711" w:type="dxa"/>
                      </w:tcPr>
                      <w:p>
                        <w:pPr>
                          <w:pStyle w:val="TableParagraph"/>
                          <w:spacing w:line="229" w:lineRule="exact"/>
                          <w:ind w:right="99"/>
                          <w:rPr>
                            <w:sz w:val="20"/>
                          </w:rPr>
                        </w:pPr>
                        <w:r>
                          <w:rPr>
                            <w:color w:val="231F20"/>
                            <w:sz w:val="20"/>
                          </w:rPr>
                          <w:t>46</w:t>
                        </w:r>
                      </w:p>
                    </w:tc>
                  </w:tr>
                  <w:tr>
                    <w:trPr>
                      <w:trHeight w:val="240" w:hRule="exact"/>
                    </w:trPr>
                    <w:tc>
                      <w:tcPr>
                        <w:tcW w:w="4605" w:type="dxa"/>
                      </w:tcPr>
                      <w:p>
                        <w:pPr>
                          <w:pStyle w:val="TableParagraph"/>
                          <w:spacing w:line="229" w:lineRule="exact"/>
                          <w:ind w:left="50"/>
                          <w:jc w:val="left"/>
                          <w:rPr>
                            <w:sz w:val="20"/>
                          </w:rPr>
                        </w:pPr>
                        <w:r>
                          <w:rPr>
                            <w:color w:val="231F20"/>
                            <w:sz w:val="20"/>
                          </w:rPr>
                          <w:t>737-500  . . . . . . . . . . . . . . . . . . . . . . . . . . . . . . . . . . . . . </w:t>
                        </w:r>
                      </w:p>
                    </w:tc>
                    <w:tc>
                      <w:tcPr>
                        <w:tcW w:w="686" w:type="dxa"/>
                      </w:tcPr>
                      <w:p>
                        <w:pPr>
                          <w:pStyle w:val="TableParagraph"/>
                          <w:spacing w:line="229" w:lineRule="exact"/>
                          <w:ind w:left="56" w:right="144"/>
                          <w:jc w:val="center"/>
                          <w:rPr>
                            <w:sz w:val="20"/>
                          </w:rPr>
                        </w:pPr>
                        <w:r>
                          <w:rPr>
                            <w:color w:val="231F20"/>
                            <w:sz w:val="20"/>
                          </w:rPr>
                          <w:t>122</w:t>
                        </w:r>
                      </w:p>
                    </w:tc>
                    <w:tc>
                      <w:tcPr>
                        <w:tcW w:w="945" w:type="dxa"/>
                      </w:tcPr>
                      <w:p>
                        <w:pPr>
                          <w:pStyle w:val="TableParagraph"/>
                          <w:spacing w:line="229" w:lineRule="exact"/>
                          <w:ind w:left="147" w:right="310"/>
                          <w:jc w:val="center"/>
                          <w:rPr>
                            <w:sz w:val="20"/>
                          </w:rPr>
                        </w:pPr>
                        <w:r>
                          <w:rPr>
                            <w:color w:val="231F20"/>
                            <w:sz w:val="20"/>
                          </w:rPr>
                          <w:t>22</w:t>
                        </w:r>
                      </w:p>
                    </w:tc>
                    <w:tc>
                      <w:tcPr>
                        <w:tcW w:w="928" w:type="dxa"/>
                      </w:tcPr>
                      <w:p>
                        <w:pPr>
                          <w:pStyle w:val="TableParagraph"/>
                          <w:spacing w:line="229" w:lineRule="exact"/>
                          <w:ind w:right="99"/>
                          <w:rPr>
                            <w:sz w:val="20"/>
                          </w:rPr>
                        </w:pPr>
                        <w:r>
                          <w:rPr>
                            <w:color w:val="231F20"/>
                            <w:sz w:val="20"/>
                          </w:rPr>
                          <w:t>15</w:t>
                        </w:r>
                      </w:p>
                    </w:tc>
                    <w:tc>
                      <w:tcPr>
                        <w:tcW w:w="200" w:type="dxa"/>
                      </w:tcPr>
                      <w:p>
                        <w:pPr/>
                      </w:p>
                    </w:tc>
                    <w:tc>
                      <w:tcPr>
                        <w:tcW w:w="895" w:type="dxa"/>
                      </w:tcPr>
                      <w:p>
                        <w:pPr>
                          <w:pStyle w:val="TableParagraph"/>
                          <w:spacing w:line="229" w:lineRule="exact"/>
                          <w:ind w:right="99"/>
                          <w:rPr>
                            <w:sz w:val="20"/>
                          </w:rPr>
                        </w:pPr>
                        <w:r>
                          <w:rPr>
                            <w:color w:val="231F20"/>
                            <w:sz w:val="20"/>
                          </w:rPr>
                          <w:t>9</w:t>
                        </w:r>
                      </w:p>
                    </w:tc>
                    <w:tc>
                      <w:tcPr>
                        <w:tcW w:w="200" w:type="dxa"/>
                      </w:tcPr>
                      <w:p>
                        <w:pPr/>
                      </w:p>
                    </w:tc>
                    <w:tc>
                      <w:tcPr>
                        <w:tcW w:w="711" w:type="dxa"/>
                      </w:tcPr>
                      <w:p>
                        <w:pPr>
                          <w:pStyle w:val="TableParagraph"/>
                          <w:spacing w:line="229" w:lineRule="exact"/>
                          <w:ind w:right="99"/>
                          <w:rPr>
                            <w:sz w:val="20"/>
                          </w:rPr>
                        </w:pPr>
                        <w:r>
                          <w:rPr>
                            <w:color w:val="231F20"/>
                            <w:sz w:val="20"/>
                          </w:rPr>
                          <w:t>6</w:t>
                        </w:r>
                      </w:p>
                    </w:tc>
                  </w:tr>
                  <w:tr>
                    <w:trPr>
                      <w:trHeight w:val="240" w:hRule="exact"/>
                    </w:trPr>
                    <w:tc>
                      <w:tcPr>
                        <w:tcW w:w="4605" w:type="dxa"/>
                      </w:tcPr>
                      <w:p>
                        <w:pPr>
                          <w:pStyle w:val="TableParagraph"/>
                          <w:spacing w:line="229" w:lineRule="exact"/>
                          <w:ind w:left="50"/>
                          <w:jc w:val="left"/>
                          <w:rPr>
                            <w:sz w:val="20"/>
                          </w:rPr>
                        </w:pPr>
                        <w:r>
                          <w:rPr>
                            <w:color w:val="231F20"/>
                            <w:sz w:val="20"/>
                          </w:rPr>
                          <w:t>737-700  . . . . . . . . . . . . . . . . . . . . . . . . . . . . . . . . . . . . . </w:t>
                        </w:r>
                      </w:p>
                    </w:tc>
                    <w:tc>
                      <w:tcPr>
                        <w:tcW w:w="686" w:type="dxa"/>
                      </w:tcPr>
                      <w:p>
                        <w:pPr>
                          <w:pStyle w:val="TableParagraph"/>
                          <w:spacing w:line="229" w:lineRule="exact"/>
                          <w:ind w:left="56" w:right="144"/>
                          <w:jc w:val="center"/>
                          <w:rPr>
                            <w:sz w:val="20"/>
                          </w:rPr>
                        </w:pPr>
                        <w:r>
                          <w:rPr>
                            <w:color w:val="231F20"/>
                            <w:sz w:val="20"/>
                          </w:rPr>
                          <w:t>143</w:t>
                        </w:r>
                      </w:p>
                    </w:tc>
                    <w:tc>
                      <w:tcPr>
                        <w:tcW w:w="945" w:type="dxa"/>
                      </w:tcPr>
                      <w:p>
                        <w:pPr>
                          <w:pStyle w:val="TableParagraph"/>
                          <w:spacing w:line="229" w:lineRule="exact"/>
                          <w:ind w:right="63"/>
                          <w:jc w:val="center"/>
                          <w:rPr>
                            <w:sz w:val="20"/>
                          </w:rPr>
                        </w:pPr>
                        <w:r>
                          <w:rPr>
                            <w:color w:val="231F20"/>
                            <w:sz w:val="20"/>
                          </w:rPr>
                          <w:t>9</w:t>
                        </w:r>
                      </w:p>
                    </w:tc>
                    <w:tc>
                      <w:tcPr>
                        <w:tcW w:w="928" w:type="dxa"/>
                      </w:tcPr>
                      <w:p>
                        <w:pPr>
                          <w:pStyle w:val="TableParagraph"/>
                          <w:spacing w:line="229" w:lineRule="exact"/>
                          <w:ind w:right="99"/>
                          <w:rPr>
                            <w:sz w:val="20"/>
                          </w:rPr>
                        </w:pPr>
                        <w:r>
                          <w:rPr>
                            <w:color w:val="231F20"/>
                            <w:sz w:val="20"/>
                          </w:rPr>
                          <w:t>425</w:t>
                        </w:r>
                      </w:p>
                    </w:tc>
                    <w:tc>
                      <w:tcPr>
                        <w:tcW w:w="200" w:type="dxa"/>
                      </w:tcPr>
                      <w:p>
                        <w:pPr/>
                      </w:p>
                    </w:tc>
                    <w:tc>
                      <w:tcPr>
                        <w:tcW w:w="895" w:type="dxa"/>
                      </w:tcPr>
                      <w:p>
                        <w:pPr>
                          <w:pStyle w:val="TableParagraph"/>
                          <w:spacing w:line="229" w:lineRule="exact"/>
                          <w:ind w:right="99"/>
                          <w:rPr>
                            <w:sz w:val="20"/>
                          </w:rPr>
                        </w:pPr>
                        <w:r>
                          <w:rPr>
                            <w:color w:val="231F20"/>
                            <w:sz w:val="20"/>
                          </w:rPr>
                          <w:t>378</w:t>
                        </w:r>
                      </w:p>
                    </w:tc>
                    <w:tc>
                      <w:tcPr>
                        <w:tcW w:w="200" w:type="dxa"/>
                      </w:tcPr>
                      <w:p>
                        <w:pPr/>
                      </w:p>
                    </w:tc>
                    <w:tc>
                      <w:tcPr>
                        <w:tcW w:w="711" w:type="dxa"/>
                      </w:tcPr>
                      <w:p>
                        <w:pPr>
                          <w:pStyle w:val="TableParagraph"/>
                          <w:spacing w:line="229" w:lineRule="exact"/>
                          <w:ind w:right="99"/>
                          <w:rPr>
                            <w:sz w:val="20"/>
                          </w:rPr>
                        </w:pPr>
                        <w:r>
                          <w:rPr>
                            <w:color w:val="231F20"/>
                            <w:sz w:val="20"/>
                          </w:rPr>
                          <w:t>47</w:t>
                        </w:r>
                      </w:p>
                    </w:tc>
                  </w:tr>
                  <w:tr>
                    <w:trPr>
                      <w:trHeight w:val="261" w:hRule="exact"/>
                    </w:trPr>
                    <w:tc>
                      <w:tcPr>
                        <w:tcW w:w="4605" w:type="dxa"/>
                      </w:tcPr>
                      <w:p>
                        <w:pPr>
                          <w:pStyle w:val="TableParagraph"/>
                          <w:spacing w:line="229" w:lineRule="exact"/>
                          <w:ind w:left="50"/>
                          <w:jc w:val="left"/>
                          <w:rPr>
                            <w:sz w:val="20"/>
                          </w:rPr>
                        </w:pPr>
                        <w:r>
                          <w:rPr>
                            <w:color w:val="231F20"/>
                            <w:sz w:val="20"/>
                          </w:rPr>
                          <w:t>737-800  . . . . . . . . . . . . . . . . . . . . . . . . . . . . . . . . . . . . . </w:t>
                        </w:r>
                      </w:p>
                    </w:tc>
                    <w:tc>
                      <w:tcPr>
                        <w:tcW w:w="686" w:type="dxa"/>
                      </w:tcPr>
                      <w:p>
                        <w:pPr>
                          <w:pStyle w:val="TableParagraph"/>
                          <w:spacing w:line="229" w:lineRule="exact"/>
                          <w:ind w:left="56" w:right="144"/>
                          <w:jc w:val="center"/>
                          <w:rPr>
                            <w:sz w:val="20"/>
                          </w:rPr>
                        </w:pPr>
                        <w:r>
                          <w:rPr>
                            <w:color w:val="231F20"/>
                            <w:sz w:val="20"/>
                          </w:rPr>
                          <w:t>175</w:t>
                        </w:r>
                      </w:p>
                    </w:tc>
                    <w:tc>
                      <w:tcPr>
                        <w:tcW w:w="945" w:type="dxa"/>
                      </w:tcPr>
                      <w:p>
                        <w:pPr>
                          <w:pStyle w:val="TableParagraph"/>
                          <w:spacing w:line="229" w:lineRule="exact"/>
                          <w:ind w:right="63"/>
                          <w:jc w:val="center"/>
                          <w:rPr>
                            <w:sz w:val="20"/>
                          </w:rPr>
                        </w:pPr>
                        <w:r>
                          <w:rPr>
                            <w:color w:val="231F20"/>
                            <w:sz w:val="20"/>
                          </w:rPr>
                          <w:t>1</w:t>
                        </w:r>
                      </w:p>
                    </w:tc>
                    <w:tc>
                      <w:tcPr>
                        <w:tcW w:w="928" w:type="dxa"/>
                        <w:tcBorders>
                          <w:bottom w:val="single" w:sz="4" w:space="0" w:color="231F20"/>
                        </w:tcBorders>
                      </w:tcPr>
                      <w:p>
                        <w:pPr>
                          <w:pStyle w:val="TableParagraph"/>
                          <w:spacing w:line="229" w:lineRule="exact"/>
                          <w:ind w:right="99"/>
                          <w:rPr>
                            <w:sz w:val="20"/>
                          </w:rPr>
                        </w:pPr>
                        <w:r>
                          <w:rPr>
                            <w:color w:val="231F20"/>
                            <w:sz w:val="20"/>
                          </w:rPr>
                          <w:t>52</w:t>
                        </w:r>
                      </w:p>
                    </w:tc>
                    <w:tc>
                      <w:tcPr>
                        <w:tcW w:w="200" w:type="dxa"/>
                      </w:tcPr>
                      <w:p>
                        <w:pPr/>
                      </w:p>
                    </w:tc>
                    <w:tc>
                      <w:tcPr>
                        <w:tcW w:w="895" w:type="dxa"/>
                        <w:tcBorders>
                          <w:bottom w:val="single" w:sz="4" w:space="0" w:color="231F20"/>
                        </w:tcBorders>
                      </w:tcPr>
                      <w:p>
                        <w:pPr>
                          <w:pStyle w:val="TableParagraph"/>
                          <w:spacing w:line="229" w:lineRule="exact"/>
                          <w:ind w:right="99"/>
                          <w:rPr>
                            <w:sz w:val="20"/>
                          </w:rPr>
                        </w:pPr>
                        <w:r>
                          <w:rPr>
                            <w:color w:val="231F20"/>
                            <w:sz w:val="20"/>
                          </w:rPr>
                          <w:t>45</w:t>
                        </w:r>
                      </w:p>
                    </w:tc>
                    <w:tc>
                      <w:tcPr>
                        <w:tcW w:w="200" w:type="dxa"/>
                      </w:tcPr>
                      <w:p>
                        <w:pPr/>
                      </w:p>
                    </w:tc>
                    <w:tc>
                      <w:tcPr>
                        <w:tcW w:w="711" w:type="dxa"/>
                        <w:tcBorders>
                          <w:bottom w:val="single" w:sz="4" w:space="0" w:color="231F20"/>
                        </w:tcBorders>
                      </w:tcPr>
                      <w:p>
                        <w:pPr>
                          <w:pStyle w:val="TableParagraph"/>
                          <w:spacing w:line="229" w:lineRule="exact"/>
                          <w:ind w:right="99"/>
                          <w:rPr>
                            <w:sz w:val="20"/>
                          </w:rPr>
                        </w:pPr>
                        <w:r>
                          <w:rPr>
                            <w:color w:val="231F20"/>
                            <w:sz w:val="20"/>
                          </w:rPr>
                          <w:t>7</w:t>
                        </w:r>
                      </w:p>
                    </w:tc>
                  </w:tr>
                </w:tbl>
                <w:p>
                  <w:pPr>
                    <w:pStyle w:val="BodyText"/>
                  </w:pPr>
                </w:p>
              </w:txbxContent>
            </v:textbox>
            <w10:wrap type="none"/>
          </v:shape>
        </w:pict>
      </w:r>
      <w:r>
        <w:rPr>
          <w:color w:val="231F20"/>
        </w:rPr>
        <w:t>Average</w:t>
      </w:r>
      <w:r>
        <w:rPr>
          <w:color w:val="231F20"/>
          <w:w w:val="100"/>
        </w:rPr>
        <w:t> </w:t>
      </w:r>
      <w:r>
        <w:rPr>
          <w:color w:val="231F20"/>
        </w:rPr>
        <w:t>Age</w:t>
      </w:r>
    </w:p>
    <w:p>
      <w:pPr>
        <w:pStyle w:val="BodyText"/>
        <w:rPr>
          <w:b/>
          <w:sz w:val="29"/>
        </w:rPr>
      </w:pPr>
      <w:r>
        <w:rPr/>
        <w:br w:type="column"/>
      </w:r>
      <w:r>
        <w:rPr>
          <w:b/>
          <w:sz w:val="29"/>
        </w:rPr>
      </w:r>
    </w:p>
    <w:p>
      <w:pPr>
        <w:spacing w:before="0"/>
        <w:ind w:left="160" w:right="0" w:firstLine="0"/>
        <w:jc w:val="left"/>
        <w:rPr>
          <w:b/>
          <w:sz w:val="20"/>
        </w:rPr>
      </w:pPr>
      <w:r>
        <w:rPr>
          <w:b/>
          <w:color w:val="231F20"/>
          <w:sz w:val="20"/>
        </w:rPr>
        <w:t>Number of</w:t>
      </w:r>
    </w:p>
    <w:p>
      <w:pPr>
        <w:pStyle w:val="BodyText"/>
        <w:rPr>
          <w:b/>
          <w:sz w:val="29"/>
        </w:rPr>
      </w:pPr>
      <w:r>
        <w:rPr/>
        <w:br w:type="column"/>
      </w:r>
      <w:r>
        <w:rPr>
          <w:b/>
          <w:sz w:val="29"/>
        </w:rPr>
      </w:r>
    </w:p>
    <w:p>
      <w:pPr>
        <w:spacing w:before="0"/>
        <w:ind w:left="252" w:right="0" w:firstLine="0"/>
        <w:jc w:val="left"/>
        <w:rPr>
          <w:b/>
          <w:sz w:val="20"/>
        </w:rPr>
      </w:pPr>
      <w:r>
        <w:rPr>
          <w:b/>
          <w:color w:val="231F20"/>
          <w:sz w:val="20"/>
        </w:rPr>
        <w:t>Number</w:t>
      </w:r>
    </w:p>
    <w:p>
      <w:pPr>
        <w:pStyle w:val="BodyText"/>
        <w:rPr>
          <w:b/>
          <w:sz w:val="29"/>
        </w:rPr>
      </w:pPr>
      <w:r>
        <w:rPr/>
        <w:br w:type="column"/>
      </w:r>
      <w:r>
        <w:rPr>
          <w:b/>
          <w:sz w:val="29"/>
        </w:rPr>
      </w:r>
    </w:p>
    <w:p>
      <w:pPr>
        <w:spacing w:before="0"/>
        <w:ind w:left="251" w:right="0" w:firstLine="0"/>
        <w:jc w:val="left"/>
        <w:rPr>
          <w:b/>
          <w:sz w:val="20"/>
        </w:rPr>
      </w:pPr>
      <w:r>
        <w:rPr>
          <w:b/>
          <w:color w:val="231F20"/>
          <w:sz w:val="20"/>
        </w:rPr>
        <w:t>Number</w:t>
      </w:r>
    </w:p>
    <w:p>
      <w:pPr>
        <w:spacing w:after="0"/>
        <w:jc w:val="left"/>
        <w:rPr>
          <w:sz w:val="20"/>
        </w:rPr>
        <w:sectPr>
          <w:type w:val="continuous"/>
          <w:pgSz w:w="11880" w:h="15480"/>
          <w:pgMar w:top="1200" w:bottom="280" w:left="1220" w:right="1260"/>
          <w:cols w:num="4" w:equalWidth="0">
            <w:col w:w="6146" w:space="40"/>
            <w:col w:w="1088" w:space="40"/>
            <w:col w:w="964" w:space="40"/>
            <w:col w:w="1082"/>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8"/>
        </w:rPr>
      </w:pPr>
    </w:p>
    <w:p>
      <w:pPr>
        <w:pStyle w:val="BodyText"/>
        <w:tabs>
          <w:tab w:pos="6873" w:val="left" w:leader="none"/>
          <w:tab w:pos="7968" w:val="left" w:leader="none"/>
          <w:tab w:pos="9179" w:val="right" w:leader="none"/>
        </w:tabs>
        <w:spacing w:before="89"/>
        <w:ind w:left="160"/>
      </w:pPr>
      <w:r>
        <w:rPr/>
        <w:pict>
          <v:group style="position:absolute;margin-left:378.050018pt;margin-top:17.285908pt;width:46.9pt;height:2.5pt;mso-position-horizontal-relative:page;mso-position-vertical-relative:paragraph;z-index:1528;mso-wrap-distance-left:0;mso-wrap-distance-right:0" coordorigin="7561,346" coordsize="938,50">
            <v:line style="position:absolute" from="7566,351" to="8494,351" stroked="true" strokeweight=".5pt" strokecolor="#231f20">
              <v:stroke dashstyle="solid"/>
            </v:line>
            <v:line style="position:absolute" from="7566,391" to="8494,391" stroked="true" strokeweight=".5pt" strokecolor="#231f20">
              <v:stroke dashstyle="solid"/>
            </v:line>
            <w10:wrap type="topAndBottom"/>
          </v:group>
        </w:pict>
      </w:r>
      <w:r>
        <w:rPr/>
        <w:pict>
          <v:group style="position:absolute;margin-left:434.449982pt;margin-top:17.285908pt;width:45.25pt;height:2.5pt;mso-position-horizontal-relative:page;mso-position-vertical-relative:paragraph;z-index:1552;mso-wrap-distance-left:0;mso-wrap-distance-right:0" coordorigin="8689,346" coordsize="905,50">
            <v:line style="position:absolute" from="8694,351" to="9589,351" stroked="true" strokeweight=".5pt" strokecolor="#231f20">
              <v:stroke dashstyle="solid"/>
            </v:line>
            <v:line style="position:absolute" from="8694,391" to="9589,391" stroked="true" strokeweight=".5pt" strokecolor="#231f20">
              <v:stroke dashstyle="solid"/>
            </v:line>
            <w10:wrap type="topAndBottom"/>
          </v:group>
        </w:pict>
      </w:r>
      <w:r>
        <w:rPr/>
        <w:pict>
          <v:group style="position:absolute;margin-left:489.199982pt;margin-top:17.285908pt;width:36.050pt;height:2.5pt;mso-position-horizontal-relative:page;mso-position-vertical-relative:paragraph;z-index:1576;mso-wrap-distance-left:0;mso-wrap-distance-right:0" coordorigin="9784,346" coordsize="721,50">
            <v:line style="position:absolute" from="9789,351" to="10500,351" stroked="true" strokeweight=".5pt" strokecolor="#231f20">
              <v:stroke dashstyle="solid"/>
            </v:line>
            <v:line style="position:absolute" from="9789,391" to="10500,391" stroked="true" strokeweight=".5pt" strokecolor="#231f20">
              <v:stroke dashstyle="solid"/>
            </v:line>
            <w10:wrap type="topAndBottom"/>
          </v:group>
        </w:pict>
      </w:r>
      <w:r>
        <w:rPr/>
        <w:pict>
          <v:line style="position:absolute;mso-position-horizontal-relative:page;mso-position-vertical-relative:paragraph;z-index:1600;mso-wrap-distance-left:0;mso-wrap-distance-right:0" from="69pt,27.535908pt" to="117pt,27.535908pt" stroked="true" strokeweight=".5pt" strokecolor="#231f20">
            <v:stroke dashstyle="solid"/>
            <w10:wrap type="topAndBottom"/>
          </v:line>
        </w:pict>
      </w:r>
      <w:r>
        <w:rPr>
          <w:color w:val="231F20"/>
        </w:rPr>
        <w:t>Totals  . . . . . . . . . . . . . . . . . . . . . . . . . . . . . . . . . . . . .</w:t>
      </w:r>
      <w:r>
        <w:rPr>
          <w:color w:val="231F20"/>
          <w:spacing w:val="-20"/>
        </w:rPr>
        <w:t> </w:t>
      </w:r>
      <w:r>
        <w:rPr>
          <w:color w:val="231F20"/>
        </w:rPr>
        <w:t>. .</w:t>
        <w:tab/>
        <w:t>680</w:t>
        <w:tab/>
        <w:t>516</w:t>
        <w:tab/>
        <w:t>164</w:t>
      </w:r>
    </w:p>
    <w:p>
      <w:pPr>
        <w:pStyle w:val="BodyText"/>
        <w:spacing w:before="1"/>
        <w:rPr>
          <w:sz w:val="7"/>
        </w:rPr>
      </w:pPr>
    </w:p>
    <w:p>
      <w:pPr>
        <w:pStyle w:val="BodyText"/>
        <w:spacing w:line="249" w:lineRule="auto" w:before="24"/>
        <w:ind w:left="560" w:hanging="400"/>
      </w:pPr>
      <w:r>
        <w:rPr>
          <w:color w:val="231F20"/>
        </w:rPr>
        <w:t>(1) As discussed further in Note 7 to the Consolidated Financial Statements, 141 of Southwest’s and 30 of AirTran’s aircraft were pledged as collateral as of December 31, 2013.</w:t>
      </w:r>
    </w:p>
    <w:p>
      <w:pPr>
        <w:pStyle w:val="BodyText"/>
        <w:spacing w:line="249" w:lineRule="auto" w:before="174"/>
        <w:ind w:left="160" w:right="659" w:firstLine="490"/>
      </w:pPr>
      <w:r>
        <w:rPr>
          <w:color w:val="231F20"/>
        </w:rPr>
        <w:t>In total, at January 22, 2014, Southwest and AirTran firm orders, options, and purchase rights for the purchase of Boeing 737-700, 737-800, and 737 MAX aircraft were as follows:</w:t>
      </w:r>
    </w:p>
    <w:p>
      <w:pPr>
        <w:pStyle w:val="Heading3"/>
        <w:spacing w:before="174"/>
        <w:ind w:left="160"/>
      </w:pPr>
      <w:r>
        <w:rPr>
          <w:color w:val="231F20"/>
        </w:rPr>
        <w:t>737 FUTURE DELIVERY SCHEDULE</w:t>
      </w:r>
    </w:p>
    <w:p>
      <w:pPr>
        <w:spacing w:after="0"/>
        <w:sectPr>
          <w:type w:val="continuous"/>
          <w:pgSz w:w="11880" w:h="15480"/>
          <w:pgMar w:top="1200" w:bottom="280" w:left="1220" w:right="1260"/>
        </w:sectPr>
      </w:pPr>
    </w:p>
    <w:p>
      <w:pPr>
        <w:spacing w:line="200" w:lineRule="exact" w:before="169"/>
        <w:ind w:left="3177" w:right="-20" w:hanging="603"/>
        <w:jc w:val="left"/>
        <w:rPr>
          <w:b/>
          <w:sz w:val="20"/>
        </w:rPr>
      </w:pPr>
      <w:r>
        <w:rPr/>
        <w:pict>
          <v:line style="position:absolute;mso-position-horizontal-relative:page;mso-position-vertical-relative:paragraph;z-index:1816" from="164.800003pt,29.950001pt" to="297.400003pt,29.950001pt" stroked="true" strokeweight="1pt" strokecolor="#231f20">
            <v:stroke dashstyle="solid"/>
            <w10:wrap type="none"/>
          </v:line>
        </w:pict>
      </w:r>
      <w:r>
        <w:rPr>
          <w:b/>
          <w:color w:val="231F20"/>
          <w:sz w:val="20"/>
        </w:rPr>
        <w:t>The Boeing Company</w:t>
      </w:r>
      <w:r>
        <w:rPr>
          <w:b/>
          <w:color w:val="231F20"/>
          <w:w w:val="99"/>
          <w:sz w:val="20"/>
        </w:rPr>
        <w:t> </w:t>
      </w:r>
      <w:r>
        <w:rPr>
          <w:b/>
          <w:color w:val="231F20"/>
          <w:sz w:val="20"/>
        </w:rPr>
        <w:t>737 NG</w:t>
      </w:r>
    </w:p>
    <w:p>
      <w:pPr>
        <w:spacing w:line="200" w:lineRule="exact" w:before="169"/>
        <w:ind w:left="2386" w:right="1182" w:hanging="514"/>
        <w:jc w:val="left"/>
        <w:rPr>
          <w:b/>
          <w:sz w:val="20"/>
        </w:rPr>
      </w:pPr>
      <w:r>
        <w:rPr/>
        <w:br w:type="column"/>
      </w:r>
      <w:r>
        <w:rPr>
          <w:b/>
          <w:color w:val="231F20"/>
          <w:sz w:val="20"/>
        </w:rPr>
        <w:t>The Boeing Company 737 MAX</w:t>
      </w:r>
    </w:p>
    <w:p>
      <w:pPr>
        <w:spacing w:after="0" w:line="200" w:lineRule="exact"/>
        <w:jc w:val="left"/>
        <w:rPr>
          <w:sz w:val="20"/>
        </w:rPr>
        <w:sectPr>
          <w:type w:val="continuous"/>
          <w:pgSz w:w="11880" w:h="15480"/>
          <w:pgMar w:top="1200" w:bottom="280" w:left="1220" w:right="1260"/>
          <w:cols w:num="2" w:equalWidth="0">
            <w:col w:w="4430" w:space="40"/>
            <w:col w:w="4930"/>
          </w:cols>
        </w:sectPr>
      </w:pPr>
    </w:p>
    <w:p>
      <w:pPr>
        <w:spacing w:line="215" w:lineRule="exact" w:before="53"/>
        <w:ind w:left="0" w:right="120" w:firstLine="0"/>
        <w:jc w:val="right"/>
        <w:rPr>
          <w:b/>
          <w:sz w:val="20"/>
        </w:rPr>
      </w:pPr>
      <w:r>
        <w:rPr/>
        <w:pict>
          <v:line style="position:absolute;mso-position-horizontal-relative:page;mso-position-vertical-relative:paragraph;z-index:1840" from="359pt,1.485937pt" to="490pt,1.485937pt" stroked="true" strokeweight="1pt" strokecolor="#231f20">
            <v:stroke dashstyle="solid"/>
            <w10:wrap type="none"/>
          </v:line>
        </w:pict>
      </w:r>
      <w:r>
        <w:rPr>
          <w:b/>
          <w:color w:val="231F20"/>
          <w:sz w:val="20"/>
        </w:rPr>
        <w:t>-700</w:t>
      </w:r>
    </w:p>
    <w:p>
      <w:pPr>
        <w:spacing w:line="200" w:lineRule="exact" w:before="12"/>
        <w:ind w:left="2276" w:right="-19" w:firstLine="89"/>
        <w:jc w:val="left"/>
        <w:rPr>
          <w:b/>
          <w:sz w:val="20"/>
        </w:rPr>
      </w:pPr>
      <w:r>
        <w:rPr>
          <w:b/>
          <w:color w:val="231F20"/>
          <w:sz w:val="20"/>
        </w:rPr>
        <w:t>Firm Orders</w:t>
      </w:r>
    </w:p>
    <w:p>
      <w:pPr>
        <w:spacing w:line="215" w:lineRule="exact" w:before="53"/>
        <w:ind w:left="326" w:right="0" w:firstLine="0"/>
        <w:jc w:val="left"/>
        <w:rPr>
          <w:b/>
          <w:sz w:val="20"/>
        </w:rPr>
      </w:pPr>
      <w:r>
        <w:rPr/>
        <w:br w:type="column"/>
      </w:r>
      <w:r>
        <w:rPr>
          <w:b/>
          <w:color w:val="231F20"/>
          <w:sz w:val="20"/>
        </w:rPr>
        <w:t>-800</w:t>
      </w:r>
    </w:p>
    <w:p>
      <w:pPr>
        <w:spacing w:line="200" w:lineRule="exact" w:before="0"/>
        <w:ind w:left="293" w:right="0" w:firstLine="0"/>
        <w:jc w:val="left"/>
        <w:rPr>
          <w:b/>
          <w:sz w:val="20"/>
        </w:rPr>
      </w:pPr>
      <w:r>
        <w:rPr>
          <w:b/>
          <w:color w:val="231F20"/>
          <w:sz w:val="20"/>
        </w:rPr>
        <w:t>Firm</w:t>
      </w:r>
    </w:p>
    <w:p>
      <w:pPr>
        <w:tabs>
          <w:tab w:pos="1090" w:val="left" w:leader="none"/>
        </w:tabs>
        <w:spacing w:line="215" w:lineRule="exact" w:before="0"/>
        <w:ind w:left="204" w:right="0" w:firstLine="0"/>
        <w:jc w:val="left"/>
        <w:rPr>
          <w:b/>
          <w:sz w:val="20"/>
        </w:rPr>
      </w:pPr>
      <w:r>
        <w:rPr>
          <w:b/>
          <w:color w:val="231F20"/>
          <w:sz w:val="20"/>
        </w:rPr>
        <w:t>Orders</w:t>
        <w:tab/>
        <w:t>Options</w:t>
      </w:r>
    </w:p>
    <w:p>
      <w:pPr>
        <w:pStyle w:val="BodyText"/>
        <w:spacing w:before="11"/>
        <w:rPr>
          <w:b/>
          <w:sz w:val="21"/>
        </w:rPr>
      </w:pPr>
      <w:r>
        <w:rPr/>
        <w:br w:type="column"/>
      </w:r>
      <w:r>
        <w:rPr>
          <w:b/>
          <w:sz w:val="21"/>
        </w:rPr>
      </w:r>
    </w:p>
    <w:p>
      <w:pPr>
        <w:spacing w:line="215" w:lineRule="exact" w:before="0"/>
        <w:ind w:left="151" w:right="0" w:firstLine="0"/>
        <w:jc w:val="left"/>
        <w:rPr>
          <w:b/>
          <w:sz w:val="20"/>
        </w:rPr>
      </w:pPr>
      <w:r>
        <w:rPr>
          <w:b/>
          <w:color w:val="231F20"/>
          <w:sz w:val="20"/>
        </w:rPr>
        <w:t>Additional</w:t>
      </w:r>
    </w:p>
    <w:p>
      <w:pPr>
        <w:spacing w:line="215" w:lineRule="exact" w:before="0"/>
        <w:ind w:left="226" w:right="0" w:firstLine="0"/>
        <w:jc w:val="left"/>
        <w:rPr>
          <w:b/>
          <w:sz w:val="20"/>
        </w:rPr>
      </w:pPr>
      <w:r>
        <w:rPr>
          <w:b/>
          <w:color w:val="231F20"/>
          <w:sz w:val="20"/>
        </w:rPr>
        <w:t>-700 A/C</w:t>
      </w:r>
    </w:p>
    <w:p>
      <w:pPr>
        <w:spacing w:line="215" w:lineRule="exact" w:before="53"/>
        <w:ind w:left="204" w:right="0" w:firstLine="0"/>
        <w:jc w:val="center"/>
        <w:rPr>
          <w:b/>
          <w:sz w:val="20"/>
        </w:rPr>
      </w:pPr>
      <w:r>
        <w:rPr/>
        <w:br w:type="column"/>
      </w:r>
      <w:r>
        <w:rPr>
          <w:b/>
          <w:color w:val="231F20"/>
          <w:sz w:val="20"/>
        </w:rPr>
        <w:t>-7</w:t>
      </w:r>
    </w:p>
    <w:p>
      <w:pPr>
        <w:pStyle w:val="Heading3"/>
        <w:spacing w:line="200" w:lineRule="exact" w:before="12"/>
        <w:ind w:left="204"/>
        <w:jc w:val="center"/>
      </w:pPr>
      <w:r>
        <w:rPr>
          <w:color w:val="231F20"/>
        </w:rPr>
        <w:t>Firm Orders</w:t>
      </w:r>
    </w:p>
    <w:p>
      <w:pPr>
        <w:spacing w:line="215" w:lineRule="exact" w:before="53"/>
        <w:ind w:left="492" w:right="1129" w:firstLine="0"/>
        <w:jc w:val="center"/>
        <w:rPr>
          <w:b/>
          <w:sz w:val="20"/>
        </w:rPr>
      </w:pPr>
      <w:r>
        <w:rPr/>
        <w:br w:type="column"/>
      </w:r>
      <w:r>
        <w:rPr>
          <w:b/>
          <w:color w:val="231F20"/>
          <w:sz w:val="20"/>
        </w:rPr>
        <w:t>-8</w:t>
      </w:r>
    </w:p>
    <w:p>
      <w:pPr>
        <w:pStyle w:val="Heading3"/>
        <w:spacing w:line="200" w:lineRule="exact"/>
        <w:ind w:left="377"/>
      </w:pPr>
      <w:r>
        <w:rPr>
          <w:color w:val="231F20"/>
        </w:rPr>
        <w:t>Firm</w:t>
      </w:r>
    </w:p>
    <w:p>
      <w:pPr>
        <w:tabs>
          <w:tab w:pos="1149" w:val="left" w:leader="none"/>
        </w:tabs>
        <w:spacing w:line="215" w:lineRule="exact" w:before="0"/>
        <w:ind w:left="288" w:right="0" w:firstLine="0"/>
        <w:jc w:val="left"/>
        <w:rPr>
          <w:b/>
          <w:sz w:val="20"/>
        </w:rPr>
      </w:pPr>
      <w:r>
        <w:rPr>
          <w:b/>
          <w:color w:val="231F20"/>
          <w:sz w:val="20"/>
        </w:rPr>
        <w:t>Orders</w:t>
        <w:tab/>
        <w:t>Options</w:t>
      </w:r>
    </w:p>
    <w:p>
      <w:pPr>
        <w:pStyle w:val="BodyText"/>
        <w:rPr>
          <w:b/>
          <w:sz w:val="22"/>
        </w:rPr>
      </w:pPr>
      <w:r>
        <w:rPr/>
        <w:br w:type="column"/>
      </w:r>
      <w:r>
        <w:rPr>
          <w:b/>
          <w:sz w:val="22"/>
        </w:rPr>
      </w:r>
    </w:p>
    <w:p>
      <w:pPr>
        <w:pStyle w:val="BodyText"/>
        <w:spacing w:before="4"/>
        <w:rPr>
          <w:b/>
          <w:sz w:val="17"/>
        </w:rPr>
      </w:pPr>
    </w:p>
    <w:p>
      <w:pPr>
        <w:spacing w:before="0"/>
        <w:ind w:left="218" w:right="0" w:firstLine="0"/>
        <w:jc w:val="left"/>
        <w:rPr>
          <w:b/>
          <w:sz w:val="20"/>
        </w:rPr>
      </w:pPr>
      <w:r>
        <w:rPr>
          <w:b/>
          <w:color w:val="231F20"/>
          <w:sz w:val="20"/>
        </w:rPr>
        <w:t>Total</w:t>
      </w:r>
    </w:p>
    <w:p>
      <w:pPr>
        <w:spacing w:after="0"/>
        <w:jc w:val="left"/>
        <w:rPr>
          <w:sz w:val="20"/>
        </w:rPr>
        <w:sectPr>
          <w:type w:val="continuous"/>
          <w:pgSz w:w="11880" w:h="15480"/>
          <w:pgMar w:top="1200" w:bottom="280" w:left="1220" w:right="1260"/>
          <w:cols w:num="6" w:equalWidth="0">
            <w:col w:w="2888" w:space="40"/>
            <w:col w:w="1770" w:space="40"/>
            <w:col w:w="1064" w:space="40"/>
            <w:col w:w="816" w:space="40"/>
            <w:col w:w="1829" w:space="40"/>
            <w:col w:w="833"/>
          </w:cols>
        </w:sectPr>
      </w:pPr>
    </w:p>
    <w:p>
      <w:pPr>
        <w:spacing w:line="20" w:lineRule="exact"/>
        <w:ind w:left="2066" w:right="0" w:firstLine="0"/>
        <w:rPr>
          <w:sz w:val="2"/>
        </w:rPr>
      </w:pPr>
      <w:r>
        <w:rPr>
          <w:sz w:val="2"/>
        </w:rPr>
        <w:pict>
          <v:group style="width:187.2pt;height:1pt;mso-position-horizontal-relative:char;mso-position-vertical-relative:line" coordorigin="0,0" coordsize="3744,20">
            <v:line style="position:absolute" from="2662,10" to="3734,10" stroked="true" strokeweight="1pt" strokecolor="#231f20">
              <v:stroke dashstyle="solid"/>
            </v:line>
            <v:line style="position:absolute" from="10,10" to="822,10" stroked="true" strokeweight="1pt" strokecolor="#231f20">
              <v:stroke dashstyle="solid"/>
            </v:line>
            <v:line style="position:absolute" from="822,10" to="1762,10" stroked="true" strokeweight="1pt" strokecolor="#231f20">
              <v:stroke dashstyle="solid"/>
            </v:line>
            <v:line style="position:absolute" from="1762,10" to="2662,10" stroked="true" strokeweight="1pt" strokecolor="#231f20">
              <v:stroke dashstyle="solid"/>
            </v:line>
          </v:group>
        </w:pict>
      </w:r>
      <w:r>
        <w:rPr>
          <w:sz w:val="2"/>
        </w:rPr>
      </w:r>
      <w:r>
        <w:rPr>
          <w:spacing w:val="129"/>
          <w:sz w:val="2"/>
        </w:rPr>
        <w:t> </w:t>
      </w:r>
      <w:r>
        <w:rPr>
          <w:spacing w:val="129"/>
          <w:sz w:val="2"/>
        </w:rPr>
        <w:pict>
          <v:group style="width:40pt;height:1pt;mso-position-horizontal-relative:char;mso-position-vertical-relative:line" coordorigin="0,0" coordsize="800,20">
            <v:line style="position:absolute" from="10,10" to="790,10" stroked="true" strokeweight="1pt" strokecolor="#231f20">
              <v:stroke dashstyle="solid"/>
            </v:line>
          </v:group>
        </w:pict>
      </w:r>
      <w:r>
        <w:rPr>
          <w:spacing w:val="129"/>
          <w:sz w:val="2"/>
        </w:rPr>
      </w:r>
      <w:r>
        <w:rPr>
          <w:spacing w:val="125"/>
          <w:sz w:val="2"/>
        </w:rPr>
        <w:t> </w:t>
      </w:r>
      <w:r>
        <w:rPr>
          <w:spacing w:val="125"/>
          <w:sz w:val="2"/>
        </w:rPr>
        <w:pict>
          <v:group style="width:40pt;height:1pt;mso-position-horizontal-relative:char;mso-position-vertical-relative:line" coordorigin="0,0" coordsize="800,20">
            <v:line style="position:absolute" from="10,10" to="790,10" stroked="true" strokeweight="1pt" strokecolor="#231f20">
              <v:stroke dashstyle="solid"/>
            </v:line>
          </v:group>
        </w:pict>
      </w:r>
      <w:r>
        <w:rPr>
          <w:spacing w:val="125"/>
          <w:sz w:val="2"/>
        </w:rPr>
      </w:r>
      <w:r>
        <w:rPr>
          <w:spacing w:val="125"/>
          <w:sz w:val="2"/>
        </w:rPr>
        <w:t> </w:t>
      </w:r>
      <w:r>
        <w:rPr>
          <w:spacing w:val="125"/>
          <w:sz w:val="2"/>
        </w:rPr>
        <w:pict>
          <v:group style="width:38pt;height:1pt;mso-position-horizontal-relative:char;mso-position-vertical-relative:line" coordorigin="0,0" coordsize="760,20">
            <v:line style="position:absolute" from="10,10" to="750,10" stroked="true" strokeweight="1pt" strokecolor="#231f20">
              <v:stroke dashstyle="solid"/>
            </v:line>
          </v:group>
        </w:pict>
      </w:r>
      <w:r>
        <w:rPr>
          <w:spacing w:val="125"/>
          <w:sz w:val="2"/>
        </w:rPr>
      </w:r>
      <w:r>
        <w:rPr>
          <w:spacing w:val="130"/>
          <w:sz w:val="2"/>
        </w:rPr>
        <w:t> </w:t>
      </w:r>
      <w:r>
        <w:rPr>
          <w:spacing w:val="130"/>
          <w:sz w:val="2"/>
        </w:rPr>
        <w:pict>
          <v:group style="width:28pt;height:1pt;mso-position-horizontal-relative:char;mso-position-vertical-relative:line" coordorigin="0,0" coordsize="560,20">
            <v:line style="position:absolute" from="10,10" to="550,10" stroked="true" strokeweight="1pt" strokecolor="#231f20">
              <v:stroke dashstyle="solid"/>
            </v:line>
          </v:group>
        </w:pict>
      </w:r>
      <w:r>
        <w:rPr>
          <w:spacing w:val="130"/>
          <w:sz w:val="2"/>
        </w:rPr>
      </w:r>
    </w:p>
    <w:p>
      <w:pPr>
        <w:pStyle w:val="BodyText"/>
        <w:tabs>
          <w:tab w:pos="2431" w:val="left" w:leader="none"/>
          <w:tab w:pos="3627" w:val="left" w:leader="none"/>
          <w:tab w:pos="4427" w:val="left" w:leader="none"/>
          <w:tab w:pos="5599" w:val="left" w:leader="none"/>
          <w:tab w:pos="6439" w:val="left" w:leader="none"/>
          <w:tab w:pos="7379" w:val="left" w:leader="none"/>
          <w:tab w:pos="8279" w:val="left" w:leader="none"/>
          <w:tab w:pos="9079" w:val="left" w:leader="none"/>
        </w:tabs>
        <w:spacing w:before="69"/>
        <w:ind w:left="160"/>
      </w:pPr>
      <w:r>
        <w:rPr>
          <w:color w:val="231F20"/>
        </w:rPr>
        <w:t>2014 . . . . . . . . . . . . .</w:t>
      </w:r>
      <w:r>
        <w:rPr>
          <w:color w:val="231F20"/>
          <w:spacing w:val="16"/>
        </w:rPr>
        <w:t> </w:t>
      </w:r>
      <w:r>
        <w:rPr>
          <w:color w:val="231F20"/>
        </w:rPr>
        <w:t>. .</w:t>
        <w:tab/>
        <w:t>—</w:t>
        <w:tab/>
        <w:t>33</w:t>
        <w:tab/>
        <w:t>—</w:t>
        <w:tab/>
        <w:t>12</w:t>
        <w:tab/>
        <w:t>—</w:t>
        <w:tab/>
        <w:t>—</w:t>
        <w:tab/>
        <w:t>—</w:t>
        <w:tab/>
        <w:t>45</w:t>
      </w:r>
    </w:p>
    <w:p>
      <w:pPr>
        <w:pStyle w:val="BodyText"/>
        <w:tabs>
          <w:tab w:pos="2431" w:val="left" w:leader="none"/>
          <w:tab w:pos="3627" w:val="left" w:leader="none"/>
          <w:tab w:pos="4427" w:val="left" w:leader="none"/>
          <w:tab w:pos="5699" w:val="left" w:leader="none"/>
          <w:tab w:pos="6439" w:val="left" w:leader="none"/>
          <w:tab w:pos="7379" w:val="left" w:leader="none"/>
          <w:tab w:pos="8279" w:val="left" w:leader="none"/>
          <w:tab w:pos="9079" w:val="left" w:leader="none"/>
        </w:tabs>
        <w:spacing w:before="9"/>
        <w:ind w:left="160"/>
      </w:pPr>
      <w:r>
        <w:rPr>
          <w:color w:val="231F20"/>
        </w:rPr>
        <w:t>2015 . . . . . . . . . . . . .</w:t>
      </w:r>
      <w:r>
        <w:rPr>
          <w:color w:val="231F20"/>
          <w:spacing w:val="16"/>
        </w:rPr>
        <w:t> </w:t>
      </w:r>
      <w:r>
        <w:rPr>
          <w:color w:val="231F20"/>
        </w:rPr>
        <w:t>. .</w:t>
        <w:tab/>
        <w:t>—</w:t>
        <w:tab/>
        <w:t>19</w:t>
        <w:tab/>
        <w:t>—</w:t>
        <w:tab/>
        <w:t>5</w:t>
        <w:tab/>
        <w:t>—</w:t>
        <w:tab/>
        <w:t>—</w:t>
        <w:tab/>
        <w:t>—</w:t>
        <w:tab/>
        <w:t>24</w:t>
      </w:r>
    </w:p>
    <w:p>
      <w:pPr>
        <w:pStyle w:val="BodyText"/>
        <w:tabs>
          <w:tab w:pos="2531" w:val="left" w:leader="none"/>
          <w:tab w:pos="3527" w:val="left" w:leader="none"/>
          <w:tab w:pos="4527" w:val="left" w:leader="none"/>
          <w:tab w:pos="5499" w:val="left" w:leader="none"/>
          <w:tab w:pos="6439" w:val="left" w:leader="none"/>
          <w:tab w:pos="7379" w:val="left" w:leader="none"/>
          <w:tab w:pos="8279" w:val="left" w:leader="none"/>
          <w:tab w:pos="9079" w:val="left" w:leader="none"/>
        </w:tabs>
        <w:spacing w:before="9"/>
        <w:ind w:left="160"/>
      </w:pPr>
      <w:r>
        <w:rPr>
          <w:color w:val="231F20"/>
        </w:rPr>
        <w:t>2016 . . . . . . . . . . . . .</w:t>
      </w:r>
      <w:r>
        <w:rPr>
          <w:color w:val="231F20"/>
          <w:spacing w:val="16"/>
        </w:rPr>
        <w:t> </w:t>
      </w:r>
      <w:r>
        <w:rPr>
          <w:color w:val="231F20"/>
        </w:rPr>
        <w:t>. .</w:t>
        <w:tab/>
        <w:t>31</w:t>
        <w:tab/>
        <w:t>—</w:t>
        <w:tab/>
        <w:t>12</w:t>
        <w:tab/>
        <w:t>—</w:t>
        <w:tab/>
        <w:t>—</w:t>
        <w:tab/>
        <w:t>—</w:t>
        <w:tab/>
        <w:t>—</w:t>
        <w:tab/>
        <w:t>43</w:t>
      </w:r>
    </w:p>
    <w:p>
      <w:pPr>
        <w:pStyle w:val="BodyText"/>
        <w:tabs>
          <w:tab w:pos="2531" w:val="left" w:leader="none"/>
          <w:tab w:pos="3527" w:val="left" w:leader="none"/>
          <w:tab w:pos="4527" w:val="left" w:leader="none"/>
          <w:tab w:pos="5499" w:val="left" w:leader="none"/>
          <w:tab w:pos="6439" w:val="left" w:leader="none"/>
          <w:tab w:pos="7479" w:val="left" w:leader="none"/>
          <w:tab w:pos="8279" w:val="left" w:leader="none"/>
          <w:tab w:pos="9079" w:val="left" w:leader="none"/>
        </w:tabs>
        <w:spacing w:before="9"/>
        <w:ind w:left="160"/>
      </w:pPr>
      <w:r>
        <w:rPr>
          <w:color w:val="231F20"/>
        </w:rPr>
        <w:t>2017 . . . . . . . . . . . . .</w:t>
      </w:r>
      <w:r>
        <w:rPr>
          <w:color w:val="231F20"/>
          <w:spacing w:val="16"/>
        </w:rPr>
        <w:t> </w:t>
      </w:r>
      <w:r>
        <w:rPr>
          <w:color w:val="231F20"/>
        </w:rPr>
        <w:t>. .</w:t>
        <w:tab/>
        <w:t>15</w:t>
        <w:tab/>
        <w:t>—</w:t>
        <w:tab/>
        <w:t>12</w:t>
        <w:tab/>
        <w:t>—</w:t>
        <w:tab/>
        <w:t>—</w:t>
        <w:tab/>
        <w:t>14</w:t>
        <w:tab/>
        <w:t>—</w:t>
        <w:tab/>
        <w:t>41</w:t>
      </w:r>
    </w:p>
    <w:p>
      <w:pPr>
        <w:pStyle w:val="BodyText"/>
        <w:tabs>
          <w:tab w:pos="2531" w:val="left" w:leader="none"/>
          <w:tab w:pos="3527" w:val="left" w:leader="none"/>
          <w:tab w:pos="4527" w:val="left" w:leader="none"/>
          <w:tab w:pos="5499" w:val="left" w:leader="none"/>
          <w:tab w:pos="6439" w:val="left" w:leader="none"/>
          <w:tab w:pos="7479" w:val="left" w:leader="none"/>
          <w:tab w:pos="8279" w:val="left" w:leader="none"/>
          <w:tab w:pos="9079" w:val="left" w:leader="none"/>
        </w:tabs>
        <w:spacing w:before="9"/>
        <w:ind w:left="160"/>
      </w:pPr>
      <w:r>
        <w:rPr>
          <w:color w:val="231F20"/>
        </w:rPr>
        <w:t>2018 . . . . . . . . . . . . .</w:t>
      </w:r>
      <w:r>
        <w:rPr>
          <w:color w:val="231F20"/>
          <w:spacing w:val="16"/>
        </w:rPr>
        <w:t> </w:t>
      </w:r>
      <w:r>
        <w:rPr>
          <w:color w:val="231F20"/>
        </w:rPr>
        <w:t>. .</w:t>
        <w:tab/>
        <w:t>10</w:t>
        <w:tab/>
        <w:t>—</w:t>
        <w:tab/>
        <w:t>12</w:t>
        <w:tab/>
        <w:t>—</w:t>
        <w:tab/>
        <w:t>—</w:t>
        <w:tab/>
        <w:t>13</w:t>
        <w:tab/>
        <w:t>—</w:t>
        <w:tab/>
        <w:t>35</w:t>
      </w:r>
    </w:p>
    <w:p>
      <w:pPr>
        <w:pStyle w:val="BodyText"/>
        <w:tabs>
          <w:tab w:pos="2431" w:val="left" w:leader="none"/>
          <w:tab w:pos="3527" w:val="left" w:leader="none"/>
          <w:tab w:pos="4427" w:val="left" w:leader="none"/>
          <w:tab w:pos="5499" w:val="left" w:leader="none"/>
          <w:tab w:pos="6539" w:val="left" w:leader="none"/>
          <w:tab w:pos="7479" w:val="left" w:leader="none"/>
          <w:tab w:pos="8279" w:val="left" w:leader="none"/>
          <w:tab w:pos="9079" w:val="left" w:leader="none"/>
        </w:tabs>
        <w:spacing w:before="9"/>
        <w:ind w:left="160"/>
      </w:pPr>
      <w:r>
        <w:rPr>
          <w:color w:val="231F20"/>
        </w:rPr>
        <w:t>2019 . . . . . . . . . . . . .</w:t>
      </w:r>
      <w:r>
        <w:rPr>
          <w:color w:val="231F20"/>
          <w:spacing w:val="16"/>
        </w:rPr>
        <w:t> </w:t>
      </w:r>
      <w:r>
        <w:rPr>
          <w:color w:val="231F20"/>
        </w:rPr>
        <w:t>. .</w:t>
        <w:tab/>
        <w:t>—</w:t>
        <w:tab/>
        <w:t>—</w:t>
        <w:tab/>
        <w:t>—</w:t>
        <w:tab/>
        <w:t>—</w:t>
        <w:tab/>
        <w:t>15</w:t>
        <w:tab/>
        <w:t>10</w:t>
        <w:tab/>
        <w:t>—</w:t>
        <w:tab/>
        <w:t>25</w:t>
      </w:r>
    </w:p>
    <w:p>
      <w:pPr>
        <w:pStyle w:val="BodyText"/>
        <w:tabs>
          <w:tab w:pos="2431" w:val="left" w:leader="none"/>
          <w:tab w:pos="3527" w:val="left" w:leader="none"/>
          <w:tab w:pos="4427" w:val="left" w:leader="none"/>
          <w:tab w:pos="5499" w:val="left" w:leader="none"/>
          <w:tab w:pos="6539" w:val="left" w:leader="none"/>
          <w:tab w:pos="7479" w:val="left" w:leader="none"/>
          <w:tab w:pos="8279" w:val="left" w:leader="none"/>
          <w:tab w:pos="9079" w:val="left" w:leader="none"/>
        </w:tabs>
        <w:spacing w:before="9"/>
        <w:ind w:left="160"/>
      </w:pPr>
      <w:r>
        <w:rPr>
          <w:color w:val="231F20"/>
        </w:rPr>
        <w:t>2020 . . . . . . . . . . . . .</w:t>
      </w:r>
      <w:r>
        <w:rPr>
          <w:color w:val="231F20"/>
          <w:spacing w:val="16"/>
        </w:rPr>
        <w:t> </w:t>
      </w:r>
      <w:r>
        <w:rPr>
          <w:color w:val="231F20"/>
        </w:rPr>
        <w:t>. .</w:t>
        <w:tab/>
        <w:t>—</w:t>
        <w:tab/>
        <w:t>—</w:t>
        <w:tab/>
        <w:t>—</w:t>
        <w:tab/>
        <w:t>—</w:t>
        <w:tab/>
        <w:t>14</w:t>
        <w:tab/>
        <w:t>22</w:t>
        <w:tab/>
        <w:t>—</w:t>
        <w:tab/>
        <w:t>36</w:t>
      </w:r>
    </w:p>
    <w:p>
      <w:pPr>
        <w:pStyle w:val="BodyText"/>
        <w:tabs>
          <w:tab w:pos="2431" w:val="left" w:leader="none"/>
          <w:tab w:pos="3527" w:val="left" w:leader="none"/>
          <w:tab w:pos="4427" w:val="left" w:leader="none"/>
          <w:tab w:pos="5499" w:val="left" w:leader="none"/>
          <w:tab w:pos="6639" w:val="left" w:leader="none"/>
          <w:tab w:pos="7479" w:val="left" w:leader="none"/>
          <w:tab w:pos="8379" w:val="left" w:leader="none"/>
          <w:tab w:pos="9079" w:val="left" w:leader="none"/>
        </w:tabs>
        <w:spacing w:before="9"/>
        <w:ind w:left="160"/>
      </w:pPr>
      <w:r>
        <w:rPr>
          <w:color w:val="231F20"/>
        </w:rPr>
        <w:t>2021 . . . . . . . . . . . . .</w:t>
      </w:r>
      <w:r>
        <w:rPr>
          <w:color w:val="231F20"/>
          <w:spacing w:val="16"/>
        </w:rPr>
        <w:t> </w:t>
      </w:r>
      <w:r>
        <w:rPr>
          <w:color w:val="231F20"/>
        </w:rPr>
        <w:t>. .</w:t>
        <w:tab/>
        <w:t>—</w:t>
        <w:tab/>
        <w:t>—</w:t>
        <w:tab/>
        <w:t>—</w:t>
        <w:tab/>
        <w:t>—</w:t>
        <w:tab/>
        <w:t>1</w:t>
        <w:tab/>
        <w:t>33</w:t>
        <w:tab/>
        <w:t>18</w:t>
        <w:tab/>
        <w:t>52</w:t>
      </w:r>
    </w:p>
    <w:p>
      <w:pPr>
        <w:pStyle w:val="BodyText"/>
        <w:tabs>
          <w:tab w:pos="2431" w:val="left" w:leader="none"/>
          <w:tab w:pos="3527" w:val="left" w:leader="none"/>
          <w:tab w:pos="4427" w:val="left" w:leader="none"/>
          <w:tab w:pos="5499" w:val="left" w:leader="none"/>
          <w:tab w:pos="6439" w:val="left" w:leader="none"/>
          <w:tab w:pos="7479" w:val="left" w:leader="none"/>
          <w:tab w:pos="8379" w:val="left" w:leader="none"/>
          <w:tab w:pos="9079" w:val="left" w:leader="none"/>
        </w:tabs>
        <w:spacing w:before="9"/>
        <w:ind w:left="160"/>
      </w:pPr>
      <w:r>
        <w:rPr>
          <w:color w:val="231F20"/>
        </w:rPr>
        <w:t>2022 . . . . . . . . . . . . .</w:t>
      </w:r>
      <w:r>
        <w:rPr>
          <w:color w:val="231F20"/>
          <w:spacing w:val="16"/>
        </w:rPr>
        <w:t> </w:t>
      </w:r>
      <w:r>
        <w:rPr>
          <w:color w:val="231F20"/>
        </w:rPr>
        <w:t>. .</w:t>
        <w:tab/>
        <w:t>—</w:t>
        <w:tab/>
        <w:t>—</w:t>
        <w:tab/>
        <w:t>—</w:t>
        <w:tab/>
        <w:t>—</w:t>
        <w:tab/>
        <w:t>—</w:t>
        <w:tab/>
        <w:t>30</w:t>
        <w:tab/>
        <w:t>19</w:t>
        <w:tab/>
        <w:t>49</w:t>
      </w:r>
    </w:p>
    <w:p>
      <w:pPr>
        <w:pStyle w:val="BodyText"/>
        <w:tabs>
          <w:tab w:pos="2431" w:val="left" w:leader="none"/>
          <w:tab w:pos="3527" w:val="left" w:leader="none"/>
          <w:tab w:pos="4427" w:val="left" w:leader="none"/>
          <w:tab w:pos="5499" w:val="left" w:leader="none"/>
          <w:tab w:pos="6439" w:val="left" w:leader="none"/>
          <w:tab w:pos="7479" w:val="left" w:leader="none"/>
          <w:tab w:pos="8379" w:val="left" w:leader="none"/>
          <w:tab w:pos="9079" w:val="left" w:leader="none"/>
        </w:tabs>
        <w:spacing w:before="9"/>
        <w:ind w:left="160"/>
      </w:pPr>
      <w:r>
        <w:rPr>
          <w:color w:val="231F20"/>
        </w:rPr>
        <w:t>2023 . . . . . . . . . . . . .</w:t>
      </w:r>
      <w:r>
        <w:rPr>
          <w:color w:val="231F20"/>
          <w:spacing w:val="16"/>
        </w:rPr>
        <w:t> </w:t>
      </w:r>
      <w:r>
        <w:rPr>
          <w:color w:val="231F20"/>
        </w:rPr>
        <w:t>. .</w:t>
        <w:tab/>
        <w:t>—</w:t>
        <w:tab/>
        <w:t>—</w:t>
        <w:tab/>
        <w:t>—</w:t>
        <w:tab/>
        <w:t>—</w:t>
        <w:tab/>
        <w:t>—</w:t>
        <w:tab/>
        <w:t>24</w:t>
        <w:tab/>
        <w:t>23</w:t>
        <w:tab/>
        <w:t>47</w:t>
      </w:r>
    </w:p>
    <w:p>
      <w:pPr>
        <w:pStyle w:val="BodyText"/>
        <w:tabs>
          <w:tab w:pos="2431" w:val="left" w:leader="none"/>
          <w:tab w:pos="3527" w:val="left" w:leader="none"/>
          <w:tab w:pos="4427" w:val="left" w:leader="none"/>
          <w:tab w:pos="5499" w:val="left" w:leader="none"/>
          <w:tab w:pos="6439" w:val="left" w:leader="none"/>
          <w:tab w:pos="7479" w:val="left" w:leader="none"/>
          <w:tab w:pos="8379" w:val="left" w:leader="none"/>
          <w:tab w:pos="9079" w:val="left" w:leader="none"/>
        </w:tabs>
        <w:spacing w:before="9"/>
        <w:ind w:left="160"/>
      </w:pPr>
      <w:r>
        <w:rPr>
          <w:color w:val="231F20"/>
        </w:rPr>
        <w:t>2024 . . . . . . . . . . . . .</w:t>
      </w:r>
      <w:r>
        <w:rPr>
          <w:color w:val="231F20"/>
          <w:spacing w:val="16"/>
        </w:rPr>
        <w:t> </w:t>
      </w:r>
      <w:r>
        <w:rPr>
          <w:color w:val="231F20"/>
        </w:rPr>
        <w:t>. .</w:t>
        <w:tab/>
        <w:t>—</w:t>
        <w:tab/>
        <w:t>—</w:t>
        <w:tab/>
        <w:t>—</w:t>
        <w:tab/>
        <w:t>—</w:t>
        <w:tab/>
        <w:t>—</w:t>
        <w:tab/>
        <w:t>24</w:t>
        <w:tab/>
        <w:t>23</w:t>
        <w:tab/>
        <w:t>47</w:t>
      </w:r>
    </w:p>
    <w:p>
      <w:pPr>
        <w:pStyle w:val="BodyText"/>
        <w:tabs>
          <w:tab w:pos="2431" w:val="left" w:leader="none"/>
          <w:tab w:pos="3527" w:val="left" w:leader="none"/>
          <w:tab w:pos="4427" w:val="left" w:leader="none"/>
          <w:tab w:pos="5499" w:val="left" w:leader="none"/>
          <w:tab w:pos="6439" w:val="left" w:leader="none"/>
          <w:tab w:pos="7379" w:val="left" w:leader="none"/>
          <w:tab w:pos="8379" w:val="left" w:leader="none"/>
          <w:tab w:pos="9079" w:val="left" w:leader="none"/>
        </w:tabs>
        <w:spacing w:before="9"/>
        <w:ind w:left="160"/>
      </w:pPr>
      <w:r>
        <w:rPr>
          <w:color w:val="231F20"/>
        </w:rPr>
        <w:t>2025 . . . . . . . . . . . . .</w:t>
      </w:r>
      <w:r>
        <w:rPr>
          <w:color w:val="231F20"/>
          <w:spacing w:val="16"/>
        </w:rPr>
        <w:t> </w:t>
      </w:r>
      <w:r>
        <w:rPr>
          <w:color w:val="231F20"/>
        </w:rPr>
        <w:t>. .</w:t>
        <w:tab/>
        <w:t>—</w:t>
        <w:tab/>
        <w:t>—</w:t>
        <w:tab/>
        <w:t>—</w:t>
        <w:tab/>
        <w:t>—</w:t>
        <w:tab/>
        <w:t>—</w:t>
        <w:tab/>
        <w:t>—</w:t>
        <w:tab/>
        <w:t>36</w:t>
        <w:tab/>
        <w:t>36</w:t>
      </w:r>
    </w:p>
    <w:p>
      <w:pPr>
        <w:pStyle w:val="BodyText"/>
        <w:tabs>
          <w:tab w:pos="2431" w:val="left" w:leader="none"/>
          <w:tab w:pos="3527" w:val="left" w:leader="none"/>
          <w:tab w:pos="4427" w:val="left" w:leader="none"/>
          <w:tab w:pos="5499" w:val="left" w:leader="none"/>
          <w:tab w:pos="6439" w:val="left" w:leader="none"/>
          <w:tab w:pos="7379" w:val="left" w:leader="none"/>
          <w:tab w:pos="8379" w:val="left" w:leader="none"/>
          <w:tab w:pos="9079" w:val="left" w:leader="none"/>
        </w:tabs>
        <w:spacing w:before="9"/>
        <w:ind w:left="160"/>
      </w:pPr>
      <w:r>
        <w:rPr>
          <w:color w:val="231F20"/>
        </w:rPr>
        <w:t>2026 . . . . . . . . . . . . .</w:t>
      </w:r>
      <w:r>
        <w:rPr>
          <w:color w:val="231F20"/>
          <w:spacing w:val="16"/>
        </w:rPr>
        <w:t> </w:t>
      </w:r>
      <w:r>
        <w:rPr>
          <w:color w:val="231F20"/>
        </w:rPr>
        <w:t>. .</w:t>
        <w:tab/>
        <w:t>—</w:t>
        <w:tab/>
        <w:t>—</w:t>
        <w:tab/>
        <w:t>—</w:t>
        <w:tab/>
        <w:t>—</w:t>
        <w:tab/>
        <w:t>—</w:t>
        <w:tab/>
        <w:t>—</w:t>
        <w:tab/>
        <w:t>36</w:t>
        <w:tab/>
        <w:t>36</w:t>
      </w:r>
    </w:p>
    <w:p>
      <w:pPr>
        <w:pStyle w:val="BodyText"/>
        <w:tabs>
          <w:tab w:pos="2431" w:val="left" w:leader="none"/>
          <w:tab w:pos="3527" w:val="left" w:leader="none"/>
          <w:tab w:pos="4427" w:val="left" w:leader="none"/>
          <w:tab w:pos="5499" w:val="left" w:leader="none"/>
          <w:tab w:pos="6439" w:val="left" w:leader="none"/>
          <w:tab w:pos="7379" w:val="left" w:leader="none"/>
          <w:tab w:pos="8379" w:val="left" w:leader="none"/>
          <w:tab w:pos="9079" w:val="left" w:leader="none"/>
        </w:tabs>
        <w:spacing w:before="9"/>
        <w:ind w:left="160"/>
      </w:pPr>
      <w:r>
        <w:rPr/>
        <w:pict>
          <v:shape style="position:absolute;margin-left:164.800003pt;margin-top:13.535937pt;width:360.2pt;height:.1pt;mso-position-horizontal-relative:page;mso-position-vertical-relative:paragraph;z-index:1744;mso-wrap-distance-left:0;mso-wrap-distance-right:0" coordorigin="3296,271" coordsize="7204,0" path="m3296,271l9800,271,10500,271e" filled="false" stroked="true" strokeweight=".5pt" strokecolor="#231f20">
            <v:path arrowok="t"/>
            <v:stroke dashstyle="solid"/>
            <w10:wrap type="topAndBottom"/>
          </v:shape>
        </w:pict>
      </w:r>
      <w:r>
        <w:rPr>
          <w:color w:val="231F20"/>
        </w:rPr>
        <w:t>2027 . . . . . . . . . . . . .</w:t>
      </w:r>
      <w:r>
        <w:rPr>
          <w:color w:val="231F20"/>
          <w:spacing w:val="16"/>
        </w:rPr>
        <w:t> </w:t>
      </w:r>
      <w:r>
        <w:rPr>
          <w:color w:val="231F20"/>
        </w:rPr>
        <w:t>. .</w:t>
        <w:tab/>
        <w:t>—</w:t>
        <w:tab/>
        <w:t>—</w:t>
        <w:tab/>
        <w:t>—</w:t>
        <w:tab/>
        <w:t>—</w:t>
        <w:tab/>
        <w:t>—</w:t>
        <w:tab/>
        <w:t>—</w:t>
        <w:tab/>
        <w:t>36</w:t>
        <w:tab/>
        <w:t>36</w:t>
      </w:r>
    </w:p>
    <w:p>
      <w:pPr>
        <w:pStyle w:val="BodyText"/>
        <w:tabs>
          <w:tab w:pos="2531" w:val="left" w:leader="none"/>
          <w:tab w:pos="3627" w:val="left" w:leader="none"/>
          <w:tab w:pos="4527" w:val="left" w:leader="none"/>
          <w:tab w:pos="5599" w:val="left" w:leader="none"/>
          <w:tab w:pos="6539" w:val="left" w:leader="none"/>
          <w:tab w:pos="7404" w:val="left" w:leader="none"/>
          <w:tab w:pos="8279" w:val="left" w:leader="none"/>
          <w:tab w:pos="8979" w:val="left" w:leader="none"/>
        </w:tabs>
        <w:spacing w:before="24" w:after="26"/>
        <w:ind w:left="560"/>
      </w:pPr>
      <w:r>
        <w:rPr>
          <w:color w:val="231F20"/>
        </w:rPr>
        <w:t>Total   . . . . . . . .</w:t>
      </w:r>
      <w:r>
        <w:rPr>
          <w:color w:val="231F20"/>
          <w:spacing w:val="-7"/>
        </w:rPr>
        <w:t> </w:t>
      </w:r>
      <w:r>
        <w:rPr>
          <w:color w:val="231F20"/>
        </w:rPr>
        <w:t>. .</w:t>
        <w:tab/>
        <w:t>56(1)</w:t>
        <w:tab/>
        <w:t>52</w:t>
        <w:tab/>
        <w:t>36</w:t>
        <w:tab/>
        <w:t>17</w:t>
        <w:tab/>
        <w:t>30</w:t>
        <w:tab/>
        <w:t>170(2)</w:t>
        <w:tab/>
        <w:t>191</w:t>
        <w:tab/>
        <w:t>552</w:t>
      </w:r>
    </w:p>
    <w:p>
      <w:pPr>
        <w:pStyle w:val="BodyText"/>
        <w:spacing w:line="50" w:lineRule="exact"/>
        <w:ind w:left="2071"/>
        <w:rPr>
          <w:sz w:val="5"/>
        </w:rPr>
      </w:pPr>
      <w:r>
        <w:rPr>
          <w:position w:val="0"/>
          <w:sz w:val="5"/>
        </w:rPr>
        <w:pict>
          <v:group style="width:360.7pt;height:2.5pt;mso-position-horizontal-relative:char;mso-position-vertical-relative:line" coordorigin="0,0" coordsize="7214,50">
            <v:line style="position:absolute" from="5,5" to="817,5" stroked="true" strokeweight=".5pt" strokecolor="#231f20">
              <v:stroke dashstyle="solid"/>
            </v:line>
            <v:line style="position:absolute" from="5,45" to="817,45" stroked="true" strokeweight=".5pt" strokecolor="#231f20">
              <v:stroke dashstyle="solid"/>
            </v:line>
            <v:line style="position:absolute" from="817,5" to="1757,5" stroked="true" strokeweight=".5pt" strokecolor="#231f20">
              <v:stroke dashstyle="solid"/>
            </v:line>
            <v:line style="position:absolute" from="817,45" to="1757,45" stroked="true" strokeweight=".5pt" strokecolor="#231f20">
              <v:stroke dashstyle="solid"/>
            </v:line>
            <v:line style="position:absolute" from="1757,5" to="2657,5" stroked="true" strokeweight=".5pt" strokecolor="#231f20">
              <v:stroke dashstyle="solid"/>
            </v:line>
            <v:line style="position:absolute" from="1757,45" to="2657,45" stroked="true" strokeweight=".5pt" strokecolor="#231f20">
              <v:stroke dashstyle="solid"/>
            </v:line>
            <v:line style="position:absolute" from="2657,5" to="3729,5" stroked="true" strokeweight=".5pt" strokecolor="#231f20">
              <v:stroke dashstyle="solid"/>
            </v:line>
            <v:line style="position:absolute" from="2657,45" to="3729,45" stroked="true" strokeweight=".5pt" strokecolor="#231f20">
              <v:stroke dashstyle="solid"/>
            </v:line>
            <v:line style="position:absolute" from="3729,5" to="4669,5" stroked="true" strokeweight=".5pt" strokecolor="#231f20">
              <v:stroke dashstyle="solid"/>
            </v:line>
            <v:line style="position:absolute" from="3729,45" to="4669,45" stroked="true" strokeweight=".5pt" strokecolor="#231f20">
              <v:stroke dashstyle="solid"/>
            </v:line>
            <v:line style="position:absolute" from="4669,5" to="5609,5" stroked="true" strokeweight=".5pt" strokecolor="#231f20">
              <v:stroke dashstyle="solid"/>
            </v:line>
            <v:line style="position:absolute" from="4669,45" to="5609,45" stroked="true" strokeweight=".5pt" strokecolor="#231f20">
              <v:stroke dashstyle="solid"/>
            </v:line>
            <v:line style="position:absolute" from="5609,5" to="6509,5" stroked="true" strokeweight=".5pt" strokecolor="#231f20">
              <v:stroke dashstyle="solid"/>
            </v:line>
            <v:line style="position:absolute" from="5609,45" to="6509,45" stroked="true" strokeweight=".5pt" strokecolor="#231f20">
              <v:stroke dashstyle="solid"/>
            </v:line>
            <v:line style="position:absolute" from="6509,5" to="7209,5" stroked="true" strokeweight=".5pt" strokecolor="#231f20">
              <v:stroke dashstyle="solid"/>
            </v:line>
            <v:line style="position:absolute" from="6509,45" to="7209,45" stroked="true" strokeweight=".5pt" strokecolor="#231f20">
              <v:stroke dashstyle="solid"/>
            </v:line>
          </v:group>
        </w:pict>
      </w:r>
      <w:r>
        <w:rPr>
          <w:position w:val="0"/>
          <w:sz w:val="5"/>
        </w:rPr>
      </w:r>
    </w:p>
    <w:p>
      <w:pPr>
        <w:pStyle w:val="BodyText"/>
        <w:spacing w:before="7"/>
        <w:rPr>
          <w:sz w:val="9"/>
        </w:rPr>
      </w:pPr>
      <w:r>
        <w:rPr/>
        <w:pict>
          <v:line style="position:absolute;mso-position-horizontal-relative:page;mso-position-vertical-relative:paragraph;z-index:1792;mso-wrap-distance-left:0;mso-wrap-distance-right:0" from="69pt,7.75pt" to="117pt,7.75pt" stroked="true" strokeweight=".5pt" strokecolor="#231f20">
            <v:stroke dashstyle="solid"/>
            <w10:wrap type="topAndBottom"/>
          </v:line>
        </w:pict>
      </w:r>
    </w:p>
    <w:p>
      <w:pPr>
        <w:pStyle w:val="ListParagraph"/>
        <w:numPr>
          <w:ilvl w:val="0"/>
          <w:numId w:val="4"/>
        </w:numPr>
        <w:tabs>
          <w:tab w:pos="560" w:val="left" w:leader="none"/>
        </w:tabs>
        <w:spacing w:line="240" w:lineRule="auto" w:before="24" w:after="0"/>
        <w:ind w:left="560" w:right="0" w:hanging="400"/>
        <w:jc w:val="left"/>
        <w:rPr>
          <w:sz w:val="20"/>
        </w:rPr>
      </w:pPr>
      <w:r>
        <w:rPr>
          <w:color w:val="231F20"/>
          <w:sz w:val="20"/>
        </w:rPr>
        <w:t>The Company has flexibility to substitute 737-800s in lieu of 737-700 firm</w:t>
      </w:r>
      <w:r>
        <w:rPr>
          <w:color w:val="231F20"/>
          <w:spacing w:val="7"/>
          <w:sz w:val="20"/>
        </w:rPr>
        <w:t> </w:t>
      </w:r>
      <w:r>
        <w:rPr>
          <w:color w:val="231F20"/>
          <w:sz w:val="20"/>
        </w:rPr>
        <w:t>orders.</w:t>
      </w:r>
    </w:p>
    <w:p>
      <w:pPr>
        <w:pStyle w:val="ListParagraph"/>
        <w:numPr>
          <w:ilvl w:val="0"/>
          <w:numId w:val="4"/>
        </w:numPr>
        <w:tabs>
          <w:tab w:pos="560" w:val="left" w:leader="none"/>
        </w:tabs>
        <w:spacing w:line="240" w:lineRule="auto" w:before="9" w:after="0"/>
        <w:ind w:left="560" w:right="0" w:hanging="400"/>
        <w:jc w:val="left"/>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pStyle w:val="Heading3"/>
        <w:spacing w:before="182"/>
        <w:ind w:left="160"/>
      </w:pPr>
      <w:r>
        <w:rPr>
          <w:color w:val="231F20"/>
        </w:rPr>
        <w:t>Ground Facilities and Services</w:t>
      </w:r>
    </w:p>
    <w:p>
      <w:pPr>
        <w:pStyle w:val="BodyText"/>
        <w:spacing w:line="249" w:lineRule="auto" w:before="182"/>
        <w:ind w:left="160" w:right="121" w:firstLine="490"/>
      </w:pPr>
      <w:r>
        <w:rPr>
          <w:color w:val="231F20"/>
        </w:rPr>
        <w:t>Each of Southwest and AirTran either leases or pays a usage fee for terminal passenger service facilities at each of the airports it serves, to which various leasehold improvements have been made. Southwest leases the land and structures on a longterm basis for its aircraft maintenance centers (located at Dallas Love Field, Houston Hobby, Phoenix Sky Harbor, and Chicago Midway), its flight training center at Dallas Love Field (which houses nine 737 simulators), and its main corporate headquarters building, also located at Dallas Love Field. AirTran leases the land and structures on a longterm basis for its aircraft maintenance centers located at Hartsfield-</w:t>
      </w:r>
    </w:p>
    <w:p>
      <w:pPr>
        <w:spacing w:after="0" w:line="249" w:lineRule="auto"/>
        <w:sectPr>
          <w:type w:val="continuous"/>
          <w:pgSz w:w="11880" w:h="15480"/>
          <w:pgMar w:top="1200" w:bottom="280" w:left="1220" w:right="1260"/>
        </w:sectPr>
      </w:pPr>
    </w:p>
    <w:p>
      <w:pPr>
        <w:pStyle w:val="BodyText"/>
        <w:spacing w:line="249" w:lineRule="auto" w:before="73"/>
        <w:ind w:left="100" w:right="436"/>
      </w:pPr>
      <w:r>
        <w:rPr>
          <w:color w:val="231F20"/>
        </w:rPr>
        <w:t>Jackson Atlanta International Airport and Orlando International Airport. AirTran also leases a warehouse and engine repair facility in Atlanta. During 2013 the Company completed construction of a new, owned, energy- efficient, modern building designed to house certain operational and training functions, including its 24-hour operations. This additional headquarters building is located across the street from the Company’s current headquarters building on land owned by the Company. Construction was completed in late 2013.</w:t>
      </w:r>
    </w:p>
    <w:p>
      <w:pPr>
        <w:pStyle w:val="BodyText"/>
        <w:spacing w:line="249" w:lineRule="auto" w:before="172"/>
        <w:ind w:left="100" w:right="213" w:firstLine="490"/>
      </w:pPr>
      <w:r>
        <w:rPr>
          <w:color w:val="231F20"/>
        </w:rPr>
        <w:t>As </w:t>
      </w:r>
      <w:r>
        <w:rPr>
          <w:color w:val="231F20"/>
          <w:spacing w:val="-3"/>
        </w:rPr>
        <w:t>part </w:t>
      </w:r>
      <w:r>
        <w:rPr>
          <w:color w:val="231F20"/>
        </w:rPr>
        <w:t>of the </w:t>
      </w:r>
      <w:r>
        <w:rPr>
          <w:color w:val="231F20"/>
          <w:spacing w:val="-3"/>
        </w:rPr>
        <w:t>Company’s expected future international service, </w:t>
      </w:r>
      <w:r>
        <w:rPr>
          <w:color w:val="231F20"/>
        </w:rPr>
        <w:t>the </w:t>
      </w:r>
      <w:r>
        <w:rPr>
          <w:color w:val="231F20"/>
          <w:spacing w:val="-3"/>
        </w:rPr>
        <w:t>Company </w:t>
      </w:r>
      <w:r>
        <w:rPr>
          <w:color w:val="231F20"/>
        </w:rPr>
        <w:t>has </w:t>
      </w:r>
      <w:r>
        <w:rPr>
          <w:color w:val="231F20"/>
          <w:spacing w:val="-3"/>
        </w:rPr>
        <w:t>agreed with </w:t>
      </w:r>
      <w:r>
        <w:rPr>
          <w:color w:val="231F20"/>
        </w:rPr>
        <w:t>the </w:t>
      </w:r>
      <w:r>
        <w:rPr>
          <w:color w:val="231F20"/>
          <w:spacing w:val="-3"/>
        </w:rPr>
        <w:t>City of Houston</w:t>
      </w:r>
      <w:r>
        <w:rPr>
          <w:color w:val="231F20"/>
          <w:spacing w:val="-15"/>
        </w:rPr>
        <w:t> </w:t>
      </w:r>
      <w:r>
        <w:rPr>
          <w:color w:val="231F20"/>
          <w:spacing w:val="-3"/>
        </w:rPr>
        <w:t>(“City”)</w:t>
      </w:r>
      <w:r>
        <w:rPr>
          <w:color w:val="231F20"/>
          <w:spacing w:val="-15"/>
        </w:rPr>
        <w:t> </w:t>
      </w:r>
      <w:r>
        <w:rPr>
          <w:color w:val="231F20"/>
        </w:rPr>
        <w:t>to</w:t>
      </w:r>
      <w:r>
        <w:rPr>
          <w:color w:val="231F20"/>
          <w:spacing w:val="-15"/>
        </w:rPr>
        <w:t> </w:t>
      </w:r>
      <w:r>
        <w:rPr>
          <w:color w:val="231F20"/>
          <w:spacing w:val="-3"/>
        </w:rPr>
        <w:t>expand</w:t>
      </w:r>
      <w:r>
        <w:rPr>
          <w:color w:val="231F20"/>
          <w:spacing w:val="-15"/>
        </w:rPr>
        <w:t> </w:t>
      </w:r>
      <w:r>
        <w:rPr>
          <w:color w:val="231F20"/>
        </w:rPr>
        <w:t>the</w:t>
      </w:r>
      <w:r>
        <w:rPr>
          <w:color w:val="231F20"/>
          <w:spacing w:val="-15"/>
        </w:rPr>
        <w:t> </w:t>
      </w:r>
      <w:r>
        <w:rPr>
          <w:color w:val="231F20"/>
          <w:spacing w:val="-3"/>
        </w:rPr>
        <w:t>existing</w:t>
      </w:r>
      <w:r>
        <w:rPr>
          <w:color w:val="231F20"/>
          <w:spacing w:val="-15"/>
        </w:rPr>
        <w:t> </w:t>
      </w:r>
      <w:r>
        <w:rPr>
          <w:color w:val="231F20"/>
          <w:spacing w:val="-3"/>
        </w:rPr>
        <w:t>Houston</w:t>
      </w:r>
      <w:r>
        <w:rPr>
          <w:color w:val="231F20"/>
          <w:spacing w:val="-15"/>
        </w:rPr>
        <w:t> </w:t>
      </w:r>
      <w:r>
        <w:rPr>
          <w:color w:val="231F20"/>
          <w:spacing w:val="-3"/>
        </w:rPr>
        <w:t>Hobby</w:t>
      </w:r>
      <w:r>
        <w:rPr>
          <w:color w:val="231F20"/>
          <w:spacing w:val="-15"/>
        </w:rPr>
        <w:t> </w:t>
      </w:r>
      <w:r>
        <w:rPr>
          <w:color w:val="231F20"/>
          <w:spacing w:val="-3"/>
        </w:rPr>
        <w:t>airport</w:t>
      </w:r>
      <w:r>
        <w:rPr>
          <w:color w:val="231F20"/>
          <w:spacing w:val="-15"/>
        </w:rPr>
        <w:t> </w:t>
      </w:r>
      <w:r>
        <w:rPr>
          <w:color w:val="231F20"/>
          <w:spacing w:val="-3"/>
        </w:rPr>
        <w:t>facility.</w:t>
      </w:r>
      <w:r>
        <w:rPr>
          <w:color w:val="231F20"/>
          <w:spacing w:val="-15"/>
        </w:rPr>
        <w:t> </w:t>
      </w:r>
      <w:r>
        <w:rPr>
          <w:color w:val="231F20"/>
          <w:spacing w:val="-3"/>
        </w:rPr>
        <w:t>Pursuant</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spacing w:val="-3"/>
        </w:rPr>
        <w:t>agreement,</w:t>
      </w:r>
      <w:r>
        <w:rPr>
          <w:color w:val="231F20"/>
          <w:spacing w:val="-15"/>
        </w:rPr>
        <w:t> </w:t>
      </w:r>
      <w:r>
        <w:rPr>
          <w:color w:val="231F20"/>
        </w:rPr>
        <w:t>the</w:t>
      </w:r>
      <w:r>
        <w:rPr>
          <w:color w:val="231F20"/>
          <w:spacing w:val="-15"/>
        </w:rPr>
        <w:t> </w:t>
      </w:r>
      <w:r>
        <w:rPr>
          <w:color w:val="231F20"/>
          <w:spacing w:val="-3"/>
        </w:rPr>
        <w:t>Company</w:t>
      </w:r>
      <w:r>
        <w:rPr>
          <w:color w:val="231F20"/>
          <w:spacing w:val="-15"/>
        </w:rPr>
        <w:t> </w:t>
      </w:r>
      <w:r>
        <w:rPr>
          <w:color w:val="231F20"/>
          <w:spacing w:val="-3"/>
        </w:rPr>
        <w:t>and </w:t>
      </w:r>
      <w:r>
        <w:rPr>
          <w:color w:val="231F20"/>
        </w:rPr>
        <w:t>the </w:t>
      </w:r>
      <w:r>
        <w:rPr>
          <w:color w:val="231F20"/>
          <w:spacing w:val="-3"/>
        </w:rPr>
        <w:t>City have entered into </w:t>
      </w:r>
      <w:r>
        <w:rPr>
          <w:color w:val="231F20"/>
        </w:rPr>
        <w:t>an </w:t>
      </w:r>
      <w:r>
        <w:rPr>
          <w:color w:val="231F20"/>
          <w:spacing w:val="-3"/>
        </w:rPr>
        <w:t>Airport </w:t>
      </w:r>
      <w:r>
        <w:rPr>
          <w:color w:val="231F20"/>
        </w:rPr>
        <w:t>Use and </w:t>
      </w:r>
      <w:r>
        <w:rPr>
          <w:color w:val="231F20"/>
          <w:spacing w:val="-3"/>
        </w:rPr>
        <w:t>Lease Agreement </w:t>
      </w:r>
      <w:r>
        <w:rPr>
          <w:color w:val="231F20"/>
        </w:rPr>
        <w:t>to </w:t>
      </w:r>
      <w:r>
        <w:rPr>
          <w:color w:val="231F20"/>
          <w:spacing w:val="-3"/>
        </w:rPr>
        <w:t>control </w:t>
      </w:r>
      <w:r>
        <w:rPr>
          <w:color w:val="231F20"/>
        </w:rPr>
        <w:t>the </w:t>
      </w:r>
      <w:r>
        <w:rPr>
          <w:color w:val="231F20"/>
          <w:spacing w:val="-3"/>
        </w:rPr>
        <w:t>execution </w:t>
      </w:r>
      <w:r>
        <w:rPr>
          <w:color w:val="231F20"/>
        </w:rPr>
        <w:t>of </w:t>
      </w:r>
      <w:r>
        <w:rPr>
          <w:color w:val="231F20"/>
          <w:spacing w:val="-3"/>
        </w:rPr>
        <w:t>this expansion </w:t>
      </w:r>
      <w:r>
        <w:rPr>
          <w:color w:val="231F20"/>
        </w:rPr>
        <w:t>and </w:t>
      </w:r>
      <w:r>
        <w:rPr>
          <w:color w:val="231F20"/>
          <w:spacing w:val="-3"/>
        </w:rPr>
        <w:t>the financial terms thereof. This project provides </w:t>
      </w:r>
      <w:r>
        <w:rPr>
          <w:color w:val="231F20"/>
        </w:rPr>
        <w:t>for a new </w:t>
      </w:r>
      <w:r>
        <w:rPr>
          <w:color w:val="231F20"/>
          <w:spacing w:val="-3"/>
        </w:rPr>
        <w:t>five-gate international terminal with international passenger processing facilities, expansion </w:t>
      </w:r>
      <w:r>
        <w:rPr>
          <w:color w:val="231F20"/>
        </w:rPr>
        <w:t>of the </w:t>
      </w:r>
      <w:r>
        <w:rPr>
          <w:color w:val="231F20"/>
          <w:spacing w:val="-3"/>
        </w:rPr>
        <w:t>existing security checkpoint, </w:t>
      </w:r>
      <w:r>
        <w:rPr>
          <w:color w:val="231F20"/>
        </w:rPr>
        <w:t>and </w:t>
      </w:r>
      <w:r>
        <w:rPr>
          <w:color w:val="231F20"/>
          <w:spacing w:val="-3"/>
        </w:rPr>
        <w:t>upgrades </w:t>
      </w:r>
      <w:r>
        <w:rPr>
          <w:color w:val="231F20"/>
        </w:rPr>
        <w:t>to the </w:t>
      </w:r>
      <w:r>
        <w:rPr>
          <w:color w:val="231F20"/>
          <w:spacing w:val="-3"/>
        </w:rPr>
        <w:t>Southwest ticketing counter area.</w:t>
      </w:r>
      <w:r>
        <w:rPr>
          <w:color w:val="231F20"/>
          <w:spacing w:val="-12"/>
        </w:rPr>
        <w:t> </w:t>
      </w:r>
      <w:r>
        <w:rPr>
          <w:color w:val="231F20"/>
          <w:spacing w:val="-3"/>
        </w:rPr>
        <w:t>Construction</w:t>
      </w:r>
      <w:r>
        <w:rPr>
          <w:color w:val="231F20"/>
          <w:spacing w:val="-12"/>
        </w:rPr>
        <w:t> </w:t>
      </w:r>
      <w:r>
        <w:rPr>
          <w:color w:val="231F20"/>
          <w:spacing w:val="-3"/>
        </w:rPr>
        <w:t>began</w:t>
      </w:r>
      <w:r>
        <w:rPr>
          <w:color w:val="231F20"/>
          <w:spacing w:val="-12"/>
        </w:rPr>
        <w:t> </w:t>
      </w:r>
      <w:r>
        <w:rPr>
          <w:color w:val="231F20"/>
          <w:spacing w:val="-3"/>
        </w:rPr>
        <w:t>during</w:t>
      </w:r>
      <w:r>
        <w:rPr>
          <w:color w:val="231F20"/>
          <w:spacing w:val="-12"/>
        </w:rPr>
        <w:t> </w:t>
      </w:r>
      <w:r>
        <w:rPr>
          <w:color w:val="231F20"/>
          <w:spacing w:val="-3"/>
        </w:rPr>
        <w:t>third</w:t>
      </w:r>
      <w:r>
        <w:rPr>
          <w:color w:val="231F20"/>
          <w:spacing w:val="-12"/>
        </w:rPr>
        <w:t> </w:t>
      </w:r>
      <w:r>
        <w:rPr>
          <w:color w:val="231F20"/>
          <w:spacing w:val="-3"/>
        </w:rPr>
        <w:t>quarter</w:t>
      </w:r>
      <w:r>
        <w:rPr>
          <w:color w:val="231F20"/>
          <w:spacing w:val="-13"/>
        </w:rPr>
        <w:t> </w:t>
      </w:r>
      <w:r>
        <w:rPr>
          <w:color w:val="231F20"/>
          <w:spacing w:val="-3"/>
        </w:rPr>
        <w:t>2013</w:t>
      </w:r>
      <w:r>
        <w:rPr>
          <w:color w:val="231F20"/>
          <w:spacing w:val="-12"/>
        </w:rPr>
        <w:t> </w:t>
      </w:r>
      <w:r>
        <w:rPr>
          <w:color w:val="231F20"/>
        </w:rPr>
        <w:t>and</w:t>
      </w:r>
      <w:r>
        <w:rPr>
          <w:color w:val="231F20"/>
          <w:spacing w:val="-12"/>
        </w:rPr>
        <w:t> </w:t>
      </w:r>
      <w:r>
        <w:rPr>
          <w:color w:val="231F20"/>
        </w:rPr>
        <w:t>is</w:t>
      </w:r>
      <w:r>
        <w:rPr>
          <w:color w:val="231F20"/>
          <w:spacing w:val="-13"/>
        </w:rPr>
        <w:t> </w:t>
      </w:r>
      <w:r>
        <w:rPr>
          <w:color w:val="231F20"/>
          <w:spacing w:val="-3"/>
        </w:rPr>
        <w:t>estimated</w:t>
      </w:r>
      <w:r>
        <w:rPr>
          <w:color w:val="231F20"/>
          <w:spacing w:val="-12"/>
        </w:rPr>
        <w:t> </w:t>
      </w:r>
      <w:r>
        <w:rPr>
          <w:color w:val="231F20"/>
        </w:rPr>
        <w:t>to</w:t>
      </w:r>
      <w:r>
        <w:rPr>
          <w:color w:val="231F20"/>
          <w:spacing w:val="-12"/>
        </w:rPr>
        <w:t> </w:t>
      </w:r>
      <w:r>
        <w:rPr>
          <w:color w:val="231F20"/>
        </w:rPr>
        <w:t>be</w:t>
      </w:r>
      <w:r>
        <w:rPr>
          <w:color w:val="231F20"/>
          <w:spacing w:val="-13"/>
        </w:rPr>
        <w:t> </w:t>
      </w:r>
      <w:r>
        <w:rPr>
          <w:color w:val="231F20"/>
          <w:spacing w:val="-3"/>
        </w:rPr>
        <w:t>completed</w:t>
      </w:r>
      <w:r>
        <w:rPr>
          <w:color w:val="231F20"/>
          <w:spacing w:val="-12"/>
        </w:rPr>
        <w:t> </w:t>
      </w:r>
      <w:r>
        <w:rPr>
          <w:color w:val="231F20"/>
          <w:spacing w:val="-3"/>
        </w:rPr>
        <w:t>during</w:t>
      </w:r>
      <w:r>
        <w:rPr>
          <w:color w:val="231F20"/>
          <w:spacing w:val="-12"/>
        </w:rPr>
        <w:t> </w:t>
      </w:r>
      <w:r>
        <w:rPr>
          <w:color w:val="231F20"/>
        </w:rPr>
        <w:t>the</w:t>
      </w:r>
      <w:r>
        <w:rPr>
          <w:color w:val="231F20"/>
          <w:spacing w:val="-13"/>
        </w:rPr>
        <w:t> </w:t>
      </w:r>
      <w:r>
        <w:rPr>
          <w:color w:val="231F20"/>
          <w:spacing w:val="-3"/>
        </w:rPr>
        <w:t>second</w:t>
      </w:r>
      <w:r>
        <w:rPr>
          <w:color w:val="231F20"/>
          <w:spacing w:val="-12"/>
        </w:rPr>
        <w:t> </w:t>
      </w:r>
      <w:r>
        <w:rPr>
          <w:color w:val="231F20"/>
          <w:spacing w:val="-3"/>
        </w:rPr>
        <w:t>half</w:t>
      </w:r>
      <w:r>
        <w:rPr>
          <w:color w:val="231F20"/>
          <w:spacing w:val="-13"/>
        </w:rPr>
        <w:t> </w:t>
      </w:r>
      <w:r>
        <w:rPr>
          <w:color w:val="231F20"/>
        </w:rPr>
        <w:t>of</w:t>
      </w:r>
      <w:r>
        <w:rPr>
          <w:color w:val="231F20"/>
          <w:spacing w:val="-13"/>
        </w:rPr>
        <w:t> </w:t>
      </w:r>
      <w:r>
        <w:rPr>
          <w:color w:val="231F20"/>
          <w:spacing w:val="-3"/>
        </w:rPr>
        <w:t>2015. Additional information regarding this project </w:t>
      </w:r>
      <w:r>
        <w:rPr>
          <w:color w:val="231F20"/>
        </w:rPr>
        <w:t>is </w:t>
      </w:r>
      <w:r>
        <w:rPr>
          <w:color w:val="231F20"/>
          <w:spacing w:val="-3"/>
        </w:rPr>
        <w:t>provided below under “Management’s Discussion </w:t>
      </w:r>
      <w:r>
        <w:rPr>
          <w:color w:val="231F20"/>
        </w:rPr>
        <w:t>and </w:t>
      </w:r>
      <w:r>
        <w:rPr>
          <w:color w:val="231F20"/>
          <w:spacing w:val="-3"/>
        </w:rPr>
        <w:t>Analysis of Financial</w:t>
      </w:r>
      <w:r>
        <w:rPr>
          <w:color w:val="231F20"/>
          <w:spacing w:val="-18"/>
        </w:rPr>
        <w:t> </w:t>
      </w:r>
      <w:r>
        <w:rPr>
          <w:color w:val="231F20"/>
          <w:spacing w:val="-3"/>
        </w:rPr>
        <w:t>Condition</w:t>
      </w:r>
      <w:r>
        <w:rPr>
          <w:color w:val="231F20"/>
          <w:spacing w:val="-18"/>
        </w:rPr>
        <w:t> </w:t>
      </w:r>
      <w:r>
        <w:rPr>
          <w:color w:val="231F20"/>
        </w:rPr>
        <w:t>and</w:t>
      </w:r>
      <w:r>
        <w:rPr>
          <w:color w:val="231F20"/>
          <w:spacing w:val="-18"/>
        </w:rPr>
        <w:t> </w:t>
      </w:r>
      <w:r>
        <w:rPr>
          <w:color w:val="231F20"/>
          <w:spacing w:val="-3"/>
        </w:rPr>
        <w:t>Results</w:t>
      </w:r>
      <w:r>
        <w:rPr>
          <w:color w:val="231F20"/>
          <w:spacing w:val="-18"/>
        </w:rPr>
        <w:t> </w:t>
      </w:r>
      <w:r>
        <w:rPr>
          <w:color w:val="231F20"/>
        </w:rPr>
        <w:t>of</w:t>
      </w:r>
      <w:r>
        <w:rPr>
          <w:color w:val="231F20"/>
          <w:spacing w:val="-18"/>
        </w:rPr>
        <w:t> </w:t>
      </w:r>
      <w:r>
        <w:rPr>
          <w:color w:val="231F20"/>
          <w:spacing w:val="-3"/>
        </w:rPr>
        <w:t>Operations”</w:t>
      </w:r>
      <w:r>
        <w:rPr>
          <w:color w:val="231F20"/>
          <w:spacing w:val="-18"/>
        </w:rPr>
        <w:t> </w:t>
      </w:r>
      <w:r>
        <w:rPr>
          <w:color w:val="231F20"/>
        </w:rPr>
        <w:t>and</w:t>
      </w:r>
      <w:r>
        <w:rPr>
          <w:color w:val="231F20"/>
          <w:spacing w:val="-18"/>
        </w:rPr>
        <w:t> </w:t>
      </w:r>
      <w:r>
        <w:rPr>
          <w:color w:val="231F20"/>
        </w:rPr>
        <w:t>in</w:t>
      </w:r>
      <w:r>
        <w:rPr>
          <w:color w:val="231F20"/>
          <w:spacing w:val="-18"/>
        </w:rPr>
        <w:t> </w:t>
      </w:r>
      <w:r>
        <w:rPr>
          <w:color w:val="231F20"/>
          <w:spacing w:val="-3"/>
        </w:rPr>
        <w:t>Note</w:t>
      </w:r>
      <w:r>
        <w:rPr>
          <w:color w:val="231F20"/>
          <w:spacing w:val="-18"/>
        </w:rPr>
        <w:t> </w:t>
      </w:r>
      <w:r>
        <w:rPr>
          <w:color w:val="231F20"/>
        </w:rPr>
        <w:t>4</w:t>
      </w:r>
      <w:r>
        <w:rPr>
          <w:color w:val="231F20"/>
          <w:spacing w:val="-18"/>
        </w:rPr>
        <w:t> </w:t>
      </w:r>
      <w:r>
        <w:rPr>
          <w:color w:val="231F20"/>
        </w:rPr>
        <w:t>to</w:t>
      </w:r>
      <w:r>
        <w:rPr>
          <w:color w:val="231F20"/>
          <w:spacing w:val="-18"/>
        </w:rPr>
        <w:t> </w:t>
      </w:r>
      <w:r>
        <w:rPr>
          <w:color w:val="231F20"/>
        </w:rPr>
        <w:t>the</w:t>
      </w:r>
      <w:r>
        <w:rPr>
          <w:color w:val="231F20"/>
          <w:spacing w:val="-18"/>
        </w:rPr>
        <w:t> </w:t>
      </w:r>
      <w:r>
        <w:rPr>
          <w:color w:val="231F20"/>
          <w:spacing w:val="-3"/>
        </w:rPr>
        <w:t>Consolidated</w:t>
      </w:r>
      <w:r>
        <w:rPr>
          <w:color w:val="231F20"/>
          <w:spacing w:val="-18"/>
        </w:rPr>
        <w:t> </w:t>
      </w:r>
      <w:r>
        <w:rPr>
          <w:color w:val="231F20"/>
          <w:spacing w:val="-3"/>
        </w:rPr>
        <w:t>Financial</w:t>
      </w:r>
      <w:r>
        <w:rPr>
          <w:color w:val="231F20"/>
          <w:spacing w:val="-18"/>
        </w:rPr>
        <w:t> </w:t>
      </w:r>
      <w:r>
        <w:rPr>
          <w:color w:val="231F20"/>
          <w:spacing w:val="-3"/>
        </w:rPr>
        <w:t>Statements.</w:t>
      </w:r>
    </w:p>
    <w:p>
      <w:pPr>
        <w:pStyle w:val="BodyText"/>
        <w:spacing w:line="249" w:lineRule="auto" w:before="172"/>
        <w:ind w:left="100" w:right="130" w:firstLine="490"/>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In addition to significant improvements to the existing Terminal 1, the project includes the design and construction of a new five-gate Concourse A with an international processing facility. Construction is expected to begin in 2014. Additional information regarding this project is provided below under “Management’s Discussion and Analysis of Financial Condition and Results of Operations” and in Note 4 to the Consolidated Financial</w:t>
      </w:r>
      <w:r>
        <w:rPr>
          <w:color w:val="231F20"/>
          <w:spacing w:val="3"/>
        </w:rPr>
        <w:t> </w:t>
      </w:r>
      <w:r>
        <w:rPr>
          <w:color w:val="231F20"/>
        </w:rPr>
        <w:t>Statements.</w:t>
      </w:r>
    </w:p>
    <w:p>
      <w:pPr>
        <w:pStyle w:val="BodyText"/>
        <w:spacing w:line="249" w:lineRule="auto" w:before="172"/>
        <w:ind w:left="100" w:firstLine="490"/>
      </w:pPr>
      <w:r>
        <w:rPr>
          <w:color w:val="231F20"/>
        </w:rPr>
        <w:t>During 2008, the City of Dallas approved the Love Field Modernization Program (“LFMP”), a project to reconstruct Dallas Love Field with modern, convenient air travel facilities. Pursuant to a Program Development Agreement</w:t>
      </w:r>
      <w:r>
        <w:rPr>
          <w:color w:val="231F20"/>
          <w:spacing w:val="-13"/>
        </w:rPr>
        <w:t> </w:t>
      </w:r>
      <w:r>
        <w:rPr>
          <w:color w:val="231F20"/>
        </w:rPr>
        <w:t>with</w:t>
      </w:r>
      <w:r>
        <w:rPr>
          <w:color w:val="231F20"/>
          <w:spacing w:val="-14"/>
        </w:rPr>
        <w:t> </w:t>
      </w:r>
      <w:r>
        <w:rPr>
          <w:color w:val="231F20"/>
        </w:rPr>
        <w:t>the</w:t>
      </w:r>
      <w:r>
        <w:rPr>
          <w:color w:val="231F20"/>
          <w:spacing w:val="-13"/>
        </w:rPr>
        <w:t> </w:t>
      </w:r>
      <w:r>
        <w:rPr>
          <w:color w:val="231F20"/>
        </w:rPr>
        <w:t>City</w:t>
      </w:r>
      <w:r>
        <w:rPr>
          <w:color w:val="231F20"/>
          <w:spacing w:val="-14"/>
        </w:rPr>
        <w:t> </w:t>
      </w:r>
      <w:r>
        <w:rPr>
          <w:color w:val="231F20"/>
        </w:rPr>
        <w:t>of</w:t>
      </w:r>
      <w:r>
        <w:rPr>
          <w:color w:val="231F20"/>
          <w:spacing w:val="-13"/>
        </w:rPr>
        <w:t> </w:t>
      </w:r>
      <w:r>
        <w:rPr>
          <w:color w:val="231F20"/>
        </w:rPr>
        <w:t>Dallas</w:t>
      </w:r>
      <w:r>
        <w:rPr>
          <w:color w:val="231F20"/>
          <w:spacing w:val="-13"/>
        </w:rPr>
        <w:t> </w:t>
      </w:r>
      <w:r>
        <w:rPr>
          <w:color w:val="231F20"/>
        </w:rPr>
        <w:t>and</w:t>
      </w:r>
      <w:r>
        <w:rPr>
          <w:color w:val="231F20"/>
          <w:spacing w:val="-14"/>
        </w:rPr>
        <w:t> </w:t>
      </w:r>
      <w:r>
        <w:rPr>
          <w:color w:val="231F20"/>
        </w:rPr>
        <w:t>the</w:t>
      </w:r>
      <w:r>
        <w:rPr>
          <w:color w:val="231F20"/>
          <w:spacing w:val="-13"/>
        </w:rPr>
        <w:t> </w:t>
      </w:r>
      <w:r>
        <w:rPr>
          <w:color w:val="231F20"/>
        </w:rPr>
        <w:t>Love</w:t>
      </w:r>
      <w:r>
        <w:rPr>
          <w:color w:val="231F20"/>
          <w:spacing w:val="-13"/>
        </w:rPr>
        <w:t> </w:t>
      </w:r>
      <w:r>
        <w:rPr>
          <w:color w:val="231F20"/>
        </w:rPr>
        <w:t>Field</w:t>
      </w:r>
      <w:r>
        <w:rPr>
          <w:color w:val="231F20"/>
          <w:spacing w:val="-14"/>
        </w:rPr>
        <w:t> </w:t>
      </w:r>
      <w:r>
        <w:rPr>
          <w:color w:val="231F20"/>
        </w:rPr>
        <w:t>Airport</w:t>
      </w:r>
      <w:r>
        <w:rPr>
          <w:color w:val="231F20"/>
          <w:spacing w:val="-13"/>
        </w:rPr>
        <w:t> </w:t>
      </w:r>
      <w:r>
        <w:rPr>
          <w:color w:val="231F20"/>
        </w:rPr>
        <w:t>Modernization</w:t>
      </w:r>
      <w:r>
        <w:rPr>
          <w:color w:val="231F20"/>
          <w:spacing w:val="-14"/>
        </w:rPr>
        <w:t> </w:t>
      </w:r>
      <w:r>
        <w:rPr>
          <w:color w:val="231F20"/>
        </w:rPr>
        <w:t>Corporation</w:t>
      </w:r>
      <w:r>
        <w:rPr>
          <w:color w:val="231F20"/>
          <w:spacing w:val="-13"/>
        </w:rPr>
        <w:t> </w:t>
      </w:r>
      <w:r>
        <w:rPr>
          <w:color w:val="231F20"/>
        </w:rPr>
        <w:t>a</w:t>
      </w:r>
      <w:r>
        <w:rPr>
          <w:color w:val="231F20"/>
          <w:spacing w:val="-13"/>
        </w:rPr>
        <w:t> </w:t>
      </w:r>
      <w:r>
        <w:rPr>
          <w:color w:val="231F20"/>
        </w:rPr>
        <w:t>Texas</w:t>
      </w:r>
      <w:r>
        <w:rPr>
          <w:color w:val="231F20"/>
          <w:spacing w:val="-13"/>
        </w:rPr>
        <w:t> </w:t>
      </w:r>
      <w:r>
        <w:rPr>
          <w:color w:val="231F20"/>
        </w:rPr>
        <w:t>non-profit</w:t>
      </w:r>
      <w:r>
        <w:rPr>
          <w:color w:val="231F20"/>
          <w:spacing w:val="-13"/>
        </w:rPr>
        <w:t> </w:t>
      </w:r>
      <w:r>
        <w:rPr>
          <w:color w:val="231F20"/>
          <w:spacing w:val="-2"/>
        </w:rPr>
        <w:t>“local </w:t>
      </w:r>
      <w:r>
        <w:rPr>
          <w:color w:val="231F20"/>
        </w:rPr>
        <w:t>government corporation” established by the City of Dallas to act on the City of Dallas’ behalf to facilitate </w:t>
      </w:r>
      <w:r>
        <w:rPr>
          <w:color w:val="231F20"/>
          <w:spacing w:val="-2"/>
        </w:rPr>
        <w:t>the </w:t>
      </w:r>
      <w:r>
        <w:rPr>
          <w:color w:val="231F20"/>
        </w:rPr>
        <w:t>development</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LFMP),</w:t>
      </w:r>
      <w:r>
        <w:rPr>
          <w:color w:val="231F20"/>
          <w:spacing w:val="-16"/>
        </w:rPr>
        <w:t> </w:t>
      </w:r>
      <w:r>
        <w:rPr>
          <w:color w:val="231F20"/>
        </w:rPr>
        <w:t>the</w:t>
      </w:r>
      <w:r>
        <w:rPr>
          <w:color w:val="231F20"/>
          <w:spacing w:val="-15"/>
        </w:rPr>
        <w:t> </w:t>
      </w:r>
      <w:r>
        <w:rPr>
          <w:color w:val="231F20"/>
        </w:rPr>
        <w:t>Company</w:t>
      </w:r>
      <w:r>
        <w:rPr>
          <w:color w:val="231F20"/>
          <w:spacing w:val="-16"/>
        </w:rPr>
        <w:t> </w:t>
      </w:r>
      <w:r>
        <w:rPr>
          <w:color w:val="231F20"/>
        </w:rPr>
        <w:t>is</w:t>
      </w:r>
      <w:r>
        <w:rPr>
          <w:color w:val="231F20"/>
          <w:spacing w:val="-15"/>
        </w:rPr>
        <w:t> </w:t>
      </w:r>
      <w:r>
        <w:rPr>
          <w:color w:val="231F20"/>
        </w:rPr>
        <w:t>managing</w:t>
      </w:r>
      <w:r>
        <w:rPr>
          <w:color w:val="231F20"/>
          <w:spacing w:val="-16"/>
        </w:rPr>
        <w:t> </w:t>
      </w:r>
      <w:r>
        <w:rPr>
          <w:color w:val="231F20"/>
        </w:rPr>
        <w:t>this</w:t>
      </w:r>
      <w:r>
        <w:rPr>
          <w:color w:val="231F20"/>
          <w:spacing w:val="-15"/>
        </w:rPr>
        <w:t> </w:t>
      </w:r>
      <w:r>
        <w:rPr>
          <w:color w:val="231F20"/>
        </w:rPr>
        <w:t>project.</w:t>
      </w:r>
      <w:r>
        <w:rPr>
          <w:color w:val="231F20"/>
          <w:spacing w:val="-16"/>
        </w:rPr>
        <w:t> </w:t>
      </w:r>
      <w:r>
        <w:rPr>
          <w:color w:val="231F20"/>
        </w:rPr>
        <w:t>Major</w:t>
      </w:r>
      <w:r>
        <w:rPr>
          <w:color w:val="231F20"/>
          <w:spacing w:val="-15"/>
        </w:rPr>
        <w:t> </w:t>
      </w:r>
      <w:r>
        <w:rPr>
          <w:color w:val="231F20"/>
        </w:rPr>
        <w:t>construction</w:t>
      </w:r>
      <w:r>
        <w:rPr>
          <w:color w:val="231F20"/>
          <w:spacing w:val="-16"/>
        </w:rPr>
        <w:t> </w:t>
      </w:r>
      <w:r>
        <w:rPr>
          <w:color w:val="231F20"/>
        </w:rPr>
        <w:t>commenced</w:t>
      </w:r>
      <w:r>
        <w:rPr>
          <w:color w:val="231F20"/>
          <w:spacing w:val="-16"/>
        </w:rPr>
        <w:t> </w:t>
      </w:r>
      <w:r>
        <w:rPr>
          <w:color w:val="231F20"/>
        </w:rPr>
        <w:t>during</w:t>
      </w:r>
      <w:r>
        <w:rPr>
          <w:color w:val="231F20"/>
          <w:spacing w:val="-16"/>
        </w:rPr>
        <w:t> </w:t>
      </w:r>
      <w:r>
        <w:rPr>
          <w:color w:val="231F20"/>
        </w:rPr>
        <w:t>2010.</w:t>
      </w:r>
    </w:p>
    <w:p>
      <w:pPr>
        <w:pStyle w:val="BodyText"/>
        <w:spacing w:line="249" w:lineRule="auto" w:before="1"/>
        <w:ind w:left="100" w:right="97"/>
      </w:pPr>
      <w:r>
        <w:rPr>
          <w:color w:val="231F20"/>
        </w:rPr>
        <w:t>New</w:t>
      </w:r>
      <w:r>
        <w:rPr>
          <w:color w:val="231F20"/>
          <w:spacing w:val="-13"/>
        </w:rPr>
        <w:t> </w:t>
      </w:r>
      <w:r>
        <w:rPr>
          <w:color w:val="231F20"/>
        </w:rPr>
        <w:t>ticketing</w:t>
      </w:r>
      <w:r>
        <w:rPr>
          <w:color w:val="231F20"/>
          <w:spacing w:val="-13"/>
        </w:rPr>
        <w:t> </w:t>
      </w:r>
      <w:r>
        <w:rPr>
          <w:color w:val="231F20"/>
        </w:rPr>
        <w:t>and</w:t>
      </w:r>
      <w:r>
        <w:rPr>
          <w:color w:val="231F20"/>
          <w:spacing w:val="-13"/>
        </w:rPr>
        <w:t> </w:t>
      </w:r>
      <w:r>
        <w:rPr>
          <w:color w:val="231F20"/>
        </w:rPr>
        <w:t>checkin</w:t>
      </w:r>
      <w:r>
        <w:rPr>
          <w:color w:val="231F20"/>
          <w:spacing w:val="-13"/>
        </w:rPr>
        <w:t> </w:t>
      </w:r>
      <w:r>
        <w:rPr>
          <w:color w:val="231F20"/>
        </w:rPr>
        <w:t>areas</w:t>
      </w:r>
      <w:r>
        <w:rPr>
          <w:color w:val="231F20"/>
          <w:spacing w:val="-12"/>
        </w:rPr>
        <w:t> </w:t>
      </w:r>
      <w:r>
        <w:rPr>
          <w:color w:val="231F20"/>
        </w:rPr>
        <w:t>opened</w:t>
      </w:r>
      <w:r>
        <w:rPr>
          <w:color w:val="231F20"/>
          <w:spacing w:val="-13"/>
        </w:rPr>
        <w:t> </w:t>
      </w:r>
      <w:r>
        <w:rPr>
          <w:color w:val="231F20"/>
        </w:rPr>
        <w:t>during</w:t>
      </w:r>
      <w:r>
        <w:rPr>
          <w:color w:val="231F20"/>
          <w:spacing w:val="-13"/>
        </w:rPr>
        <w:t> </w:t>
      </w:r>
      <w:r>
        <w:rPr>
          <w:color w:val="231F20"/>
        </w:rPr>
        <w:t>fourth</w:t>
      </w:r>
      <w:r>
        <w:rPr>
          <w:color w:val="231F20"/>
          <w:spacing w:val="-13"/>
        </w:rPr>
        <w:t> </w:t>
      </w:r>
      <w:r>
        <w:rPr>
          <w:color w:val="231F20"/>
        </w:rPr>
        <w:t>quarter</w:t>
      </w:r>
      <w:r>
        <w:rPr>
          <w:color w:val="231F20"/>
          <w:spacing w:val="-12"/>
        </w:rPr>
        <w:t> </w:t>
      </w:r>
      <w:r>
        <w:rPr>
          <w:color w:val="231F20"/>
        </w:rPr>
        <w:t>2012,</w:t>
      </w:r>
      <w:r>
        <w:rPr>
          <w:color w:val="231F20"/>
          <w:spacing w:val="-13"/>
        </w:rPr>
        <w:t> </w:t>
      </w:r>
      <w:r>
        <w:rPr>
          <w:color w:val="231F20"/>
        </w:rPr>
        <w:t>and</w:t>
      </w:r>
      <w:r>
        <w:rPr>
          <w:color w:val="231F20"/>
          <w:spacing w:val="-13"/>
        </w:rPr>
        <w:t> </w:t>
      </w:r>
      <w:r>
        <w:rPr>
          <w:color w:val="231F20"/>
        </w:rPr>
        <w:t>11</w:t>
      </w:r>
      <w:r>
        <w:rPr>
          <w:color w:val="231F20"/>
          <w:spacing w:val="-13"/>
        </w:rPr>
        <w:t> </w:t>
      </w:r>
      <w:r>
        <w:rPr>
          <w:color w:val="231F20"/>
        </w:rPr>
        <w:t>new</w:t>
      </w:r>
      <w:r>
        <w:rPr>
          <w:color w:val="231F20"/>
          <w:spacing w:val="-13"/>
        </w:rPr>
        <w:t> </w:t>
      </w:r>
      <w:r>
        <w:rPr>
          <w:color w:val="231F20"/>
        </w:rPr>
        <w:t>gates</w:t>
      </w:r>
      <w:r>
        <w:rPr>
          <w:color w:val="231F20"/>
          <w:spacing w:val="-12"/>
        </w:rPr>
        <w:t> </w:t>
      </w:r>
      <w:r>
        <w:rPr>
          <w:color w:val="231F20"/>
        </w:rPr>
        <w:t>and</w:t>
      </w:r>
      <w:r>
        <w:rPr>
          <w:color w:val="231F20"/>
          <w:spacing w:val="-13"/>
        </w:rPr>
        <w:t> </w:t>
      </w:r>
      <w:r>
        <w:rPr>
          <w:color w:val="231F20"/>
        </w:rPr>
        <w:t>new</w:t>
      </w:r>
      <w:r>
        <w:rPr>
          <w:color w:val="231F20"/>
          <w:spacing w:val="-13"/>
        </w:rPr>
        <w:t> </w:t>
      </w:r>
      <w:r>
        <w:rPr>
          <w:color w:val="231F20"/>
        </w:rPr>
        <w:t>concessions</w:t>
      </w:r>
      <w:r>
        <w:rPr>
          <w:color w:val="231F20"/>
          <w:spacing w:val="-12"/>
        </w:rPr>
        <w:t> </w:t>
      </w:r>
      <w:r>
        <w:rPr>
          <w:color w:val="231F20"/>
          <w:spacing w:val="-2"/>
        </w:rPr>
        <w:t>opened </w:t>
      </w:r>
      <w:r>
        <w:rPr>
          <w:color w:val="231F20"/>
        </w:rPr>
        <w:t>in</w:t>
      </w:r>
      <w:r>
        <w:rPr>
          <w:color w:val="231F20"/>
          <w:spacing w:val="-13"/>
        </w:rPr>
        <w:t> </w:t>
      </w:r>
      <w:r>
        <w:rPr>
          <w:color w:val="231F20"/>
        </w:rPr>
        <w:t>April</w:t>
      </w:r>
      <w:r>
        <w:rPr>
          <w:color w:val="231F20"/>
          <w:spacing w:val="-12"/>
        </w:rPr>
        <w:t> </w:t>
      </w:r>
      <w:r>
        <w:rPr>
          <w:color w:val="231F20"/>
        </w:rPr>
        <w:t>2013.</w:t>
      </w:r>
      <w:r>
        <w:rPr>
          <w:color w:val="231F20"/>
          <w:spacing w:val="-13"/>
        </w:rPr>
        <w:t> </w:t>
      </w:r>
      <w:r>
        <w:rPr>
          <w:color w:val="231F20"/>
        </w:rPr>
        <w:t>Another</w:t>
      </w:r>
      <w:r>
        <w:rPr>
          <w:color w:val="231F20"/>
          <w:spacing w:val="-12"/>
        </w:rPr>
        <w:t> </w:t>
      </w:r>
      <w:r>
        <w:rPr>
          <w:color w:val="231F20"/>
        </w:rPr>
        <w:t>new</w:t>
      </w:r>
      <w:r>
        <w:rPr>
          <w:color w:val="231F20"/>
          <w:spacing w:val="-13"/>
        </w:rPr>
        <w:t> </w:t>
      </w:r>
      <w:r>
        <w:rPr>
          <w:color w:val="231F20"/>
        </w:rPr>
        <w:t>gate</w:t>
      </w:r>
      <w:r>
        <w:rPr>
          <w:color w:val="231F20"/>
          <w:spacing w:val="-12"/>
        </w:rPr>
        <w:t> </w:t>
      </w:r>
      <w:r>
        <w:rPr>
          <w:color w:val="231F20"/>
        </w:rPr>
        <w:t>opened</w:t>
      </w:r>
      <w:r>
        <w:rPr>
          <w:color w:val="231F20"/>
          <w:spacing w:val="-13"/>
        </w:rPr>
        <w:t> </w:t>
      </w:r>
      <w:r>
        <w:rPr>
          <w:color w:val="231F20"/>
        </w:rPr>
        <w:t>in</w:t>
      </w:r>
      <w:r>
        <w:rPr>
          <w:color w:val="231F20"/>
          <w:spacing w:val="-13"/>
        </w:rPr>
        <w:t> </w:t>
      </w:r>
      <w:r>
        <w:rPr>
          <w:color w:val="231F20"/>
        </w:rPr>
        <w:t>July</w:t>
      </w:r>
      <w:r>
        <w:rPr>
          <w:color w:val="231F20"/>
          <w:spacing w:val="-13"/>
        </w:rPr>
        <w:t> </w:t>
      </w:r>
      <w:r>
        <w:rPr>
          <w:color w:val="231F20"/>
        </w:rPr>
        <w:t>2013,</w:t>
      </w:r>
      <w:r>
        <w:rPr>
          <w:color w:val="231F20"/>
          <w:spacing w:val="-13"/>
        </w:rPr>
        <w:t> </w:t>
      </w:r>
      <w:r>
        <w:rPr>
          <w:color w:val="231F20"/>
        </w:rPr>
        <w:t>and</w:t>
      </w:r>
      <w:r>
        <w:rPr>
          <w:color w:val="231F20"/>
          <w:spacing w:val="-13"/>
        </w:rPr>
        <w:t> </w:t>
      </w:r>
      <w:r>
        <w:rPr>
          <w:color w:val="231F20"/>
        </w:rPr>
        <w:t>full</w:t>
      </w:r>
      <w:r>
        <w:rPr>
          <w:color w:val="231F20"/>
          <w:spacing w:val="-12"/>
        </w:rPr>
        <w:t> </w:t>
      </w:r>
      <w:r>
        <w:rPr>
          <w:color w:val="231F20"/>
        </w:rPr>
        <w:t>completion</w:t>
      </w:r>
      <w:r>
        <w:rPr>
          <w:color w:val="231F20"/>
          <w:spacing w:val="-13"/>
        </w:rPr>
        <w:t> </w:t>
      </w:r>
      <w:r>
        <w:rPr>
          <w:color w:val="231F20"/>
        </w:rPr>
        <w:t>of</w:t>
      </w:r>
      <w:r>
        <w:rPr>
          <w:color w:val="231F20"/>
          <w:spacing w:val="-12"/>
        </w:rPr>
        <w:t> </w:t>
      </w:r>
      <w:r>
        <w:rPr>
          <w:color w:val="231F20"/>
        </w:rPr>
        <w:t>the</w:t>
      </w:r>
      <w:r>
        <w:rPr>
          <w:color w:val="231F20"/>
          <w:spacing w:val="-12"/>
        </w:rPr>
        <w:t> </w:t>
      </w:r>
      <w:r>
        <w:rPr>
          <w:color w:val="231F20"/>
        </w:rPr>
        <w:t>project</w:t>
      </w:r>
      <w:r>
        <w:rPr>
          <w:color w:val="231F20"/>
          <w:spacing w:val="-12"/>
        </w:rPr>
        <w:t> </w:t>
      </w:r>
      <w:r>
        <w:rPr>
          <w:color w:val="231F20"/>
        </w:rPr>
        <w:t>is</w:t>
      </w:r>
      <w:r>
        <w:rPr>
          <w:color w:val="231F20"/>
          <w:spacing w:val="-12"/>
        </w:rPr>
        <w:t> </w:t>
      </w:r>
      <w:r>
        <w:rPr>
          <w:color w:val="231F20"/>
        </w:rPr>
        <w:t>scheduled</w:t>
      </w:r>
      <w:r>
        <w:rPr>
          <w:color w:val="231F20"/>
          <w:spacing w:val="-13"/>
        </w:rPr>
        <w:t> </w:t>
      </w:r>
      <w:r>
        <w:rPr>
          <w:color w:val="231F20"/>
        </w:rPr>
        <w:t>for</w:t>
      </w:r>
      <w:r>
        <w:rPr>
          <w:color w:val="231F20"/>
          <w:spacing w:val="-12"/>
        </w:rPr>
        <w:t> </w:t>
      </w:r>
      <w:r>
        <w:rPr>
          <w:color w:val="231F20"/>
        </w:rPr>
        <w:t>second</w:t>
      </w:r>
      <w:r>
        <w:rPr>
          <w:color w:val="231F20"/>
          <w:spacing w:val="-13"/>
        </w:rPr>
        <w:t> </w:t>
      </w:r>
      <w:r>
        <w:rPr>
          <w:color w:val="231F20"/>
        </w:rPr>
        <w:t>half 2014. The project consists of the complete replacement of gate facilities with a new 20-gate facility, including infrastructure, systems and equipment, aircraft parking apron, fueling system, roadways and terminal curbside, baggage</w:t>
      </w:r>
      <w:r>
        <w:rPr>
          <w:color w:val="231F20"/>
          <w:spacing w:val="-15"/>
        </w:rPr>
        <w:t> </w:t>
      </w:r>
      <w:r>
        <w:rPr>
          <w:color w:val="231F20"/>
        </w:rPr>
        <w:t>handling</w:t>
      </w:r>
      <w:r>
        <w:rPr>
          <w:color w:val="231F20"/>
          <w:spacing w:val="-16"/>
        </w:rPr>
        <w:t> </w:t>
      </w:r>
      <w:r>
        <w:rPr>
          <w:color w:val="231F20"/>
        </w:rPr>
        <w:t>systems,</w:t>
      </w:r>
      <w:r>
        <w:rPr>
          <w:color w:val="231F20"/>
          <w:spacing w:val="-16"/>
        </w:rPr>
        <w:t> </w:t>
      </w:r>
      <w:r>
        <w:rPr>
          <w:color w:val="231F20"/>
        </w:rPr>
        <w:t>passenger</w:t>
      </w:r>
      <w:r>
        <w:rPr>
          <w:color w:val="231F20"/>
          <w:spacing w:val="-15"/>
        </w:rPr>
        <w:t> </w:t>
      </w:r>
      <w:r>
        <w:rPr>
          <w:color w:val="231F20"/>
        </w:rPr>
        <w:t>loading</w:t>
      </w:r>
      <w:r>
        <w:rPr>
          <w:color w:val="231F20"/>
          <w:spacing w:val="-16"/>
        </w:rPr>
        <w:t> </w:t>
      </w:r>
      <w:r>
        <w:rPr>
          <w:color w:val="231F20"/>
        </w:rPr>
        <w:t>bridges</w:t>
      </w:r>
      <w:r>
        <w:rPr>
          <w:color w:val="231F20"/>
          <w:spacing w:val="-15"/>
        </w:rPr>
        <w:t> </w:t>
      </w:r>
      <w:r>
        <w:rPr>
          <w:color w:val="231F20"/>
        </w:rPr>
        <w:t>and</w:t>
      </w:r>
      <w:r>
        <w:rPr>
          <w:color w:val="231F20"/>
          <w:spacing w:val="-16"/>
        </w:rPr>
        <w:t> </w:t>
      </w:r>
      <w:r>
        <w:rPr>
          <w:color w:val="231F20"/>
        </w:rPr>
        <w:t>support</w:t>
      </w:r>
      <w:r>
        <w:rPr>
          <w:color w:val="231F20"/>
          <w:spacing w:val="-15"/>
        </w:rPr>
        <w:t> </w:t>
      </w:r>
      <w:r>
        <w:rPr>
          <w:color w:val="231F20"/>
        </w:rPr>
        <w:t>systems,</w:t>
      </w:r>
      <w:r>
        <w:rPr>
          <w:color w:val="231F20"/>
          <w:spacing w:val="-16"/>
        </w:rPr>
        <w:t> </w:t>
      </w:r>
      <w:r>
        <w:rPr>
          <w:color w:val="231F20"/>
        </w:rPr>
        <w:t>and</w:t>
      </w:r>
      <w:r>
        <w:rPr>
          <w:color w:val="231F20"/>
          <w:spacing w:val="-16"/>
        </w:rPr>
        <w:t> </w:t>
      </w:r>
      <w:r>
        <w:rPr>
          <w:color w:val="231F20"/>
        </w:rPr>
        <w:t>other</w:t>
      </w:r>
      <w:r>
        <w:rPr>
          <w:color w:val="231F20"/>
          <w:spacing w:val="-15"/>
        </w:rPr>
        <w:t> </w:t>
      </w:r>
      <w:r>
        <w:rPr>
          <w:color w:val="231F20"/>
        </w:rPr>
        <w:t>supporting</w:t>
      </w:r>
      <w:r>
        <w:rPr>
          <w:color w:val="231F20"/>
          <w:spacing w:val="-16"/>
        </w:rPr>
        <w:t> </w:t>
      </w:r>
      <w:r>
        <w:rPr>
          <w:color w:val="231F20"/>
        </w:rPr>
        <w:t>infrastructure.</w:t>
      </w:r>
      <w:r>
        <w:rPr>
          <w:color w:val="231F20"/>
          <w:spacing w:val="-16"/>
        </w:rPr>
        <w:t> </w:t>
      </w:r>
      <w:r>
        <w:rPr>
          <w:color w:val="231F20"/>
          <w:spacing w:val="-2"/>
        </w:rPr>
        <w:t>The </w:t>
      </w:r>
      <w:r>
        <w:rPr>
          <w:color w:val="231F20"/>
        </w:rPr>
        <w:t>LFMP</w:t>
      </w:r>
      <w:r>
        <w:rPr>
          <w:color w:val="231F20"/>
          <w:spacing w:val="-14"/>
        </w:rPr>
        <w:t> </w:t>
      </w:r>
      <w:r>
        <w:rPr>
          <w:color w:val="231F20"/>
        </w:rPr>
        <w:t>is</w:t>
      </w:r>
      <w:r>
        <w:rPr>
          <w:color w:val="231F20"/>
          <w:spacing w:val="-14"/>
        </w:rPr>
        <w:t> </w:t>
      </w:r>
      <w:r>
        <w:rPr>
          <w:color w:val="231F20"/>
        </w:rPr>
        <w:t>discussed</w:t>
      </w:r>
      <w:r>
        <w:rPr>
          <w:color w:val="231F20"/>
          <w:spacing w:val="-14"/>
        </w:rPr>
        <w:t> </w:t>
      </w:r>
      <w:r>
        <w:rPr>
          <w:color w:val="231F20"/>
        </w:rPr>
        <w:t>in</w:t>
      </w:r>
      <w:r>
        <w:rPr>
          <w:color w:val="231F20"/>
          <w:spacing w:val="-14"/>
        </w:rPr>
        <w:t> </w:t>
      </w:r>
      <w:r>
        <w:rPr>
          <w:color w:val="231F20"/>
        </w:rPr>
        <w:t>more</w:t>
      </w:r>
      <w:r>
        <w:rPr>
          <w:color w:val="231F20"/>
          <w:spacing w:val="-14"/>
        </w:rPr>
        <w:t> </w:t>
      </w:r>
      <w:r>
        <w:rPr>
          <w:color w:val="231F20"/>
        </w:rPr>
        <w:t>detail</w:t>
      </w:r>
      <w:r>
        <w:rPr>
          <w:color w:val="231F20"/>
          <w:spacing w:val="-14"/>
        </w:rPr>
        <w:t> </w:t>
      </w:r>
      <w:r>
        <w:rPr>
          <w:color w:val="231F20"/>
        </w:rPr>
        <w:t>below</w:t>
      </w:r>
      <w:r>
        <w:rPr>
          <w:color w:val="231F20"/>
          <w:spacing w:val="-14"/>
        </w:rPr>
        <w:t> </w:t>
      </w:r>
      <w:r>
        <w:rPr>
          <w:color w:val="231F20"/>
        </w:rPr>
        <w:t>under</w:t>
      </w:r>
      <w:r>
        <w:rPr>
          <w:color w:val="231F20"/>
          <w:spacing w:val="-14"/>
        </w:rPr>
        <w:t> </w:t>
      </w:r>
      <w:r>
        <w:rPr>
          <w:color w:val="231F20"/>
        </w:rPr>
        <w:t>“Management’s</w:t>
      </w:r>
      <w:r>
        <w:rPr>
          <w:color w:val="231F20"/>
          <w:spacing w:val="-14"/>
        </w:rPr>
        <w:t> </w:t>
      </w:r>
      <w:r>
        <w:rPr>
          <w:color w:val="231F20"/>
        </w:rPr>
        <w:t>Discussion</w:t>
      </w:r>
      <w:r>
        <w:rPr>
          <w:color w:val="231F20"/>
          <w:spacing w:val="-14"/>
        </w:rPr>
        <w:t> </w:t>
      </w:r>
      <w:r>
        <w:rPr>
          <w:color w:val="231F20"/>
        </w:rPr>
        <w:t>and</w:t>
      </w:r>
      <w:r>
        <w:rPr>
          <w:color w:val="231F20"/>
          <w:spacing w:val="-14"/>
        </w:rPr>
        <w:t> </w:t>
      </w:r>
      <w:r>
        <w:rPr>
          <w:color w:val="231F20"/>
        </w:rPr>
        <w:t>Analysis</w:t>
      </w:r>
      <w:r>
        <w:rPr>
          <w:color w:val="231F20"/>
          <w:spacing w:val="-14"/>
        </w:rPr>
        <w:t> </w:t>
      </w:r>
      <w:r>
        <w:rPr>
          <w:color w:val="231F20"/>
        </w:rPr>
        <w:t>of</w:t>
      </w:r>
      <w:r>
        <w:rPr>
          <w:color w:val="231F20"/>
          <w:spacing w:val="-14"/>
        </w:rPr>
        <w:t> </w:t>
      </w:r>
      <w:r>
        <w:rPr>
          <w:color w:val="231F20"/>
        </w:rPr>
        <w:t>Financial</w:t>
      </w:r>
      <w:r>
        <w:rPr>
          <w:color w:val="231F20"/>
          <w:spacing w:val="-14"/>
        </w:rPr>
        <w:t> </w:t>
      </w:r>
      <w:r>
        <w:rPr>
          <w:color w:val="231F20"/>
        </w:rPr>
        <w:t>Condition</w:t>
      </w:r>
      <w:r>
        <w:rPr>
          <w:color w:val="231F20"/>
          <w:spacing w:val="-14"/>
        </w:rPr>
        <w:t> </w:t>
      </w:r>
      <w:r>
        <w:rPr>
          <w:color w:val="231F20"/>
          <w:spacing w:val="-2"/>
        </w:rPr>
        <w:t>and </w:t>
      </w:r>
      <w:r>
        <w:rPr>
          <w:color w:val="231F20"/>
        </w:rPr>
        <w:t>Results</w:t>
      </w:r>
      <w:r>
        <w:rPr>
          <w:color w:val="231F20"/>
          <w:spacing w:val="-15"/>
        </w:rPr>
        <w:t> </w:t>
      </w:r>
      <w:r>
        <w:rPr>
          <w:color w:val="231F20"/>
        </w:rPr>
        <w:t>of</w:t>
      </w:r>
      <w:r>
        <w:rPr>
          <w:color w:val="231F20"/>
          <w:spacing w:val="-15"/>
        </w:rPr>
        <w:t> </w:t>
      </w:r>
      <w:r>
        <w:rPr>
          <w:color w:val="231F20"/>
        </w:rPr>
        <w:t>Operations”</w:t>
      </w:r>
      <w:r>
        <w:rPr>
          <w:color w:val="231F20"/>
          <w:spacing w:val="-15"/>
        </w:rPr>
        <w:t> </w:t>
      </w:r>
      <w:r>
        <w:rPr>
          <w:color w:val="231F20"/>
        </w:rPr>
        <w:t>and</w:t>
      </w:r>
      <w:r>
        <w:rPr>
          <w:color w:val="231F20"/>
          <w:spacing w:val="-15"/>
        </w:rPr>
        <w:t> </w:t>
      </w:r>
      <w:r>
        <w:rPr>
          <w:color w:val="231F20"/>
        </w:rPr>
        <w:t>in</w:t>
      </w:r>
      <w:r>
        <w:rPr>
          <w:color w:val="231F20"/>
          <w:spacing w:val="-15"/>
        </w:rPr>
        <w:t> </w:t>
      </w:r>
      <w:r>
        <w:rPr>
          <w:color w:val="231F20"/>
        </w:rPr>
        <w:t>Note</w:t>
      </w:r>
      <w:r>
        <w:rPr>
          <w:color w:val="231F20"/>
          <w:spacing w:val="-15"/>
        </w:rPr>
        <w:t> </w:t>
      </w:r>
      <w:r>
        <w:rPr>
          <w:color w:val="231F20"/>
        </w:rPr>
        <w:t>4</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Consolidated</w:t>
      </w:r>
      <w:r>
        <w:rPr>
          <w:color w:val="231F20"/>
          <w:spacing w:val="-15"/>
        </w:rPr>
        <w:t> </w:t>
      </w:r>
      <w:r>
        <w:rPr>
          <w:color w:val="231F20"/>
        </w:rPr>
        <w:t>Financial</w:t>
      </w:r>
      <w:r>
        <w:rPr>
          <w:color w:val="231F20"/>
          <w:spacing w:val="-15"/>
        </w:rPr>
        <w:t> </w:t>
      </w:r>
      <w:r>
        <w:rPr>
          <w:color w:val="231F20"/>
        </w:rPr>
        <w:t>Statements.</w:t>
      </w:r>
    </w:p>
    <w:p>
      <w:pPr>
        <w:pStyle w:val="BodyText"/>
        <w:spacing w:line="249" w:lineRule="auto" w:before="172"/>
        <w:ind w:left="100" w:right="163" w:firstLine="490"/>
      </w:pPr>
      <w:r>
        <w:rPr>
          <w:color w:val="231F20"/>
        </w:rPr>
        <w:t>As of December 31, 2013, the Company operated seven Customer Support and Services call centers. The centers located in Atlanta, San Antonio, Chicago, Albuquerque, and Oklahoma City occupy leased space. The Company owns its Houston and Phoenix centers. The Company opened its new expanded Customer Support and Services center in San Antonio in June 2012, replacing an older facility and creating more than 300 local jobs. In 2013 the Company consolidated its former Atlanta, Savannah, and Carrollton, Georgia call centers into a new Atlanta call center, located in leased space.</w:t>
      </w:r>
    </w:p>
    <w:p>
      <w:pPr>
        <w:pStyle w:val="BodyText"/>
        <w:spacing w:line="249" w:lineRule="auto" w:before="172"/>
        <w:ind w:left="100" w:right="97" w:firstLine="490"/>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tabs>
          <w:tab w:pos="1179" w:val="left" w:leader="none"/>
        </w:tabs>
        <w:spacing w:before="172"/>
        <w:ind w:left="100" w:right="0" w:firstLine="0"/>
        <w:jc w:val="left"/>
        <w:rPr>
          <w:b/>
          <w:i/>
          <w:sz w:val="20"/>
        </w:rPr>
      </w:pPr>
      <w:bookmarkStart w:name="Item 3.   Legal Proceedings" w:id="7"/>
      <w:bookmarkEnd w:id="7"/>
      <w:r>
        <w:rPr/>
      </w:r>
      <w:r>
        <w:rPr>
          <w:b/>
          <w:color w:val="231F20"/>
          <w:sz w:val="20"/>
        </w:rPr>
        <w:t>Item</w:t>
      </w:r>
      <w:r>
        <w:rPr>
          <w:b/>
          <w:color w:val="231F20"/>
          <w:spacing w:val="1"/>
          <w:sz w:val="20"/>
        </w:rPr>
        <w:t> </w:t>
      </w:r>
      <w:r>
        <w:rPr>
          <w:b/>
          <w:color w:val="231F20"/>
          <w:sz w:val="20"/>
        </w:rPr>
        <w:t>3</w:t>
      </w:r>
      <w:r>
        <w:rPr>
          <w:b/>
          <w:i/>
          <w:color w:val="231F20"/>
          <w:sz w:val="20"/>
        </w:rPr>
        <w:t>.</w:t>
        <w:tab/>
        <w:t>Legal Proceedings</w:t>
      </w:r>
    </w:p>
    <w:p>
      <w:pPr>
        <w:pStyle w:val="BodyText"/>
        <w:spacing w:line="249" w:lineRule="auto" w:before="181"/>
        <w:ind w:left="100" w:right="103" w:firstLine="490"/>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w:t>
      </w:r>
      <w:r>
        <w:rPr>
          <w:color w:val="231F20"/>
          <w:spacing w:val="9"/>
        </w:rPr>
        <w:t> </w:t>
      </w:r>
      <w:r>
        <w:rPr>
          <w:color w:val="231F20"/>
        </w:rPr>
        <w:t>for</w:t>
      </w:r>
    </w:p>
    <w:p>
      <w:pPr>
        <w:spacing w:after="0" w:line="249" w:lineRule="auto"/>
        <w:sectPr>
          <w:pgSz w:w="11880" w:h="15480"/>
          <w:pgMar w:header="0" w:footer="1253" w:top="1240" w:bottom="1440" w:left="1280" w:right="1280"/>
        </w:sectPr>
      </w:pPr>
    </w:p>
    <w:p>
      <w:pPr>
        <w:pStyle w:val="BodyText"/>
        <w:spacing w:line="249" w:lineRule="auto" w:before="73"/>
        <w:ind w:left="100" w:right="103"/>
      </w:pPr>
      <w:r>
        <w:rPr>
          <w:color w:val="231F20"/>
        </w:rPr>
        <w:t>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AirTran filed a motion to exclude the class certification reports of plaintiffs’ expert. The Court has not yet ruled on the class certification motion or the related motion to exclude plaintiffs’ expert. The parties engaged in extensive discovery, which was extended due to discovery disputes between plaintiffs and Delta, but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have delayed further briefing on summary judgment. On November 15, 2013, the Court entered an order referring the case to mediation, and the mediation is scheduled to begin on February 4, 2014. On December 2, 2013, plaintiffs moved for discovery sanctions against Delta, and the Court has suspended further briefing on the motions for class certification, to exclude plaintiffs’ expert on class certification, and for summary judgment until the sanctions motion is resolved. AirTran denies all allegations of wrongdoing, including those in the Consolidated Amended Complaint, and intends to defend vigorously any and all such</w:t>
      </w:r>
      <w:r>
        <w:rPr>
          <w:color w:val="231F20"/>
          <w:spacing w:val="4"/>
        </w:rPr>
        <w:t> </w:t>
      </w:r>
      <w:r>
        <w:rPr>
          <w:color w:val="231F20"/>
        </w:rPr>
        <w:t>allegations.</w:t>
      </w:r>
    </w:p>
    <w:p>
      <w:pPr>
        <w:pStyle w:val="BodyText"/>
        <w:spacing w:line="249" w:lineRule="auto" w:before="181"/>
        <w:ind w:left="100" w:right="284" w:firstLine="490"/>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line="249" w:lineRule="auto" w:before="181"/>
        <w:ind w:left="100" w:right="213" w:firstLine="490"/>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tabs>
          <w:tab w:pos="1179" w:val="left" w:leader="none"/>
        </w:tabs>
        <w:spacing w:before="181"/>
        <w:ind w:left="100" w:right="0" w:firstLine="0"/>
        <w:jc w:val="left"/>
        <w:rPr>
          <w:b/>
          <w:i/>
          <w:sz w:val="20"/>
        </w:rPr>
      </w:pPr>
      <w:bookmarkStart w:name="Item 4.   Mine Safety Disclosures" w:id="8"/>
      <w:bookmarkEnd w:id="8"/>
      <w:r>
        <w:rPr/>
      </w:r>
      <w:r>
        <w:rPr>
          <w:b/>
          <w:color w:val="231F20"/>
          <w:sz w:val="20"/>
        </w:rPr>
        <w:t>Item</w:t>
      </w:r>
      <w:r>
        <w:rPr>
          <w:b/>
          <w:color w:val="231F20"/>
          <w:spacing w:val="1"/>
          <w:sz w:val="20"/>
        </w:rPr>
        <w:t> </w:t>
      </w:r>
      <w:r>
        <w:rPr>
          <w:b/>
          <w:color w:val="231F20"/>
          <w:sz w:val="20"/>
        </w:rPr>
        <w:t>4.</w:t>
        <w:tab/>
      </w:r>
      <w:r>
        <w:rPr>
          <w:b/>
          <w:i/>
          <w:color w:val="231F20"/>
          <w:sz w:val="20"/>
        </w:rPr>
        <w:t>Mine Safety</w:t>
      </w:r>
      <w:r>
        <w:rPr>
          <w:b/>
          <w:i/>
          <w:color w:val="231F20"/>
          <w:spacing w:val="1"/>
          <w:sz w:val="20"/>
        </w:rPr>
        <w:t> </w:t>
      </w:r>
      <w:r>
        <w:rPr>
          <w:b/>
          <w:i/>
          <w:color w:val="231F20"/>
          <w:sz w:val="20"/>
        </w:rPr>
        <w:t>Disclosures</w:t>
      </w:r>
    </w:p>
    <w:p>
      <w:pPr>
        <w:pStyle w:val="BodyText"/>
        <w:spacing w:before="190"/>
        <w:ind w:left="590"/>
      </w:pPr>
      <w:r>
        <w:rPr>
          <w:color w:val="231F20"/>
        </w:rPr>
        <w:t>Not applicable.</w:t>
      </w:r>
    </w:p>
    <w:p>
      <w:pPr>
        <w:spacing w:after="0"/>
        <w:sectPr>
          <w:pgSz w:w="11880" w:h="15480"/>
          <w:pgMar w:header="0" w:footer="1253" w:top="1240" w:bottom="1440" w:left="1280" w:right="1280"/>
        </w:sectPr>
      </w:pPr>
    </w:p>
    <w:p>
      <w:pPr>
        <w:pStyle w:val="Heading3"/>
        <w:spacing w:before="73"/>
        <w:ind w:left="2"/>
        <w:jc w:val="center"/>
      </w:pPr>
      <w:r>
        <w:rPr>
          <w:color w:val="231F20"/>
        </w:rPr>
        <w:t>EXECUTIVE OFFICERS OF THE REGISTRANT</w:t>
      </w:r>
    </w:p>
    <w:p>
      <w:pPr>
        <w:pStyle w:val="BodyText"/>
        <w:spacing w:before="164"/>
        <w:ind w:left="609"/>
      </w:pPr>
      <w:r>
        <w:rPr>
          <w:color w:val="231F20"/>
        </w:rPr>
        <w:t>The following information regarding the Company’s executive officers is as of February 1, 2014.</w:t>
      </w:r>
    </w:p>
    <w:p>
      <w:pPr>
        <w:pStyle w:val="Heading3"/>
        <w:tabs>
          <w:tab w:pos="2479" w:val="left" w:leader="none"/>
          <w:tab w:pos="8672" w:val="left" w:leader="none"/>
        </w:tabs>
        <w:spacing w:before="124"/>
        <w:ind w:left="119"/>
      </w:pPr>
      <w:r>
        <w:rPr/>
        <w:pict>
          <v:line style="position:absolute;mso-position-horizontal-relative:page;mso-position-vertical-relative:paragraph;z-index:1888" from="69pt,19.035938pt" to="179pt,19.035938pt" stroked="true" strokeweight="1pt" strokecolor="#231f20">
            <v:stroke dashstyle="solid"/>
            <w10:wrap type="none"/>
          </v:line>
        </w:pict>
      </w:r>
      <w:r>
        <w:rPr/>
        <w:pict>
          <v:line style="position:absolute;mso-position-horizontal-relative:page;mso-position-vertical-relative:paragraph;z-index:1912" from="187pt,19.035938pt" to="477pt,19.035938pt" stroked="true" strokeweight="1pt" strokecolor="#231f20">
            <v:stroke dashstyle="solid"/>
            <w10:wrap type="none"/>
          </v:line>
        </w:pict>
      </w:r>
      <w:r>
        <w:rPr/>
        <w:pict>
          <v:line style="position:absolute;mso-position-horizontal-relative:page;mso-position-vertical-relative:paragraph;z-index:1936" from="485pt,19.035938pt" to="525pt,19.035938pt" stroked="true" strokeweight="1pt" strokecolor="#231f20">
            <v:stroke dashstyle="solid"/>
            <w10:wrap type="none"/>
          </v:line>
        </w:pict>
      </w:r>
      <w:r>
        <w:rPr>
          <w:color w:val="231F20"/>
        </w:rPr>
        <w:t>Name</w:t>
        <w:tab/>
        <w:t>Position</w:t>
        <w:tab/>
        <w:t>Age</w:t>
      </w:r>
    </w:p>
    <w:p>
      <w:pPr>
        <w:pStyle w:val="BodyText"/>
        <w:tabs>
          <w:tab w:pos="9159" w:val="right" w:leader="none"/>
        </w:tabs>
        <w:spacing w:before="89"/>
        <w:ind w:left="120"/>
      </w:pPr>
      <w:r>
        <w:rPr>
          <w:color w:val="231F20"/>
        </w:rPr>
        <w:t>Gary C. Kelly  . . . . . . . . . .   Chairman of the Board, President, &amp; Chief</w:t>
      </w:r>
      <w:r>
        <w:rPr>
          <w:color w:val="231F20"/>
          <w:spacing w:val="33"/>
        </w:rPr>
        <w:t> </w:t>
      </w:r>
      <w:r>
        <w:rPr>
          <w:color w:val="231F20"/>
        </w:rPr>
        <w:t>Executive</w:t>
      </w:r>
      <w:r>
        <w:rPr>
          <w:color w:val="231F20"/>
          <w:spacing w:val="1"/>
        </w:rPr>
        <w:t> </w:t>
      </w:r>
      <w:r>
        <w:rPr>
          <w:color w:val="231F20"/>
        </w:rPr>
        <w:t>Officer</w:t>
        <w:tab/>
        <w:t>58</w:t>
      </w:r>
    </w:p>
    <w:p>
      <w:pPr>
        <w:pStyle w:val="BodyText"/>
        <w:tabs>
          <w:tab w:pos="9159" w:val="right" w:leader="none"/>
        </w:tabs>
        <w:spacing w:before="9"/>
        <w:ind w:left="120"/>
      </w:pPr>
      <w:r>
        <w:rPr>
          <w:color w:val="231F20"/>
        </w:rPr>
        <w:t>Robert E. Jordan  . . . . . . . .   Executive Vice President &amp; Chief</w:t>
      </w:r>
      <w:r>
        <w:rPr>
          <w:color w:val="231F20"/>
          <w:spacing w:val="10"/>
        </w:rPr>
        <w:t> </w:t>
      </w:r>
      <w:r>
        <w:rPr>
          <w:color w:val="231F20"/>
        </w:rPr>
        <w:t>Commercial</w:t>
      </w:r>
      <w:r>
        <w:rPr>
          <w:color w:val="231F20"/>
          <w:spacing w:val="2"/>
        </w:rPr>
        <w:t> </w:t>
      </w:r>
      <w:r>
        <w:rPr>
          <w:color w:val="231F20"/>
        </w:rPr>
        <w:t>Officer</w:t>
        <w:tab/>
        <w:t>53</w:t>
      </w:r>
    </w:p>
    <w:p>
      <w:pPr>
        <w:pStyle w:val="BodyText"/>
        <w:tabs>
          <w:tab w:pos="9159" w:val="right" w:leader="none"/>
        </w:tabs>
        <w:spacing w:before="9"/>
        <w:ind w:left="120"/>
      </w:pPr>
      <w:r>
        <w:rPr>
          <w:color w:val="231F20"/>
        </w:rPr>
        <w:t>Jeff Lamb   . . . . . . . . . . . . .   Executive Vice President &amp; Chief People &amp;</w:t>
      </w:r>
      <w:r>
        <w:rPr>
          <w:color w:val="231F20"/>
          <w:spacing w:val="-5"/>
        </w:rPr>
        <w:t> </w:t>
      </w:r>
      <w:r>
        <w:rPr>
          <w:color w:val="231F20"/>
        </w:rPr>
        <w:t>Administrative</w:t>
      </w:r>
      <w:r>
        <w:rPr>
          <w:color w:val="231F20"/>
          <w:spacing w:val="3"/>
        </w:rPr>
        <w:t> </w:t>
      </w:r>
      <w:r>
        <w:rPr>
          <w:color w:val="231F20"/>
        </w:rPr>
        <w:t>Officer</w:t>
        <w:tab/>
        <w:t>51</w:t>
      </w:r>
    </w:p>
    <w:p>
      <w:pPr>
        <w:pStyle w:val="BodyText"/>
        <w:tabs>
          <w:tab w:pos="9159" w:val="right" w:leader="none"/>
        </w:tabs>
        <w:spacing w:before="9"/>
        <w:ind w:left="120"/>
      </w:pPr>
      <w:r>
        <w:rPr>
          <w:color w:val="231F20"/>
        </w:rPr>
        <w:t>Ron Ricks  . . . . . . . . . . . . .   Executive Vice President &amp; Chief Legal &amp;</w:t>
      </w:r>
      <w:r>
        <w:rPr>
          <w:color w:val="231F20"/>
          <w:spacing w:val="22"/>
        </w:rPr>
        <w:t> </w:t>
      </w:r>
      <w:r>
        <w:rPr>
          <w:color w:val="231F20"/>
        </w:rPr>
        <w:t>Regulatory</w:t>
      </w:r>
      <w:r>
        <w:rPr>
          <w:color w:val="231F20"/>
          <w:spacing w:val="1"/>
        </w:rPr>
        <w:t> </w:t>
      </w:r>
      <w:r>
        <w:rPr>
          <w:color w:val="231F20"/>
        </w:rPr>
        <w:t>Officer</w:t>
        <w:tab/>
        <w:t>64</w:t>
      </w:r>
    </w:p>
    <w:p>
      <w:pPr>
        <w:pStyle w:val="BodyText"/>
        <w:tabs>
          <w:tab w:pos="9159" w:val="right" w:leader="none"/>
        </w:tabs>
        <w:spacing w:before="9"/>
        <w:ind w:left="120"/>
      </w:pPr>
      <w:r>
        <w:rPr>
          <w:color w:val="231F20"/>
        </w:rPr>
        <w:t>Michael G. Van de Ven   . .   Executive Vice President &amp; Chief</w:t>
      </w:r>
      <w:r>
        <w:rPr>
          <w:color w:val="231F20"/>
          <w:spacing w:val="4"/>
        </w:rPr>
        <w:t> </w:t>
      </w:r>
      <w:r>
        <w:rPr>
          <w:color w:val="231F20"/>
        </w:rPr>
        <w:t>Operating</w:t>
      </w:r>
      <w:r>
        <w:rPr>
          <w:color w:val="231F20"/>
          <w:spacing w:val="1"/>
        </w:rPr>
        <w:t> </w:t>
      </w:r>
      <w:r>
        <w:rPr>
          <w:color w:val="231F20"/>
        </w:rPr>
        <w:t>Officer</w:t>
        <w:tab/>
        <w:t>52</w:t>
      </w:r>
    </w:p>
    <w:p>
      <w:pPr>
        <w:pStyle w:val="BodyText"/>
        <w:tabs>
          <w:tab w:pos="9159" w:val="right" w:leader="none"/>
        </w:tabs>
        <w:spacing w:before="9"/>
        <w:ind w:left="120"/>
      </w:pPr>
      <w:r>
        <w:rPr>
          <w:color w:val="231F20"/>
        </w:rPr>
        <w:t>Tammy Romo  . . . . . . . . . .   Senior Vice President Finance &amp; Chief</w:t>
      </w:r>
      <w:r>
        <w:rPr>
          <w:color w:val="231F20"/>
          <w:spacing w:val="-1"/>
        </w:rPr>
        <w:t> </w:t>
      </w:r>
      <w:r>
        <w:rPr>
          <w:color w:val="231F20"/>
        </w:rPr>
        <w:t>Financial</w:t>
      </w:r>
      <w:r>
        <w:rPr>
          <w:color w:val="231F20"/>
          <w:spacing w:val="1"/>
        </w:rPr>
        <w:t> </w:t>
      </w:r>
      <w:r>
        <w:rPr>
          <w:color w:val="231F20"/>
        </w:rPr>
        <w:t>Officer</w:t>
        <w:tab/>
        <w:t>51</w:t>
      </w:r>
    </w:p>
    <w:p>
      <w:pPr>
        <w:pStyle w:val="BodyText"/>
        <w:spacing w:before="164"/>
        <w:ind w:left="610"/>
      </w:pPr>
      <w:r>
        <w:rPr>
          <w:color w:val="231F20"/>
        </w:rPr>
        <w:t>Set forth below is a description of the background of each of the Company’s executive officers.</w:t>
      </w:r>
    </w:p>
    <w:p>
      <w:pPr>
        <w:pStyle w:val="BodyText"/>
        <w:spacing w:line="249" w:lineRule="auto" w:before="164"/>
        <w:ind w:left="120" w:right="273" w:firstLine="490"/>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w:t>
      </w:r>
      <w:r>
        <w:rPr>
          <w:color w:val="231F20"/>
          <w:spacing w:val="4"/>
        </w:rPr>
        <w:t> </w:t>
      </w:r>
      <w:r>
        <w:rPr>
          <w:color w:val="231F20"/>
        </w:rPr>
        <w:t>Controller.</w:t>
      </w:r>
    </w:p>
    <w:p>
      <w:pPr>
        <w:pStyle w:val="BodyText"/>
        <w:spacing w:line="249" w:lineRule="auto" w:before="156"/>
        <w:ind w:left="120" w:right="544" w:firstLine="490"/>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w:t>
      </w:r>
    </w:p>
    <w:p>
      <w:pPr>
        <w:pStyle w:val="BodyText"/>
        <w:spacing w:line="249" w:lineRule="auto" w:before="1"/>
        <w:ind w:left="120" w:right="138"/>
      </w:pPr>
      <w:r>
        <w:rPr>
          <w:color w:val="231F20"/>
        </w:rPr>
        <w:t>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 programmer.</w:t>
      </w:r>
    </w:p>
    <w:p>
      <w:pPr>
        <w:pStyle w:val="BodyText"/>
        <w:spacing w:line="249" w:lineRule="auto" w:before="156"/>
        <w:ind w:left="120" w:right="115" w:firstLine="490"/>
      </w:pPr>
      <w:r>
        <w:rPr>
          <w:i/>
          <w:color w:val="231F20"/>
        </w:rPr>
        <w:t>Jeff Lamb </w:t>
      </w:r>
      <w:r>
        <w:rPr>
          <w:color w:val="231F20"/>
        </w:rPr>
        <w:t>has served as the Company’s Executive Vice President &amp; Chief People &amp; Administrative Officer since September 2011. Mr. Lamb also served as Senior Vice President Administration &amp; Chief People Officer from October 2007 to September 2011, Vice President People &amp; Leadership Development from February 2006 to October 2007, and as Senior Director People Development from December 2004 until February 2006.</w:t>
      </w:r>
    </w:p>
    <w:p>
      <w:pPr>
        <w:pStyle w:val="BodyText"/>
        <w:spacing w:line="249" w:lineRule="auto" w:before="156"/>
        <w:ind w:left="120" w:right="205" w:firstLine="490"/>
      </w:pPr>
      <w:r>
        <w:rPr>
          <w:i/>
          <w:color w:val="231F20"/>
        </w:rPr>
        <w:t>Ron Ricks </w:t>
      </w:r>
      <w:r>
        <w:rPr>
          <w:color w:val="231F20"/>
        </w:rPr>
        <w:t>has served as the Company’s Executive Vice President &amp; Chief Legal &amp; Regulatory Officer since September 2011. Mr. Ricks also served as Corporate Secretary from May 2008 to January 2013, Executive Vice President Corporate Services from May 2008 to September 2011, Executive Vice President Law,</w:t>
      </w:r>
    </w:p>
    <w:p>
      <w:pPr>
        <w:pStyle w:val="BodyText"/>
        <w:spacing w:line="249" w:lineRule="auto" w:before="1"/>
        <w:ind w:left="120" w:right="649"/>
        <w:jc w:val="both"/>
      </w:pPr>
      <w:r>
        <w:rPr>
          <w:color w:val="231F20"/>
        </w:rPr>
        <w:t>Airports, &amp; Public Affairs from September 2006 to May 2008, and Senior Vice President Law, Airports, &amp; Public Affairs from August 2004 until September 2006. Mr. Ricks joined the Company in 1986 as its Vice President Governmental Affairs.</w:t>
      </w:r>
    </w:p>
    <w:p>
      <w:pPr>
        <w:pStyle w:val="BodyText"/>
        <w:spacing w:line="249" w:lineRule="auto" w:before="156"/>
        <w:ind w:left="120" w:right="245" w:firstLine="490"/>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line="249" w:lineRule="auto" w:before="156"/>
        <w:ind w:left="120" w:right="193" w:firstLine="490"/>
      </w:pPr>
      <w:r>
        <w:rPr>
          <w:i/>
          <w:color w:val="231F20"/>
        </w:rPr>
        <w:t>Tammy Romo </w:t>
      </w:r>
      <w:r>
        <w:rPr>
          <w:color w:val="231F20"/>
        </w:rPr>
        <w:t>has served as the Company’s Senior Vice President Finance &amp; Chief Financial Officer since September 2012. Ms. Romo also served as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spacing w:after="0" w:line="249" w:lineRule="auto"/>
        <w:sectPr>
          <w:pgSz w:w="11880" w:h="15480"/>
          <w:pgMar w:header="0" w:footer="1253" w:top="1240" w:bottom="1440" w:left="1260" w:right="1260"/>
        </w:sectPr>
      </w:pPr>
    </w:p>
    <w:p>
      <w:pPr>
        <w:pStyle w:val="Heading3"/>
        <w:spacing w:before="73"/>
        <w:ind w:left="4323" w:right="4265"/>
        <w:jc w:val="center"/>
      </w:pPr>
      <w:bookmarkStart w:name="_TOC_250015" w:id="9"/>
      <w:bookmarkStart w:name="PART II" w:id="10"/>
      <w:r>
        <w:rPr>
          <w:b w:val="0"/>
        </w:rPr>
      </w:r>
      <w:bookmarkEnd w:id="9"/>
      <w:r>
        <w:rPr>
          <w:color w:val="231F20"/>
        </w:rPr>
        <w:t>PART II</w:t>
      </w:r>
    </w:p>
    <w:p>
      <w:pPr>
        <w:pStyle w:val="Heading4"/>
        <w:tabs>
          <w:tab w:pos="1239" w:val="left" w:leader="none"/>
        </w:tabs>
        <w:spacing w:line="249" w:lineRule="auto" w:before="189"/>
        <w:ind w:left="1240" w:right="245" w:hanging="1080"/>
      </w:pPr>
      <w:bookmarkStart w:name="_TOC_250014" w:id="11"/>
      <w:bookmarkStart w:name="Item 5.   Market for Registrant's Common" w:id="12"/>
      <w:r>
        <w:rPr>
          <w:b w:val="0"/>
          <w:i w:val="0"/>
        </w:rPr>
      </w:r>
      <w:r>
        <w:rPr>
          <w:i w:val="0"/>
          <w:color w:val="231F20"/>
        </w:rPr>
        <w:t>Item</w:t>
      </w:r>
      <w:r>
        <w:rPr>
          <w:i w:val="0"/>
          <w:color w:val="231F20"/>
          <w:spacing w:val="1"/>
        </w:rPr>
        <w:t> </w:t>
      </w:r>
      <w:r>
        <w:rPr>
          <w:i w:val="0"/>
          <w:color w:val="231F20"/>
        </w:rPr>
        <w:t>5.</w:t>
        <w:tab/>
      </w:r>
      <w:r>
        <w:rPr>
          <w:i/>
          <w:color w:val="231F20"/>
        </w:rPr>
        <w:t>Market for Registrant’s Common Equity, Related Stockholder Matters, and Issuer</w:t>
      </w:r>
      <w:r>
        <w:rPr>
          <w:i/>
          <w:color w:val="231F20"/>
          <w:spacing w:val="3"/>
        </w:rPr>
        <w:t> </w:t>
      </w:r>
      <w:r>
        <w:rPr>
          <w:i/>
          <w:color w:val="231F20"/>
        </w:rPr>
        <w:t>Purchases of</w:t>
      </w:r>
      <w:bookmarkEnd w:id="11"/>
      <w:r>
        <w:rPr>
          <w:color w:val="231F20"/>
        </w:rPr>
        <w:t> Equity Securities</w:t>
      </w:r>
    </w:p>
    <w:p>
      <w:pPr>
        <w:pStyle w:val="BodyText"/>
        <w:spacing w:line="249" w:lineRule="auto" w:before="180"/>
        <w:ind w:left="160" w:right="300" w:firstLine="490"/>
      </w:pP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rPr>
          <w:sz w:val="1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90"/>
        <w:gridCol w:w="110"/>
        <w:gridCol w:w="950"/>
        <w:gridCol w:w="160"/>
        <w:gridCol w:w="750"/>
        <w:gridCol w:w="160"/>
        <w:gridCol w:w="750"/>
      </w:tblGrid>
      <w:tr>
        <w:trPr>
          <w:trHeight w:val="248" w:hRule="exact"/>
        </w:trPr>
        <w:tc>
          <w:tcPr>
            <w:tcW w:w="6290" w:type="dxa"/>
            <w:tcBorders>
              <w:bottom w:val="single" w:sz="8" w:space="0" w:color="231F20"/>
            </w:tcBorders>
          </w:tcPr>
          <w:p>
            <w:pPr>
              <w:pStyle w:val="TableParagraph"/>
              <w:spacing w:line="221" w:lineRule="exact"/>
              <w:ind w:left="50"/>
              <w:jc w:val="left"/>
              <w:rPr>
                <w:b/>
                <w:sz w:val="20"/>
              </w:rPr>
            </w:pPr>
            <w:r>
              <w:rPr>
                <w:b/>
                <w:color w:val="231F20"/>
                <w:sz w:val="20"/>
              </w:rPr>
              <w:t>Period</w:t>
            </w:r>
          </w:p>
        </w:tc>
        <w:tc>
          <w:tcPr>
            <w:tcW w:w="110" w:type="dxa"/>
          </w:tcPr>
          <w:p>
            <w:pPr/>
          </w:p>
        </w:tc>
        <w:tc>
          <w:tcPr>
            <w:tcW w:w="950" w:type="dxa"/>
            <w:tcBorders>
              <w:bottom w:val="single" w:sz="8" w:space="0" w:color="231F20"/>
            </w:tcBorders>
          </w:tcPr>
          <w:p>
            <w:pPr>
              <w:pStyle w:val="TableParagraph"/>
              <w:spacing w:line="221" w:lineRule="exact"/>
              <w:ind w:right="85"/>
              <w:rPr>
                <w:b/>
                <w:sz w:val="20"/>
              </w:rPr>
            </w:pPr>
            <w:r>
              <w:rPr>
                <w:b/>
                <w:color w:val="231F20"/>
                <w:w w:val="95"/>
                <w:sz w:val="20"/>
              </w:rPr>
              <w:t>Dividend</w:t>
            </w:r>
          </w:p>
        </w:tc>
        <w:tc>
          <w:tcPr>
            <w:tcW w:w="160" w:type="dxa"/>
          </w:tcPr>
          <w:p>
            <w:pPr/>
          </w:p>
        </w:tc>
        <w:tc>
          <w:tcPr>
            <w:tcW w:w="750" w:type="dxa"/>
            <w:tcBorders>
              <w:bottom w:val="single" w:sz="8" w:space="0" w:color="231F20"/>
            </w:tcBorders>
          </w:tcPr>
          <w:p>
            <w:pPr>
              <w:pStyle w:val="TableParagraph"/>
              <w:spacing w:line="221" w:lineRule="exact"/>
              <w:ind w:left="162"/>
              <w:jc w:val="left"/>
              <w:rPr>
                <w:b/>
                <w:sz w:val="20"/>
              </w:rPr>
            </w:pPr>
            <w:r>
              <w:rPr>
                <w:b/>
                <w:color w:val="231F20"/>
                <w:sz w:val="20"/>
              </w:rPr>
              <w:t>High</w:t>
            </w:r>
          </w:p>
        </w:tc>
        <w:tc>
          <w:tcPr>
            <w:tcW w:w="160" w:type="dxa"/>
          </w:tcPr>
          <w:p>
            <w:pPr/>
          </w:p>
        </w:tc>
        <w:tc>
          <w:tcPr>
            <w:tcW w:w="750" w:type="dxa"/>
            <w:tcBorders>
              <w:bottom w:val="single" w:sz="8" w:space="0" w:color="231F20"/>
            </w:tcBorders>
          </w:tcPr>
          <w:p>
            <w:pPr>
              <w:pStyle w:val="TableParagraph"/>
              <w:spacing w:line="221" w:lineRule="exact"/>
              <w:ind w:left="187"/>
              <w:jc w:val="left"/>
              <w:rPr>
                <w:b/>
                <w:sz w:val="20"/>
              </w:rPr>
            </w:pPr>
            <w:r>
              <w:rPr>
                <w:b/>
                <w:color w:val="231F20"/>
                <w:sz w:val="20"/>
              </w:rPr>
              <w:t>Low</w:t>
            </w:r>
          </w:p>
        </w:tc>
      </w:tr>
      <w:tr>
        <w:trPr>
          <w:trHeight w:val="305" w:hRule="exact"/>
        </w:trPr>
        <w:tc>
          <w:tcPr>
            <w:tcW w:w="6290" w:type="dxa"/>
            <w:tcBorders>
              <w:top w:val="single" w:sz="8" w:space="0" w:color="231F20"/>
            </w:tcBorders>
          </w:tcPr>
          <w:p>
            <w:pPr>
              <w:pStyle w:val="TableParagraph"/>
              <w:spacing w:before="53"/>
              <w:ind w:left="50"/>
              <w:jc w:val="left"/>
              <w:rPr>
                <w:b/>
                <w:sz w:val="20"/>
              </w:rPr>
            </w:pPr>
            <w:r>
              <w:rPr>
                <w:b/>
                <w:color w:val="231F20"/>
                <w:sz w:val="20"/>
              </w:rPr>
              <w:t>2013</w:t>
            </w:r>
          </w:p>
        </w:tc>
        <w:tc>
          <w:tcPr>
            <w:tcW w:w="110" w:type="dxa"/>
          </w:tcPr>
          <w:p>
            <w:pPr/>
          </w:p>
        </w:tc>
        <w:tc>
          <w:tcPr>
            <w:tcW w:w="950" w:type="dxa"/>
            <w:tcBorders>
              <w:top w:val="single" w:sz="8" w:space="0" w:color="231F20"/>
            </w:tcBorders>
          </w:tcPr>
          <w:p>
            <w:pPr/>
          </w:p>
        </w:tc>
        <w:tc>
          <w:tcPr>
            <w:tcW w:w="160" w:type="dxa"/>
          </w:tcPr>
          <w:p>
            <w:pPr/>
          </w:p>
        </w:tc>
        <w:tc>
          <w:tcPr>
            <w:tcW w:w="750" w:type="dxa"/>
            <w:tcBorders>
              <w:top w:val="single" w:sz="8" w:space="0" w:color="231F20"/>
            </w:tcBorders>
          </w:tcPr>
          <w:p>
            <w:pPr/>
          </w:p>
        </w:tc>
        <w:tc>
          <w:tcPr>
            <w:tcW w:w="160" w:type="dxa"/>
          </w:tcPr>
          <w:p>
            <w:pPr/>
          </w:p>
        </w:tc>
        <w:tc>
          <w:tcPr>
            <w:tcW w:w="750" w:type="dxa"/>
            <w:tcBorders>
              <w:top w:val="single" w:sz="8" w:space="0" w:color="231F20"/>
            </w:tcBorders>
          </w:tcPr>
          <w:p>
            <w:pPr/>
          </w:p>
        </w:tc>
      </w:tr>
      <w:tr>
        <w:trPr>
          <w:trHeight w:val="239" w:hRule="exact"/>
        </w:trPr>
        <w:tc>
          <w:tcPr>
            <w:tcW w:w="6290" w:type="dxa"/>
          </w:tcPr>
          <w:p>
            <w:pPr>
              <w:pStyle w:val="TableParagraph"/>
              <w:spacing w:line="229" w:lineRule="exact"/>
              <w:rPr>
                <w:sz w:val="20"/>
              </w:rPr>
            </w:pPr>
            <w:r>
              <w:rPr>
                <w:color w:val="231F20"/>
                <w:sz w:val="20"/>
              </w:rPr>
              <w:t>1st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  0.01000</w:t>
            </w:r>
          </w:p>
        </w:tc>
        <w:tc>
          <w:tcPr>
            <w:tcW w:w="160" w:type="dxa"/>
          </w:tcPr>
          <w:p>
            <w:pPr/>
          </w:p>
        </w:tc>
        <w:tc>
          <w:tcPr>
            <w:tcW w:w="750" w:type="dxa"/>
          </w:tcPr>
          <w:p>
            <w:pPr>
              <w:pStyle w:val="TableParagraph"/>
              <w:spacing w:line="229" w:lineRule="exact"/>
              <w:ind w:right="99"/>
              <w:rPr>
                <w:sz w:val="20"/>
              </w:rPr>
            </w:pPr>
            <w:r>
              <w:rPr>
                <w:color w:val="231F20"/>
                <w:sz w:val="20"/>
              </w:rPr>
              <w:t>$  13.58</w:t>
            </w:r>
          </w:p>
        </w:tc>
        <w:tc>
          <w:tcPr>
            <w:tcW w:w="160" w:type="dxa"/>
          </w:tcPr>
          <w:p>
            <w:pPr/>
          </w:p>
        </w:tc>
        <w:tc>
          <w:tcPr>
            <w:tcW w:w="750" w:type="dxa"/>
          </w:tcPr>
          <w:p>
            <w:pPr>
              <w:pStyle w:val="TableParagraph"/>
              <w:spacing w:line="229" w:lineRule="exact"/>
              <w:ind w:right="99"/>
              <w:rPr>
                <w:sz w:val="20"/>
              </w:rPr>
            </w:pPr>
            <w:r>
              <w:rPr>
                <w:color w:val="231F20"/>
                <w:sz w:val="20"/>
              </w:rPr>
              <w:t>$  10.36</w:t>
            </w:r>
          </w:p>
        </w:tc>
      </w:tr>
      <w:tr>
        <w:trPr>
          <w:trHeight w:val="240" w:hRule="exact"/>
        </w:trPr>
        <w:tc>
          <w:tcPr>
            <w:tcW w:w="6290" w:type="dxa"/>
          </w:tcPr>
          <w:p>
            <w:pPr>
              <w:pStyle w:val="TableParagraph"/>
              <w:spacing w:line="229" w:lineRule="exact"/>
              <w:rPr>
                <w:sz w:val="20"/>
              </w:rPr>
            </w:pPr>
            <w:r>
              <w:rPr>
                <w:color w:val="231F20"/>
                <w:sz w:val="20"/>
              </w:rPr>
              <w:t>2nd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0.04000</w:t>
            </w:r>
          </w:p>
        </w:tc>
        <w:tc>
          <w:tcPr>
            <w:tcW w:w="160" w:type="dxa"/>
          </w:tcPr>
          <w:p>
            <w:pPr/>
          </w:p>
        </w:tc>
        <w:tc>
          <w:tcPr>
            <w:tcW w:w="750" w:type="dxa"/>
          </w:tcPr>
          <w:p>
            <w:pPr>
              <w:pStyle w:val="TableParagraph"/>
              <w:spacing w:line="229" w:lineRule="exact"/>
              <w:ind w:right="99"/>
              <w:rPr>
                <w:sz w:val="20"/>
              </w:rPr>
            </w:pPr>
            <w:r>
              <w:rPr>
                <w:color w:val="231F20"/>
                <w:sz w:val="20"/>
              </w:rPr>
              <w:t>14.56</w:t>
            </w:r>
          </w:p>
        </w:tc>
        <w:tc>
          <w:tcPr>
            <w:tcW w:w="160" w:type="dxa"/>
          </w:tcPr>
          <w:p>
            <w:pPr/>
          </w:p>
        </w:tc>
        <w:tc>
          <w:tcPr>
            <w:tcW w:w="750" w:type="dxa"/>
          </w:tcPr>
          <w:p>
            <w:pPr>
              <w:pStyle w:val="TableParagraph"/>
              <w:spacing w:line="229" w:lineRule="exact"/>
              <w:ind w:right="99"/>
              <w:rPr>
                <w:sz w:val="20"/>
              </w:rPr>
            </w:pPr>
            <w:r>
              <w:rPr>
                <w:color w:val="231F20"/>
                <w:sz w:val="20"/>
              </w:rPr>
              <w:t>12.45</w:t>
            </w:r>
          </w:p>
        </w:tc>
      </w:tr>
      <w:tr>
        <w:trPr>
          <w:trHeight w:val="240" w:hRule="exact"/>
        </w:trPr>
        <w:tc>
          <w:tcPr>
            <w:tcW w:w="6290" w:type="dxa"/>
          </w:tcPr>
          <w:p>
            <w:pPr>
              <w:pStyle w:val="TableParagraph"/>
              <w:spacing w:line="229" w:lineRule="exact"/>
              <w:rPr>
                <w:sz w:val="20"/>
              </w:rPr>
            </w:pPr>
            <w:r>
              <w:rPr>
                <w:color w:val="231F20"/>
                <w:sz w:val="20"/>
              </w:rPr>
              <w:t>3rd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0.04000</w:t>
            </w:r>
          </w:p>
        </w:tc>
        <w:tc>
          <w:tcPr>
            <w:tcW w:w="160" w:type="dxa"/>
          </w:tcPr>
          <w:p>
            <w:pPr/>
          </w:p>
        </w:tc>
        <w:tc>
          <w:tcPr>
            <w:tcW w:w="750" w:type="dxa"/>
          </w:tcPr>
          <w:p>
            <w:pPr>
              <w:pStyle w:val="TableParagraph"/>
              <w:spacing w:line="229" w:lineRule="exact"/>
              <w:ind w:right="99"/>
              <w:rPr>
                <w:sz w:val="20"/>
              </w:rPr>
            </w:pPr>
            <w:r>
              <w:rPr>
                <w:color w:val="231F20"/>
                <w:sz w:val="20"/>
              </w:rPr>
              <w:t>14.82</w:t>
            </w:r>
          </w:p>
        </w:tc>
        <w:tc>
          <w:tcPr>
            <w:tcW w:w="160" w:type="dxa"/>
          </w:tcPr>
          <w:p>
            <w:pPr/>
          </w:p>
        </w:tc>
        <w:tc>
          <w:tcPr>
            <w:tcW w:w="750" w:type="dxa"/>
          </w:tcPr>
          <w:p>
            <w:pPr>
              <w:pStyle w:val="TableParagraph"/>
              <w:spacing w:line="229" w:lineRule="exact"/>
              <w:ind w:right="99"/>
              <w:rPr>
                <w:sz w:val="20"/>
              </w:rPr>
            </w:pPr>
            <w:r>
              <w:rPr>
                <w:color w:val="231F20"/>
                <w:sz w:val="20"/>
              </w:rPr>
              <w:t>12.58</w:t>
            </w:r>
          </w:p>
        </w:tc>
      </w:tr>
      <w:tr>
        <w:trPr>
          <w:trHeight w:val="229" w:hRule="exact"/>
        </w:trPr>
        <w:tc>
          <w:tcPr>
            <w:tcW w:w="6290" w:type="dxa"/>
          </w:tcPr>
          <w:p>
            <w:pPr>
              <w:pStyle w:val="TableParagraph"/>
              <w:spacing w:line="229" w:lineRule="exact"/>
              <w:rPr>
                <w:sz w:val="20"/>
              </w:rPr>
            </w:pPr>
            <w:r>
              <w:rPr>
                <w:color w:val="231F20"/>
                <w:sz w:val="20"/>
              </w:rPr>
              <w:t>4th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0.04000</w:t>
            </w:r>
          </w:p>
        </w:tc>
        <w:tc>
          <w:tcPr>
            <w:tcW w:w="160" w:type="dxa"/>
          </w:tcPr>
          <w:p>
            <w:pPr/>
          </w:p>
        </w:tc>
        <w:tc>
          <w:tcPr>
            <w:tcW w:w="750" w:type="dxa"/>
          </w:tcPr>
          <w:p>
            <w:pPr>
              <w:pStyle w:val="TableParagraph"/>
              <w:spacing w:line="229" w:lineRule="exact"/>
              <w:ind w:right="99"/>
              <w:rPr>
                <w:sz w:val="20"/>
              </w:rPr>
            </w:pPr>
            <w:r>
              <w:rPr>
                <w:color w:val="231F20"/>
                <w:sz w:val="20"/>
              </w:rPr>
              <w:t>19.00</w:t>
            </w:r>
          </w:p>
        </w:tc>
        <w:tc>
          <w:tcPr>
            <w:tcW w:w="160" w:type="dxa"/>
          </w:tcPr>
          <w:p>
            <w:pPr/>
          </w:p>
        </w:tc>
        <w:tc>
          <w:tcPr>
            <w:tcW w:w="750" w:type="dxa"/>
          </w:tcPr>
          <w:p>
            <w:pPr>
              <w:pStyle w:val="TableParagraph"/>
              <w:spacing w:line="229" w:lineRule="exact"/>
              <w:ind w:right="99"/>
              <w:rPr>
                <w:sz w:val="20"/>
              </w:rPr>
            </w:pPr>
            <w:r>
              <w:rPr>
                <w:color w:val="231F20"/>
                <w:sz w:val="20"/>
              </w:rPr>
              <w:t>14.48</w:t>
            </w:r>
          </w:p>
        </w:tc>
      </w:tr>
      <w:tr>
        <w:trPr>
          <w:trHeight w:val="482" w:hRule="exact"/>
        </w:trPr>
        <w:tc>
          <w:tcPr>
            <w:tcW w:w="6290" w:type="dxa"/>
          </w:tcPr>
          <w:p>
            <w:pPr>
              <w:pStyle w:val="TableParagraph"/>
              <w:spacing w:before="8"/>
              <w:jc w:val="left"/>
              <w:rPr>
                <w:sz w:val="21"/>
              </w:rPr>
            </w:pPr>
          </w:p>
          <w:p>
            <w:pPr>
              <w:pStyle w:val="TableParagraph"/>
              <w:ind w:left="50"/>
              <w:jc w:val="left"/>
              <w:rPr>
                <w:b/>
                <w:sz w:val="20"/>
              </w:rPr>
            </w:pPr>
            <w:r>
              <w:rPr>
                <w:b/>
                <w:color w:val="231F20"/>
                <w:sz w:val="20"/>
              </w:rPr>
              <w:t>2012</w:t>
            </w:r>
          </w:p>
        </w:tc>
        <w:tc>
          <w:tcPr>
            <w:tcW w:w="110" w:type="dxa"/>
          </w:tcPr>
          <w:p>
            <w:pPr/>
          </w:p>
        </w:tc>
        <w:tc>
          <w:tcPr>
            <w:tcW w:w="950" w:type="dxa"/>
          </w:tcPr>
          <w:p>
            <w:pPr/>
          </w:p>
        </w:tc>
        <w:tc>
          <w:tcPr>
            <w:tcW w:w="160" w:type="dxa"/>
          </w:tcPr>
          <w:p>
            <w:pPr/>
          </w:p>
        </w:tc>
        <w:tc>
          <w:tcPr>
            <w:tcW w:w="750" w:type="dxa"/>
          </w:tcPr>
          <w:p>
            <w:pPr/>
          </w:p>
        </w:tc>
        <w:tc>
          <w:tcPr>
            <w:tcW w:w="160" w:type="dxa"/>
          </w:tcPr>
          <w:p>
            <w:pPr/>
          </w:p>
        </w:tc>
        <w:tc>
          <w:tcPr>
            <w:tcW w:w="750" w:type="dxa"/>
          </w:tcPr>
          <w:p>
            <w:pPr/>
          </w:p>
        </w:tc>
      </w:tr>
      <w:tr>
        <w:trPr>
          <w:trHeight w:val="249" w:hRule="exact"/>
        </w:trPr>
        <w:tc>
          <w:tcPr>
            <w:tcW w:w="6290" w:type="dxa"/>
          </w:tcPr>
          <w:p>
            <w:pPr>
              <w:pStyle w:val="TableParagraph"/>
              <w:spacing w:line="219" w:lineRule="exact"/>
              <w:rPr>
                <w:sz w:val="20"/>
              </w:rPr>
            </w:pPr>
            <w:r>
              <w:rPr>
                <w:color w:val="231F20"/>
                <w:sz w:val="20"/>
              </w:rPr>
              <w:t>1st Quarter   . . . . . . . . . . . . . . . . . . . . . . . . . . . . . . . . . . . . . . . . . . . . . . . . </w:t>
            </w:r>
          </w:p>
        </w:tc>
        <w:tc>
          <w:tcPr>
            <w:tcW w:w="1060" w:type="dxa"/>
            <w:gridSpan w:val="2"/>
          </w:tcPr>
          <w:p>
            <w:pPr>
              <w:pStyle w:val="TableParagraph"/>
              <w:spacing w:line="219" w:lineRule="exact"/>
              <w:ind w:left="110"/>
              <w:jc w:val="left"/>
              <w:rPr>
                <w:sz w:val="20"/>
              </w:rPr>
            </w:pPr>
            <w:r>
              <w:rPr>
                <w:color w:val="231F20"/>
                <w:sz w:val="20"/>
              </w:rPr>
              <w:t>$  0.00450</w:t>
            </w:r>
          </w:p>
        </w:tc>
        <w:tc>
          <w:tcPr>
            <w:tcW w:w="910" w:type="dxa"/>
            <w:gridSpan w:val="2"/>
          </w:tcPr>
          <w:p>
            <w:pPr>
              <w:pStyle w:val="TableParagraph"/>
              <w:spacing w:line="219" w:lineRule="exact"/>
              <w:ind w:left="160"/>
              <w:jc w:val="left"/>
              <w:rPr>
                <w:sz w:val="20"/>
              </w:rPr>
            </w:pPr>
            <w:r>
              <w:rPr>
                <w:color w:val="231F20"/>
                <w:sz w:val="20"/>
              </w:rPr>
              <w:t>$  10.05</w:t>
            </w:r>
          </w:p>
        </w:tc>
        <w:tc>
          <w:tcPr>
            <w:tcW w:w="910" w:type="dxa"/>
            <w:gridSpan w:val="2"/>
          </w:tcPr>
          <w:p>
            <w:pPr>
              <w:pStyle w:val="TableParagraph"/>
              <w:spacing w:line="219" w:lineRule="exact"/>
              <w:ind w:left="160"/>
              <w:jc w:val="left"/>
              <w:rPr>
                <w:sz w:val="20"/>
              </w:rPr>
            </w:pPr>
            <w:r>
              <w:rPr>
                <w:color w:val="231F20"/>
                <w:sz w:val="20"/>
              </w:rPr>
              <w:t>$    8.03</w:t>
            </w:r>
          </w:p>
        </w:tc>
      </w:tr>
      <w:tr>
        <w:trPr>
          <w:trHeight w:val="240" w:hRule="exact"/>
        </w:trPr>
        <w:tc>
          <w:tcPr>
            <w:tcW w:w="6290" w:type="dxa"/>
          </w:tcPr>
          <w:p>
            <w:pPr>
              <w:pStyle w:val="TableParagraph"/>
              <w:spacing w:line="229" w:lineRule="exact"/>
              <w:rPr>
                <w:sz w:val="20"/>
              </w:rPr>
            </w:pPr>
            <w:r>
              <w:rPr>
                <w:color w:val="231F20"/>
                <w:sz w:val="20"/>
              </w:rPr>
              <w:t>2nd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0.01000</w:t>
            </w:r>
          </w:p>
        </w:tc>
        <w:tc>
          <w:tcPr>
            <w:tcW w:w="910" w:type="dxa"/>
            <w:gridSpan w:val="2"/>
          </w:tcPr>
          <w:p>
            <w:pPr>
              <w:pStyle w:val="TableParagraph"/>
              <w:spacing w:line="229" w:lineRule="exact"/>
              <w:ind w:left="460"/>
              <w:jc w:val="left"/>
              <w:rPr>
                <w:sz w:val="20"/>
              </w:rPr>
            </w:pPr>
            <w:r>
              <w:rPr>
                <w:color w:val="231F20"/>
                <w:sz w:val="20"/>
              </w:rPr>
              <w:t>9.42</w:t>
            </w:r>
          </w:p>
        </w:tc>
        <w:tc>
          <w:tcPr>
            <w:tcW w:w="910" w:type="dxa"/>
            <w:gridSpan w:val="2"/>
          </w:tcPr>
          <w:p>
            <w:pPr>
              <w:pStyle w:val="TableParagraph"/>
              <w:spacing w:line="229" w:lineRule="exact"/>
              <w:ind w:left="460"/>
              <w:jc w:val="left"/>
              <w:rPr>
                <w:sz w:val="20"/>
              </w:rPr>
            </w:pPr>
            <w:r>
              <w:rPr>
                <w:color w:val="231F20"/>
                <w:sz w:val="20"/>
              </w:rPr>
              <w:t>7.76</w:t>
            </w:r>
          </w:p>
        </w:tc>
      </w:tr>
      <w:tr>
        <w:trPr>
          <w:trHeight w:val="240" w:hRule="exact"/>
        </w:trPr>
        <w:tc>
          <w:tcPr>
            <w:tcW w:w="6290" w:type="dxa"/>
          </w:tcPr>
          <w:p>
            <w:pPr>
              <w:pStyle w:val="TableParagraph"/>
              <w:spacing w:line="229" w:lineRule="exact"/>
              <w:rPr>
                <w:sz w:val="20"/>
              </w:rPr>
            </w:pPr>
            <w:r>
              <w:rPr>
                <w:color w:val="231F20"/>
                <w:sz w:val="20"/>
              </w:rPr>
              <w:t>3rd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0.01000</w:t>
            </w:r>
          </w:p>
        </w:tc>
        <w:tc>
          <w:tcPr>
            <w:tcW w:w="910" w:type="dxa"/>
            <w:gridSpan w:val="2"/>
          </w:tcPr>
          <w:p>
            <w:pPr>
              <w:pStyle w:val="TableParagraph"/>
              <w:spacing w:line="229" w:lineRule="exact"/>
              <w:ind w:left="460"/>
              <w:jc w:val="left"/>
              <w:rPr>
                <w:sz w:val="20"/>
              </w:rPr>
            </w:pPr>
            <w:r>
              <w:rPr>
                <w:color w:val="231F20"/>
                <w:sz w:val="20"/>
              </w:rPr>
              <w:t>9.82</w:t>
            </w:r>
          </w:p>
        </w:tc>
        <w:tc>
          <w:tcPr>
            <w:tcW w:w="910" w:type="dxa"/>
            <w:gridSpan w:val="2"/>
          </w:tcPr>
          <w:p>
            <w:pPr>
              <w:pStyle w:val="TableParagraph"/>
              <w:spacing w:line="229" w:lineRule="exact"/>
              <w:ind w:left="460"/>
              <w:jc w:val="left"/>
              <w:rPr>
                <w:sz w:val="20"/>
              </w:rPr>
            </w:pPr>
            <w:r>
              <w:rPr>
                <w:color w:val="231F20"/>
                <w:sz w:val="20"/>
              </w:rPr>
              <w:t>8.45</w:t>
            </w:r>
          </w:p>
        </w:tc>
      </w:tr>
      <w:tr>
        <w:trPr>
          <w:trHeight w:val="229" w:hRule="exact"/>
        </w:trPr>
        <w:tc>
          <w:tcPr>
            <w:tcW w:w="6290" w:type="dxa"/>
          </w:tcPr>
          <w:p>
            <w:pPr>
              <w:pStyle w:val="TableParagraph"/>
              <w:spacing w:line="229" w:lineRule="exact"/>
              <w:rPr>
                <w:sz w:val="20"/>
              </w:rPr>
            </w:pPr>
            <w:r>
              <w:rPr>
                <w:color w:val="231F20"/>
                <w:sz w:val="20"/>
              </w:rPr>
              <w:t>4th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0.01000</w:t>
            </w:r>
          </w:p>
        </w:tc>
        <w:tc>
          <w:tcPr>
            <w:tcW w:w="910" w:type="dxa"/>
            <w:gridSpan w:val="2"/>
          </w:tcPr>
          <w:p>
            <w:pPr>
              <w:pStyle w:val="TableParagraph"/>
              <w:spacing w:line="229" w:lineRule="exact"/>
              <w:ind w:left="360"/>
              <w:jc w:val="left"/>
              <w:rPr>
                <w:sz w:val="20"/>
              </w:rPr>
            </w:pPr>
            <w:r>
              <w:rPr>
                <w:color w:val="231F20"/>
                <w:sz w:val="20"/>
              </w:rPr>
              <w:t>10.61</w:t>
            </w:r>
          </w:p>
        </w:tc>
        <w:tc>
          <w:tcPr>
            <w:tcW w:w="910" w:type="dxa"/>
            <w:gridSpan w:val="2"/>
          </w:tcPr>
          <w:p>
            <w:pPr>
              <w:pStyle w:val="TableParagraph"/>
              <w:spacing w:line="229" w:lineRule="exact"/>
              <w:ind w:left="460"/>
              <w:jc w:val="left"/>
              <w:rPr>
                <w:sz w:val="20"/>
              </w:rPr>
            </w:pPr>
            <w:r>
              <w:rPr>
                <w:color w:val="231F20"/>
                <w:sz w:val="20"/>
              </w:rPr>
              <w:t>8.68</w:t>
            </w:r>
          </w:p>
        </w:tc>
      </w:tr>
    </w:tbl>
    <w:p>
      <w:pPr>
        <w:pStyle w:val="BodyText"/>
        <w:spacing w:line="249" w:lineRule="auto" w:before="190"/>
        <w:ind w:left="160" w:right="302" w:firstLine="490"/>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January 30, 2014, there were approximately 13,850 holders of record of the Company’s common stock.</w:t>
      </w:r>
    </w:p>
    <w:p>
      <w:pPr>
        <w:spacing w:after="0" w:line="249" w:lineRule="auto"/>
        <w:sectPr>
          <w:footerReference w:type="default" r:id="rId15"/>
          <w:pgSz w:w="11880" w:h="15480"/>
          <w:pgMar w:footer="1253" w:header="0" w:top="1240" w:bottom="1440" w:left="1220" w:right="1280"/>
        </w:sectPr>
      </w:pPr>
    </w:p>
    <w:p>
      <w:pPr>
        <w:pStyle w:val="Heading3"/>
        <w:spacing w:before="73"/>
        <w:ind w:left="1664" w:right="1626"/>
        <w:jc w:val="center"/>
      </w:pPr>
      <w:r>
        <w:rPr>
          <w:color w:val="231F20"/>
        </w:rPr>
        <w:t>Stock Performance Graph</w:t>
      </w:r>
    </w:p>
    <w:p>
      <w:pPr>
        <w:spacing w:line="249" w:lineRule="auto" w:before="189"/>
        <w:ind w:left="100" w:right="222" w:firstLine="490"/>
        <w:jc w:val="left"/>
        <w:rPr>
          <w:i/>
          <w:sz w:val="20"/>
        </w:rPr>
      </w:pPr>
      <w:r>
        <w:rPr>
          <w:i/>
          <w:color w:val="231F20"/>
          <w:sz w:val="20"/>
        </w:rPr>
        <w:t>The following Performance Graph and related information shall not be deemed “soliciting material” or </w:t>
      </w:r>
      <w:r>
        <w:rPr>
          <w:i/>
          <w:color w:val="231F20"/>
          <w:sz w:val="20"/>
        </w:rPr>
        <w:t>“filed” with the Securities and Exchange Commission, nor shall such information be incorporated by reference into any future filing under the Securities Act of 1933 or Securities Exchange Act of 1934.</w:t>
      </w:r>
    </w:p>
    <w:p>
      <w:pPr>
        <w:pStyle w:val="BodyText"/>
        <w:spacing w:line="249" w:lineRule="auto" w:before="180"/>
        <w:ind w:left="100" w:right="134" w:firstLine="490"/>
      </w:pPr>
      <w:r>
        <w:rPr>
          <w:color w:val="231F20"/>
        </w:rPr>
        <w:t>The following graph compares the cumulative total shareholder return on the Company’s common stock over the five-year period ended December 31, 2013, with the cumulative total return during such period of the Standard and Poor’s 500 Stock Index and the NYSE ARCA Airline Index. The comparison assumes $100 was invested on December 31, 2008,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rPr>
          <w:sz w:val="13"/>
        </w:rPr>
      </w:pPr>
    </w:p>
    <w:p>
      <w:pPr>
        <w:pStyle w:val="Heading3"/>
        <w:spacing w:line="249" w:lineRule="auto" w:before="91"/>
        <w:ind w:left="1670" w:right="1626"/>
        <w:jc w:val="center"/>
      </w:pPr>
      <w:r>
        <w:rPr>
          <w:color w:val="231F20"/>
        </w:rPr>
        <w:t>COMPARISON OF FIVE YEAR CUMULATIVE TOTAL RETURN AMONG SOUTHWEST AIRLINES CO., S&amp;P 500 INDEX,</w:t>
      </w:r>
    </w:p>
    <w:p>
      <w:pPr>
        <w:spacing w:before="1"/>
        <w:ind w:left="1666" w:right="1626" w:firstLine="0"/>
        <w:jc w:val="center"/>
        <w:rPr>
          <w:b/>
          <w:sz w:val="20"/>
        </w:rPr>
      </w:pPr>
      <w:r>
        <w:rPr>
          <w:b/>
          <w:color w:val="231F20"/>
          <w:sz w:val="20"/>
        </w:rPr>
        <w:t>AND NYSE ARCA AIRLINE INDEX</w:t>
      </w:r>
    </w:p>
    <w:p>
      <w:pPr>
        <w:spacing w:before="2"/>
        <w:ind w:left="574" w:right="0" w:firstLine="0"/>
        <w:jc w:val="left"/>
        <w:rPr>
          <w:sz w:val="18"/>
        </w:rPr>
      </w:pPr>
      <w:r>
        <w:rPr/>
        <w:pict>
          <v:group style="position:absolute;margin-left:109.534004pt;margin-top:4.410355pt;width:391.5pt;height:229.5pt;mso-position-horizontal-relative:page;mso-position-vertical-relative:paragraph;z-index:1960" coordorigin="2191,88" coordsize="7830,4590">
            <v:line style="position:absolute" from="9954,4673" to="9954,4543" stroked="true" strokeweight=".5pt" strokecolor="#231f20">
              <v:stroke dashstyle="solid"/>
            </v:line>
            <v:line style="position:absolute" from="8412,4673" to="8412,4543" stroked="true" strokeweight=".5pt" strokecolor="#231f20">
              <v:stroke dashstyle="solid"/>
            </v:line>
            <v:line style="position:absolute" from="8412,2825" to="8412,4553" stroked="true" strokeweight=".5pt" strokecolor="#231f20">
              <v:stroke dashstyle="solid"/>
            </v:line>
            <v:line style="position:absolute" from="2200,102" to="2272,102" stroked="true" strokeweight=".5pt" strokecolor="#231f20">
              <v:stroke dashstyle="solid"/>
            </v:line>
            <v:line style="position:absolute" from="8412,103" to="8412,2685" stroked="true" strokeweight=".5pt" strokecolor="#231f20">
              <v:stroke dashstyle="solid"/>
            </v:line>
            <v:line style="position:absolute" from="6876,103" to="6876,3026" stroked="true" strokeweight=".5pt" strokecolor="#231f20">
              <v:stroke dashstyle="solid"/>
            </v:line>
            <v:line style="position:absolute" from="5340,103" to="5340,3069" stroked="true" strokeweight=".5pt" strokecolor="#231f20">
              <v:stroke dashstyle="solid"/>
            </v:line>
            <v:line style="position:absolute" from="3804,103" to="3804,3353" stroked="true" strokeweight=".5pt" strokecolor="#231f20">
              <v:stroke dashstyle="solid"/>
            </v:line>
            <v:line style="position:absolute" from="2263,102" to="9952,102" stroked="true" strokeweight=".5pt" strokecolor="#231f20">
              <v:stroke dashstyle="solid"/>
            </v:line>
            <v:line style="position:absolute" from="2200,847" to="2272,847" stroked="true" strokeweight=".5pt" strokecolor="#231f20">
              <v:stroke dashstyle="solid"/>
            </v:line>
            <v:line style="position:absolute" from="2263,847" to="9952,847" stroked="true" strokeweight=".5pt" strokecolor="#231f20">
              <v:stroke dashstyle="solid"/>
            </v:line>
            <v:line style="position:absolute" from="2200,1586" to="2272,1586" stroked="true" strokeweight=".5pt" strokecolor="#231f20">
              <v:stroke dashstyle="solid"/>
            </v:line>
            <v:line style="position:absolute" from="2263,1586" to="9952,1586" stroked="true" strokeweight=".5pt" strokecolor="#231f20">
              <v:stroke dashstyle="solid"/>
            </v:line>
            <v:line style="position:absolute" from="2200,2325" to="2272,2325" stroked="true" strokeweight=".5pt" strokecolor="#231f20">
              <v:stroke dashstyle="solid"/>
            </v:line>
            <v:line style="position:absolute" from="2263,2325" to="9952,2325" stroked="true" strokeweight=".5pt" strokecolor="#231f20">
              <v:stroke dashstyle="solid"/>
            </v:line>
            <v:line style="position:absolute" from="6943,3065" to="9952,3065" stroked="true" strokeweight=".5pt" strokecolor="#231f20">
              <v:stroke dashstyle="solid"/>
            </v:line>
            <v:line style="position:absolute" from="2200,3065" to="2272,3065" stroked="true" strokeweight=".5pt" strokecolor="#231f20">
              <v:stroke dashstyle="solid"/>
            </v:line>
            <v:line style="position:absolute" from="2263,3065" to="6804,3065" stroked="true" strokeweight=".5pt" strokecolor="#231f20">
              <v:stroke dashstyle="solid"/>
            </v:line>
            <v:line style="position:absolute" from="6876,4673" to="6876,4543" stroked="true" strokeweight=".5pt" strokecolor="#231f20">
              <v:stroke dashstyle="solid"/>
            </v:line>
            <v:line style="position:absolute" from="6876,3165" to="6876,4553" stroked="true" strokeweight=".5pt" strokecolor="#231f20">
              <v:stroke dashstyle="solid"/>
            </v:line>
            <v:line style="position:absolute" from="5340,4673" to="5340,4543" stroked="true" strokeweight=".5pt" strokecolor="#231f20">
              <v:stroke dashstyle="solid"/>
            </v:line>
            <v:line style="position:absolute" from="5340,3209" to="5340,4553" stroked="true" strokeweight=".5pt" strokecolor="#231f20">
              <v:stroke dashstyle="solid"/>
            </v:line>
            <v:line style="position:absolute" from="3804,4673" to="3804,4543" stroked="true" strokeweight=".5pt" strokecolor="#231f20">
              <v:stroke dashstyle="solid"/>
            </v:line>
            <v:line style="position:absolute" from="3804,3492" to="3804,4553" stroked="true" strokeweight=".5pt" strokecolor="#231f20">
              <v:stroke dashstyle="solid"/>
            </v:line>
            <v:line style="position:absolute" from="2335,3804" to="9952,3804" stroked="true" strokeweight=".5pt" strokecolor="#231f20">
              <v:stroke dashstyle="solid"/>
            </v:line>
            <v:line style="position:absolute" from="2268,4673" to="2268,4543" stroked="true" strokeweight=".5pt" strokecolor="#231f20">
              <v:stroke dashstyle="solid"/>
            </v:line>
            <v:line style="position:absolute" from="2200,4548" to="2272,4548" stroked="true" strokeweight=".5pt" strokecolor="#231f20">
              <v:stroke dashstyle="solid"/>
            </v:line>
            <v:line style="position:absolute" from="2258,4548" to="9957,4548" stroked="true" strokeweight="1pt" strokecolor="#231f20">
              <v:stroke dashstyle="solid"/>
            </v:line>
            <v:shape style="position:absolute;left:0;top:5997;width:2;height:4460" coordorigin="0,5997" coordsize="0,4460" path="m2268,98l2268,3737m2268,3876l2268,4557e" filled="false" stroked="true" strokeweight="1pt" strokecolor="#231f20">
              <v:path arrowok="t"/>
              <v:stroke dashstyle="solid"/>
            </v:shape>
            <v:shape style="position:absolute;left:0;top:8594;width:7680;height:1863" coordorigin="0,8594" coordsize="7680,1863" path="m2268,3804l3804,3319,5340,3050,6876,3804,8412,3511,9948,1999m2268,3804l3804,3420,5340,3141,6876,3093,8412,2757,9948,1941e" filled="false" stroked="true" strokeweight="1pt" strokecolor="#231f20">
              <v:path arrowok="t"/>
              <v:stroke dashstyle="solid"/>
            </v:shape>
            <v:rect style="position:absolute;left:2196;top:3737;width:139;height:139" filled="true" fillcolor="#231f20" stroked="false">
              <v:fill type="solid"/>
            </v:rect>
            <v:rect style="position:absolute;left:2196;top:3737;width:139;height:139" filled="false" stroked="true" strokeweight=".094pt" strokecolor="#231f20">
              <v:stroke dashstyle="solid"/>
            </v:rect>
            <v:rect style="position:absolute;left:3732;top:3353;width:139;height:139" filled="true" fillcolor="#231f20" stroked="false">
              <v:fill type="solid"/>
            </v:rect>
            <v:rect style="position:absolute;left:3732;top:3353;width:139;height:139" filled="false" stroked="true" strokeweight=".094pt" strokecolor="#231f20">
              <v:stroke dashstyle="solid"/>
            </v:rect>
            <v:rect style="position:absolute;left:5268;top:3069;width:139;height:139" filled="true" fillcolor="#231f20" stroked="false">
              <v:fill type="solid"/>
            </v:rect>
            <v:rect style="position:absolute;left:5268;top:3069;width:139;height:139" filled="false" stroked="true" strokeweight=".094pt" strokecolor="#231f20">
              <v:stroke dashstyle="solid"/>
            </v:rect>
            <v:rect style="position:absolute;left:6804;top:3026;width:139;height:139" filled="true" fillcolor="#231f20" stroked="false">
              <v:fill type="solid"/>
            </v:rect>
            <v:rect style="position:absolute;left:6804;top:3026;width:139;height:139" filled="false" stroked="true" strokeweight=".094pt" strokecolor="#231f20">
              <v:stroke dashstyle="solid"/>
            </v:rect>
            <v:rect style="position:absolute;left:8340;top:2685;width:139;height:139" filled="true" fillcolor="#231f20" stroked="false">
              <v:fill type="solid"/>
            </v:rect>
            <v:rect style="position:absolute;left:8340;top:2685;width:139;height:139" filled="false" stroked="true" strokeweight=".094pt" strokecolor="#231f20">
              <v:stroke dashstyle="solid"/>
            </v:rect>
            <v:rect style="position:absolute;left:9876;top:1874;width:139;height:134" filled="true" fillcolor="#231f20" stroked="false">
              <v:fill type="solid"/>
            </v:rect>
            <v:rect style="position:absolute;left:9876;top:1874;width:139;height:134" filled="false" stroked="true" strokeweight=".094pt" strokecolor="#231f20">
              <v:stroke dashstyle="solid"/>
            </v:rect>
            <v:shape style="position:absolute;left:2268;top:876;width:7680;height:2928" coordorigin="2268,876" coordsize="7680,2928" path="m2268,3804l3804,3213,5340,2369,6876,3257,8412,2503,9948,876e" filled="false" stroked="true" strokeweight="1pt" strokecolor="#231f20">
              <v:path arrowok="t"/>
              <v:stroke dashstyle="solid"/>
            </v:shape>
            <v:shape style="position:absolute;left:5268;top:809;width:4748;height:2521" coordorigin="5268,809" coordsize="4748,2521" path="m5407,2441l5340,2301,5268,2441,5407,2441m6943,3329l6876,3189,6804,3329,6943,3329m8479,2570l8412,2436,8340,2570,8479,2570m10015,943l9948,809,9876,943,10015,943e" filled="true" fillcolor="#231f20" stroked="false">
              <v:path arrowok="t"/>
              <v:fill type="solid"/>
            </v:shape>
            <v:shape style="position:absolute;left:2191;top:3732;width:149;height:149" type="#_x0000_t75" stroked="false">
              <v:imagedata r:id="rId17" o:title=""/>
            </v:shape>
            <v:shape style="position:absolute;left:3727;top:3146;width:149;height:245" type="#_x0000_t75" stroked="false">
              <v:imagedata r:id="rId18" o:title=""/>
            </v:shape>
            <v:shape style="position:absolute;left:5263;top:2978;width:149;height:149" type="#_x0000_t75" stroked="false">
              <v:imagedata r:id="rId19" o:title=""/>
            </v:shape>
            <v:shape style="position:absolute;left:6799;top:3732;width:149;height:149" type="#_x0000_t75" stroked="false">
              <v:imagedata r:id="rId20" o:title=""/>
            </v:shape>
            <v:shape style="position:absolute;left:8335;top:3434;width:149;height:149" type="#_x0000_t75" stroked="false">
              <v:imagedata r:id="rId21" o:title=""/>
            </v:shape>
            <v:shape style="position:absolute;left:9871;top:1927;width:149;height:149" type="#_x0000_t75" stroked="false">
              <v:imagedata r:id="rId22" o:title=""/>
            </v:shape>
            <w10:wrap type="none"/>
          </v:group>
        </w:pict>
      </w:r>
      <w:r>
        <w:rPr>
          <w:color w:val="231F20"/>
          <w:sz w:val="18"/>
        </w:rPr>
        <w:t>350</w:t>
      </w:r>
    </w:p>
    <w:p>
      <w:pPr>
        <w:pStyle w:val="BodyText"/>
      </w:pPr>
    </w:p>
    <w:p>
      <w:pPr>
        <w:pStyle w:val="BodyText"/>
        <w:spacing w:before="1"/>
        <w:rPr>
          <w:sz w:val="18"/>
        </w:rPr>
      </w:pPr>
    </w:p>
    <w:p>
      <w:pPr>
        <w:spacing w:before="94"/>
        <w:ind w:left="574" w:right="0" w:firstLine="0"/>
        <w:jc w:val="left"/>
        <w:rPr>
          <w:sz w:val="18"/>
        </w:rPr>
      </w:pPr>
      <w:r>
        <w:rPr>
          <w:color w:val="231F20"/>
          <w:sz w:val="18"/>
        </w:rPr>
        <w:t>300</w:t>
      </w:r>
    </w:p>
    <w:p>
      <w:pPr>
        <w:pStyle w:val="BodyText"/>
      </w:pPr>
    </w:p>
    <w:p>
      <w:pPr>
        <w:pStyle w:val="BodyText"/>
        <w:spacing w:before="6"/>
        <w:rPr>
          <w:sz w:val="18"/>
        </w:rPr>
      </w:pPr>
    </w:p>
    <w:p>
      <w:pPr>
        <w:spacing w:before="94"/>
        <w:ind w:left="574" w:right="0" w:firstLine="0"/>
        <w:jc w:val="left"/>
        <w:rPr>
          <w:sz w:val="18"/>
        </w:rPr>
      </w:pPr>
      <w:r>
        <w:rPr/>
        <w:pict>
          <v:shape style="position:absolute;margin-left:79.087997pt;margin-top:-13.797672pt;width:12.1pt;height:127.75pt;mso-position-horizontal-relative:page;mso-position-vertical-relative:paragraph;z-index:2056" type="#_x0000_t202" filled="false" stroked="false">
            <v:textbox inset="0,0,0,0" style="layout-flow:vertical;mso-layout-flow-alt:bottom-to-top">
              <w:txbxContent>
                <w:p>
                  <w:pPr>
                    <w:spacing w:before="13"/>
                    <w:ind w:left="20" w:right="-619" w:firstLine="0"/>
                    <w:jc w:val="left"/>
                    <w:rPr>
                      <w:sz w:val="18"/>
                    </w:rPr>
                  </w:pPr>
                  <w:r>
                    <w:rPr>
                      <w:color w:val="231F20"/>
                      <w:w w:val="100"/>
                      <w:sz w:val="18"/>
                    </w:rPr>
                    <w:t>Total</w:t>
                  </w:r>
                  <w:r>
                    <w:rPr>
                      <w:color w:val="231F20"/>
                      <w:sz w:val="18"/>
                    </w:rPr>
                    <w:t> </w:t>
                  </w:r>
                  <w:r>
                    <w:rPr>
                      <w:color w:val="231F20"/>
                      <w:w w:val="100"/>
                      <w:sz w:val="18"/>
                    </w:rPr>
                    <w:t>Cumulative</w:t>
                  </w:r>
                  <w:r>
                    <w:rPr>
                      <w:color w:val="231F20"/>
                      <w:sz w:val="18"/>
                    </w:rPr>
                    <w:t> </w:t>
                  </w:r>
                  <w:r>
                    <w:rPr>
                      <w:color w:val="231F20"/>
                      <w:w w:val="100"/>
                      <w:sz w:val="18"/>
                    </w:rPr>
                    <w:t>Return</w:t>
                  </w:r>
                  <w:r>
                    <w:rPr>
                      <w:color w:val="231F20"/>
                      <w:sz w:val="18"/>
                    </w:rPr>
                    <w:t> </w:t>
                  </w:r>
                  <w:r>
                    <w:rPr>
                      <w:color w:val="231F20"/>
                      <w:w w:val="93"/>
                      <w:sz w:val="18"/>
                    </w:rPr>
                    <w:t>−</w:t>
                  </w:r>
                  <w:r>
                    <w:rPr>
                      <w:color w:val="231F20"/>
                      <w:sz w:val="18"/>
                    </w:rPr>
                    <w:t> Dollars</w:t>
                  </w:r>
                </w:p>
              </w:txbxContent>
            </v:textbox>
            <w10:wrap type="none"/>
          </v:shape>
        </w:pict>
      </w:r>
      <w:r>
        <w:rPr>
          <w:color w:val="231F20"/>
          <w:sz w:val="18"/>
        </w:rPr>
        <w:t>250</w:t>
      </w:r>
    </w:p>
    <w:p>
      <w:pPr>
        <w:pStyle w:val="BodyText"/>
      </w:pPr>
    </w:p>
    <w:p>
      <w:pPr>
        <w:pStyle w:val="BodyText"/>
        <w:spacing w:before="1"/>
        <w:rPr>
          <w:sz w:val="18"/>
        </w:rPr>
      </w:pPr>
    </w:p>
    <w:p>
      <w:pPr>
        <w:spacing w:before="94"/>
        <w:ind w:left="574" w:right="0" w:firstLine="0"/>
        <w:jc w:val="left"/>
        <w:rPr>
          <w:sz w:val="18"/>
        </w:rPr>
      </w:pPr>
      <w:r>
        <w:rPr>
          <w:color w:val="231F20"/>
          <w:sz w:val="18"/>
        </w:rPr>
        <w:t>200</w:t>
      </w:r>
    </w:p>
    <w:p>
      <w:pPr>
        <w:pStyle w:val="BodyText"/>
      </w:pPr>
    </w:p>
    <w:p>
      <w:pPr>
        <w:pStyle w:val="BodyText"/>
        <w:rPr>
          <w:sz w:val="18"/>
        </w:rPr>
      </w:pPr>
    </w:p>
    <w:p>
      <w:pPr>
        <w:spacing w:before="94"/>
        <w:ind w:left="574" w:right="0" w:firstLine="0"/>
        <w:jc w:val="left"/>
        <w:rPr>
          <w:sz w:val="18"/>
        </w:rPr>
      </w:pPr>
      <w:r>
        <w:rPr>
          <w:color w:val="231F20"/>
          <w:sz w:val="18"/>
        </w:rPr>
        <w:t>150</w:t>
      </w:r>
    </w:p>
    <w:p>
      <w:pPr>
        <w:pStyle w:val="BodyText"/>
      </w:pPr>
    </w:p>
    <w:p>
      <w:pPr>
        <w:pStyle w:val="BodyText"/>
        <w:rPr>
          <w:sz w:val="18"/>
        </w:rPr>
      </w:pPr>
    </w:p>
    <w:p>
      <w:pPr>
        <w:spacing w:before="94"/>
        <w:ind w:left="574" w:right="0" w:firstLine="0"/>
        <w:jc w:val="left"/>
        <w:rPr>
          <w:sz w:val="18"/>
        </w:rPr>
      </w:pPr>
      <w:r>
        <w:rPr>
          <w:color w:val="231F20"/>
          <w:sz w:val="18"/>
        </w:rPr>
        <w:t>100</w:t>
      </w:r>
    </w:p>
    <w:p>
      <w:pPr>
        <w:pStyle w:val="BodyText"/>
      </w:pPr>
    </w:p>
    <w:p>
      <w:pPr>
        <w:pStyle w:val="BodyText"/>
        <w:spacing w:before="1"/>
        <w:rPr>
          <w:sz w:val="18"/>
        </w:rPr>
      </w:pPr>
    </w:p>
    <w:p>
      <w:pPr>
        <w:spacing w:before="94"/>
        <w:ind w:left="675" w:right="0" w:firstLine="0"/>
        <w:jc w:val="left"/>
        <w:rPr>
          <w:sz w:val="18"/>
        </w:rPr>
      </w:pPr>
      <w:r>
        <w:rPr>
          <w:color w:val="231F20"/>
          <w:sz w:val="18"/>
        </w:rPr>
        <w:t>50</w:t>
      </w:r>
    </w:p>
    <w:p>
      <w:pPr>
        <w:tabs>
          <w:tab w:pos="1908" w:val="left" w:leader="none"/>
          <w:tab w:pos="3444" w:val="left" w:leader="none"/>
          <w:tab w:pos="4980" w:val="left" w:leader="none"/>
          <w:tab w:pos="6516" w:val="left" w:leader="none"/>
          <w:tab w:pos="8052" w:val="left" w:leader="none"/>
        </w:tabs>
        <w:spacing w:before="62"/>
        <w:ind w:left="372" w:right="0" w:firstLine="0"/>
        <w:jc w:val="center"/>
        <w:rPr>
          <w:sz w:val="18"/>
        </w:rPr>
      </w:pPr>
      <w:r>
        <w:rPr>
          <w:color w:val="231F20"/>
          <w:sz w:val="18"/>
        </w:rPr>
        <w:t>12/31/08</w:t>
        <w:tab/>
        <w:t>12/31/09</w:t>
        <w:tab/>
        <w:t>12/31/10</w:t>
        <w:tab/>
        <w:t>12/31/11</w:t>
        <w:tab/>
        <w:t>12/31/12</w:t>
        <w:tab/>
        <w:t>12/31/13</w:t>
      </w:r>
    </w:p>
    <w:p>
      <w:pPr>
        <w:spacing w:before="57"/>
        <w:ind w:left="1670" w:right="1383" w:firstLine="0"/>
        <w:jc w:val="center"/>
        <w:rPr>
          <w:sz w:val="18"/>
        </w:rPr>
      </w:pPr>
      <w:r>
        <w:rPr>
          <w:color w:val="231F20"/>
          <w:sz w:val="18"/>
        </w:rPr>
        <w:t>Period Ending</w:t>
      </w:r>
    </w:p>
    <w:p>
      <w:pPr>
        <w:pStyle w:val="BodyText"/>
        <w:spacing w:before="5"/>
        <w:rPr>
          <w:sz w:val="12"/>
        </w:rPr>
      </w:pPr>
    </w:p>
    <w:p>
      <w:pPr>
        <w:tabs>
          <w:tab w:pos="4818" w:val="left" w:leader="none"/>
          <w:tab w:pos="7179" w:val="left" w:leader="none"/>
        </w:tabs>
        <w:spacing w:before="94"/>
        <w:ind w:left="1400" w:right="0" w:firstLine="0"/>
        <w:jc w:val="left"/>
        <w:rPr>
          <w:sz w:val="18"/>
        </w:rPr>
      </w:pPr>
      <w:r>
        <w:rPr/>
        <w:pict>
          <v:group style="position:absolute;margin-left:98.960999pt;margin-top:5.913348pt;width:26.2pt;height:7.25pt;mso-position-horizontal-relative:page;mso-position-vertical-relative:paragraph;z-index:1984" coordorigin="1979,118" coordsize="524,145">
            <v:line style="position:absolute" from="1989,200" to="2493,200" stroked="true" strokeweight="1pt" strokecolor="#231f20">
              <v:stroke dashstyle="solid"/>
            </v:line>
            <v:shape style="position:absolute;left:2176;top:118;width:149;height:144" type="#_x0000_t75" stroked="false">
              <v:imagedata r:id="rId23" o:title=""/>
            </v:shape>
            <w10:wrap type="none"/>
          </v:group>
        </w:pict>
      </w:r>
      <w:r>
        <w:rPr/>
        <w:pict>
          <v:group style="position:absolute;margin-left:269.845001pt;margin-top:6.64435pt;width:26.2pt;height:6.75pt;mso-position-horizontal-relative:page;mso-position-vertical-relative:paragraph;z-index:-334840" coordorigin="5397,133" coordsize="524,135">
            <v:shape style="position:absolute;left:0;top:5131;width:504;height:2" coordorigin="0,5131" coordsize="504,0" path="m5729,200l5911,200m5407,200l5589,200e" filled="false" stroked="true" strokeweight="1pt" strokecolor="#231f20">
              <v:path arrowok="t"/>
              <v:stroke dashstyle="solid"/>
            </v:shape>
            <v:rect style="position:absolute;left:5589;top:133;width:139;height:134" filled="true" fillcolor="#231f20" stroked="false">
              <v:fill type="solid"/>
            </v:rect>
            <w10:wrap type="none"/>
          </v:group>
        </w:pict>
      </w:r>
      <w:r>
        <w:rPr/>
        <w:pict>
          <v:group style="position:absolute;margin-left:386.792999pt;margin-top:6.404346pt;width:26.2pt;height:6.75pt;mso-position-horizontal-relative:page;mso-position-vertical-relative:paragraph;z-index:-334816" coordorigin="7736,128" coordsize="524,135">
            <v:line style="position:absolute" from="7746,200" to="8250,200" stroked="true" strokeweight="1pt" strokecolor="#231f20">
              <v:stroke dashstyle="solid"/>
            </v:line>
            <v:shape style="position:absolute;left:7960;top:128;width:140;height:135" coordorigin="7960,128" coordsize="140,135" path="m8032,128l7960,262,8100,262,8032,128xe" filled="true" fillcolor="#231f20" stroked="false">
              <v:path arrowok="t"/>
              <v:fill type="solid"/>
            </v:shape>
            <w10:wrap type="none"/>
          </v:group>
        </w:pict>
      </w:r>
      <w:r>
        <w:rPr>
          <w:color w:val="231F20"/>
          <w:sz w:val="18"/>
        </w:rPr>
        <w:t>Southwest Airlines Co.</w:t>
        <w:tab/>
      </w:r>
      <w:r>
        <w:rPr>
          <w:color w:val="231F20"/>
          <w:position w:val="1"/>
          <w:sz w:val="18"/>
        </w:rPr>
        <w:t>S&amp;P 500</w:t>
        <w:tab/>
      </w:r>
      <w:r>
        <w:rPr>
          <w:color w:val="231F20"/>
          <w:sz w:val="18"/>
        </w:rPr>
        <w:t>NYSE ARCA</w:t>
      </w:r>
      <w:r>
        <w:rPr>
          <w:color w:val="231F20"/>
          <w:spacing w:val="-1"/>
          <w:sz w:val="18"/>
        </w:rPr>
        <w:t> </w:t>
      </w:r>
      <w:r>
        <w:rPr>
          <w:color w:val="231F20"/>
          <w:sz w:val="18"/>
        </w:rPr>
        <w:t>Airline</w:t>
      </w:r>
    </w:p>
    <w:p>
      <w:pPr>
        <w:pStyle w:val="BodyText"/>
        <w:spacing w:before="4"/>
        <w:rPr>
          <w:sz w:val="24"/>
        </w:rPr>
      </w:pPr>
    </w:p>
    <w:tbl>
      <w:tblPr>
        <w:tblW w:w="0" w:type="auto"/>
        <w:jc w:val="left"/>
        <w:tblInd w:w="15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568"/>
        <w:gridCol w:w="1072"/>
        <w:gridCol w:w="1072"/>
        <w:gridCol w:w="1072"/>
        <w:gridCol w:w="1072"/>
        <w:gridCol w:w="1072"/>
        <w:gridCol w:w="1062"/>
      </w:tblGrid>
      <w:tr>
        <w:trPr>
          <w:trHeight w:val="250" w:hRule="exact"/>
        </w:trPr>
        <w:tc>
          <w:tcPr>
            <w:tcW w:w="2568" w:type="dxa"/>
          </w:tcPr>
          <w:p>
            <w:pPr/>
          </w:p>
        </w:tc>
        <w:tc>
          <w:tcPr>
            <w:tcW w:w="1072" w:type="dxa"/>
          </w:tcPr>
          <w:p>
            <w:pPr>
              <w:pStyle w:val="TableParagraph"/>
              <w:spacing w:before="3"/>
              <w:ind w:left="90"/>
              <w:jc w:val="left"/>
              <w:rPr>
                <w:b/>
                <w:sz w:val="20"/>
              </w:rPr>
            </w:pPr>
            <w:r>
              <w:rPr>
                <w:b/>
                <w:color w:val="231F20"/>
                <w:sz w:val="20"/>
              </w:rPr>
              <w:t>12/31/2008</w:t>
            </w:r>
          </w:p>
        </w:tc>
        <w:tc>
          <w:tcPr>
            <w:tcW w:w="1072" w:type="dxa"/>
          </w:tcPr>
          <w:p>
            <w:pPr>
              <w:pStyle w:val="TableParagraph"/>
              <w:spacing w:before="3"/>
              <w:ind w:left="90"/>
              <w:jc w:val="left"/>
              <w:rPr>
                <w:b/>
                <w:sz w:val="20"/>
              </w:rPr>
            </w:pPr>
            <w:r>
              <w:rPr>
                <w:b/>
                <w:color w:val="231F20"/>
                <w:sz w:val="20"/>
              </w:rPr>
              <w:t>12/31/2009</w:t>
            </w:r>
          </w:p>
        </w:tc>
        <w:tc>
          <w:tcPr>
            <w:tcW w:w="1072" w:type="dxa"/>
          </w:tcPr>
          <w:p>
            <w:pPr>
              <w:pStyle w:val="TableParagraph"/>
              <w:spacing w:before="3"/>
              <w:ind w:left="89"/>
              <w:jc w:val="left"/>
              <w:rPr>
                <w:b/>
                <w:sz w:val="20"/>
              </w:rPr>
            </w:pPr>
            <w:r>
              <w:rPr>
                <w:b/>
                <w:color w:val="231F20"/>
                <w:sz w:val="20"/>
              </w:rPr>
              <w:t>12/31/2010</w:t>
            </w:r>
          </w:p>
        </w:tc>
        <w:tc>
          <w:tcPr>
            <w:tcW w:w="1072" w:type="dxa"/>
          </w:tcPr>
          <w:p>
            <w:pPr>
              <w:pStyle w:val="TableParagraph"/>
              <w:spacing w:before="3"/>
              <w:ind w:left="90"/>
              <w:jc w:val="left"/>
              <w:rPr>
                <w:b/>
                <w:sz w:val="20"/>
              </w:rPr>
            </w:pPr>
            <w:r>
              <w:rPr>
                <w:b/>
                <w:color w:val="231F20"/>
                <w:sz w:val="20"/>
              </w:rPr>
              <w:t>12/31/2011</w:t>
            </w:r>
          </w:p>
        </w:tc>
        <w:tc>
          <w:tcPr>
            <w:tcW w:w="1072" w:type="dxa"/>
          </w:tcPr>
          <w:p>
            <w:pPr>
              <w:pStyle w:val="TableParagraph"/>
              <w:spacing w:before="3"/>
              <w:ind w:left="90"/>
              <w:jc w:val="left"/>
              <w:rPr>
                <w:b/>
                <w:sz w:val="20"/>
              </w:rPr>
            </w:pPr>
            <w:r>
              <w:rPr>
                <w:b/>
                <w:color w:val="231F20"/>
                <w:sz w:val="20"/>
              </w:rPr>
              <w:t>12/31/2012</w:t>
            </w:r>
          </w:p>
        </w:tc>
        <w:tc>
          <w:tcPr>
            <w:tcW w:w="1062" w:type="dxa"/>
          </w:tcPr>
          <w:p>
            <w:pPr>
              <w:pStyle w:val="TableParagraph"/>
              <w:spacing w:before="3"/>
              <w:ind w:left="90"/>
              <w:jc w:val="left"/>
              <w:rPr>
                <w:b/>
                <w:sz w:val="20"/>
              </w:rPr>
            </w:pPr>
            <w:r>
              <w:rPr>
                <w:b/>
                <w:color w:val="231F20"/>
                <w:sz w:val="20"/>
              </w:rPr>
              <w:t>12/31/2013</w:t>
            </w:r>
          </w:p>
        </w:tc>
      </w:tr>
      <w:tr>
        <w:trPr>
          <w:trHeight w:val="300" w:hRule="exact"/>
        </w:trPr>
        <w:tc>
          <w:tcPr>
            <w:tcW w:w="2568" w:type="dxa"/>
          </w:tcPr>
          <w:p>
            <w:pPr>
              <w:pStyle w:val="TableParagraph"/>
              <w:spacing w:before="53"/>
              <w:ind w:left="110"/>
              <w:jc w:val="left"/>
              <w:rPr>
                <w:b/>
                <w:sz w:val="20"/>
              </w:rPr>
            </w:pPr>
            <w:r>
              <w:rPr>
                <w:b/>
                <w:color w:val="231F20"/>
                <w:sz w:val="20"/>
              </w:rPr>
              <w:t>Southwest Airlines Co.</w:t>
            </w:r>
          </w:p>
        </w:tc>
        <w:tc>
          <w:tcPr>
            <w:tcW w:w="1072" w:type="dxa"/>
          </w:tcPr>
          <w:p>
            <w:pPr>
              <w:pStyle w:val="TableParagraph"/>
              <w:tabs>
                <w:tab w:pos="465" w:val="left" w:leader="none"/>
              </w:tabs>
              <w:spacing w:before="53"/>
              <w:ind w:left="90"/>
              <w:jc w:val="left"/>
              <w:rPr>
                <w:sz w:val="20"/>
              </w:rPr>
            </w:pPr>
            <w:r>
              <w:rPr>
                <w:color w:val="231F20"/>
                <w:sz w:val="20"/>
              </w:rPr>
              <w:t>$</w:t>
              <w:tab/>
              <w:t>100</w:t>
            </w:r>
          </w:p>
        </w:tc>
        <w:tc>
          <w:tcPr>
            <w:tcW w:w="1072" w:type="dxa"/>
          </w:tcPr>
          <w:p>
            <w:pPr>
              <w:pStyle w:val="TableParagraph"/>
              <w:tabs>
                <w:tab w:pos="465" w:val="left" w:leader="none"/>
              </w:tabs>
              <w:spacing w:before="53"/>
              <w:ind w:left="90"/>
              <w:jc w:val="left"/>
              <w:rPr>
                <w:sz w:val="20"/>
              </w:rPr>
            </w:pPr>
            <w:r>
              <w:rPr>
                <w:color w:val="231F20"/>
                <w:sz w:val="20"/>
              </w:rPr>
              <w:t>$</w:t>
              <w:tab/>
              <w:t>133</w:t>
            </w:r>
          </w:p>
        </w:tc>
        <w:tc>
          <w:tcPr>
            <w:tcW w:w="1072" w:type="dxa"/>
          </w:tcPr>
          <w:p>
            <w:pPr>
              <w:pStyle w:val="TableParagraph"/>
              <w:tabs>
                <w:tab w:pos="465" w:val="left" w:leader="none"/>
              </w:tabs>
              <w:spacing w:before="53"/>
              <w:ind w:left="89"/>
              <w:jc w:val="left"/>
              <w:rPr>
                <w:sz w:val="20"/>
              </w:rPr>
            </w:pPr>
            <w:r>
              <w:rPr>
                <w:color w:val="231F20"/>
                <w:sz w:val="20"/>
              </w:rPr>
              <w:t>$</w:t>
              <w:tab/>
              <w:t>151</w:t>
            </w:r>
          </w:p>
        </w:tc>
        <w:tc>
          <w:tcPr>
            <w:tcW w:w="1072" w:type="dxa"/>
          </w:tcPr>
          <w:p>
            <w:pPr>
              <w:pStyle w:val="TableParagraph"/>
              <w:tabs>
                <w:tab w:pos="465" w:val="left" w:leader="none"/>
              </w:tabs>
              <w:spacing w:before="53"/>
              <w:ind w:left="90"/>
              <w:jc w:val="left"/>
              <w:rPr>
                <w:sz w:val="20"/>
              </w:rPr>
            </w:pPr>
            <w:r>
              <w:rPr>
                <w:color w:val="231F20"/>
                <w:sz w:val="20"/>
              </w:rPr>
              <w:t>$</w:t>
              <w:tab/>
              <w:t>100</w:t>
            </w:r>
          </w:p>
        </w:tc>
        <w:tc>
          <w:tcPr>
            <w:tcW w:w="1072" w:type="dxa"/>
          </w:tcPr>
          <w:p>
            <w:pPr>
              <w:pStyle w:val="TableParagraph"/>
              <w:tabs>
                <w:tab w:pos="465" w:val="left" w:leader="none"/>
              </w:tabs>
              <w:spacing w:before="53"/>
              <w:ind w:left="90"/>
              <w:jc w:val="left"/>
              <w:rPr>
                <w:sz w:val="20"/>
              </w:rPr>
            </w:pPr>
            <w:r>
              <w:rPr>
                <w:color w:val="231F20"/>
                <w:sz w:val="20"/>
              </w:rPr>
              <w:t>$</w:t>
              <w:tab/>
              <w:t>120</w:t>
            </w:r>
          </w:p>
        </w:tc>
        <w:tc>
          <w:tcPr>
            <w:tcW w:w="1062" w:type="dxa"/>
          </w:tcPr>
          <w:p>
            <w:pPr>
              <w:pStyle w:val="TableParagraph"/>
              <w:tabs>
                <w:tab w:pos="465" w:val="left" w:leader="none"/>
              </w:tabs>
              <w:spacing w:before="53"/>
              <w:ind w:left="90"/>
              <w:jc w:val="left"/>
              <w:rPr>
                <w:sz w:val="20"/>
              </w:rPr>
            </w:pPr>
            <w:r>
              <w:rPr>
                <w:color w:val="231F20"/>
                <w:sz w:val="20"/>
              </w:rPr>
              <w:t>$</w:t>
              <w:tab/>
              <w:t>222</w:t>
            </w:r>
          </w:p>
        </w:tc>
      </w:tr>
      <w:tr>
        <w:trPr>
          <w:trHeight w:val="300" w:hRule="exact"/>
        </w:trPr>
        <w:tc>
          <w:tcPr>
            <w:tcW w:w="2568" w:type="dxa"/>
          </w:tcPr>
          <w:p>
            <w:pPr>
              <w:pStyle w:val="TableParagraph"/>
              <w:spacing w:before="53"/>
              <w:ind w:left="110"/>
              <w:jc w:val="left"/>
              <w:rPr>
                <w:b/>
                <w:sz w:val="20"/>
              </w:rPr>
            </w:pPr>
            <w:r>
              <w:rPr>
                <w:b/>
                <w:color w:val="231F20"/>
                <w:sz w:val="20"/>
              </w:rPr>
              <w:t>S&amp;P 500</w:t>
            </w:r>
          </w:p>
        </w:tc>
        <w:tc>
          <w:tcPr>
            <w:tcW w:w="1072" w:type="dxa"/>
          </w:tcPr>
          <w:p>
            <w:pPr>
              <w:pStyle w:val="TableParagraph"/>
              <w:tabs>
                <w:tab w:pos="465" w:val="left" w:leader="none"/>
              </w:tabs>
              <w:spacing w:before="53"/>
              <w:ind w:left="90"/>
              <w:jc w:val="left"/>
              <w:rPr>
                <w:sz w:val="20"/>
              </w:rPr>
            </w:pPr>
            <w:r>
              <w:rPr>
                <w:color w:val="231F20"/>
                <w:sz w:val="20"/>
              </w:rPr>
              <w:t>$</w:t>
              <w:tab/>
              <w:t>100</w:t>
            </w:r>
          </w:p>
        </w:tc>
        <w:tc>
          <w:tcPr>
            <w:tcW w:w="1072" w:type="dxa"/>
          </w:tcPr>
          <w:p>
            <w:pPr>
              <w:pStyle w:val="TableParagraph"/>
              <w:tabs>
                <w:tab w:pos="465" w:val="left" w:leader="none"/>
              </w:tabs>
              <w:spacing w:before="53"/>
              <w:ind w:left="90"/>
              <w:jc w:val="left"/>
              <w:rPr>
                <w:sz w:val="20"/>
              </w:rPr>
            </w:pPr>
            <w:r>
              <w:rPr>
                <w:color w:val="231F20"/>
                <w:sz w:val="20"/>
              </w:rPr>
              <w:t>$</w:t>
              <w:tab/>
              <w:t>126</w:t>
            </w:r>
          </w:p>
        </w:tc>
        <w:tc>
          <w:tcPr>
            <w:tcW w:w="1072" w:type="dxa"/>
          </w:tcPr>
          <w:p>
            <w:pPr>
              <w:pStyle w:val="TableParagraph"/>
              <w:tabs>
                <w:tab w:pos="465" w:val="left" w:leader="none"/>
              </w:tabs>
              <w:spacing w:before="53"/>
              <w:ind w:left="89"/>
              <w:jc w:val="left"/>
              <w:rPr>
                <w:sz w:val="20"/>
              </w:rPr>
            </w:pPr>
            <w:r>
              <w:rPr>
                <w:color w:val="231F20"/>
                <w:sz w:val="20"/>
              </w:rPr>
              <w:t>$</w:t>
              <w:tab/>
              <w:t>145</w:t>
            </w:r>
          </w:p>
        </w:tc>
        <w:tc>
          <w:tcPr>
            <w:tcW w:w="1072" w:type="dxa"/>
          </w:tcPr>
          <w:p>
            <w:pPr>
              <w:pStyle w:val="TableParagraph"/>
              <w:tabs>
                <w:tab w:pos="465" w:val="left" w:leader="none"/>
              </w:tabs>
              <w:spacing w:before="53"/>
              <w:ind w:left="90"/>
              <w:jc w:val="left"/>
              <w:rPr>
                <w:sz w:val="20"/>
              </w:rPr>
            </w:pPr>
            <w:r>
              <w:rPr>
                <w:color w:val="231F20"/>
                <w:sz w:val="20"/>
              </w:rPr>
              <w:t>$</w:t>
              <w:tab/>
              <w:t>148</w:t>
            </w:r>
          </w:p>
        </w:tc>
        <w:tc>
          <w:tcPr>
            <w:tcW w:w="1072" w:type="dxa"/>
          </w:tcPr>
          <w:p>
            <w:pPr>
              <w:pStyle w:val="TableParagraph"/>
              <w:tabs>
                <w:tab w:pos="465" w:val="left" w:leader="none"/>
              </w:tabs>
              <w:spacing w:before="53"/>
              <w:ind w:left="90"/>
              <w:jc w:val="left"/>
              <w:rPr>
                <w:sz w:val="20"/>
              </w:rPr>
            </w:pPr>
            <w:r>
              <w:rPr>
                <w:color w:val="231F20"/>
                <w:sz w:val="20"/>
              </w:rPr>
              <w:t>$</w:t>
              <w:tab/>
              <w:t>171</w:t>
            </w:r>
          </w:p>
        </w:tc>
        <w:tc>
          <w:tcPr>
            <w:tcW w:w="1062" w:type="dxa"/>
          </w:tcPr>
          <w:p>
            <w:pPr>
              <w:pStyle w:val="TableParagraph"/>
              <w:tabs>
                <w:tab w:pos="465" w:val="left" w:leader="none"/>
              </w:tabs>
              <w:spacing w:before="53"/>
              <w:ind w:left="90"/>
              <w:jc w:val="left"/>
              <w:rPr>
                <w:sz w:val="20"/>
              </w:rPr>
            </w:pPr>
            <w:r>
              <w:rPr>
                <w:color w:val="231F20"/>
                <w:sz w:val="20"/>
              </w:rPr>
              <w:t>$</w:t>
              <w:tab/>
              <w:t>226</w:t>
            </w:r>
          </w:p>
        </w:tc>
      </w:tr>
      <w:tr>
        <w:trPr>
          <w:trHeight w:val="300" w:hRule="exact"/>
        </w:trPr>
        <w:tc>
          <w:tcPr>
            <w:tcW w:w="2568" w:type="dxa"/>
          </w:tcPr>
          <w:p>
            <w:pPr>
              <w:pStyle w:val="TableParagraph"/>
              <w:spacing w:before="53"/>
              <w:ind w:left="110"/>
              <w:jc w:val="left"/>
              <w:rPr>
                <w:b/>
                <w:sz w:val="20"/>
              </w:rPr>
            </w:pPr>
            <w:r>
              <w:rPr>
                <w:b/>
                <w:color w:val="231F20"/>
                <w:sz w:val="20"/>
              </w:rPr>
              <w:t>NYSE ARCA Airline</w:t>
            </w:r>
          </w:p>
        </w:tc>
        <w:tc>
          <w:tcPr>
            <w:tcW w:w="1072" w:type="dxa"/>
          </w:tcPr>
          <w:p>
            <w:pPr>
              <w:pStyle w:val="TableParagraph"/>
              <w:tabs>
                <w:tab w:pos="465" w:val="left" w:leader="none"/>
              </w:tabs>
              <w:spacing w:before="53"/>
              <w:ind w:left="90"/>
              <w:jc w:val="left"/>
              <w:rPr>
                <w:sz w:val="20"/>
              </w:rPr>
            </w:pPr>
            <w:r>
              <w:rPr>
                <w:color w:val="231F20"/>
                <w:sz w:val="20"/>
              </w:rPr>
              <w:t>$</w:t>
              <w:tab/>
              <w:t>100</w:t>
            </w:r>
          </w:p>
        </w:tc>
        <w:tc>
          <w:tcPr>
            <w:tcW w:w="1072" w:type="dxa"/>
          </w:tcPr>
          <w:p>
            <w:pPr>
              <w:pStyle w:val="TableParagraph"/>
              <w:tabs>
                <w:tab w:pos="465" w:val="left" w:leader="none"/>
              </w:tabs>
              <w:spacing w:before="53"/>
              <w:ind w:left="90"/>
              <w:jc w:val="left"/>
              <w:rPr>
                <w:sz w:val="20"/>
              </w:rPr>
            </w:pPr>
            <w:r>
              <w:rPr>
                <w:color w:val="231F20"/>
                <w:sz w:val="20"/>
              </w:rPr>
              <w:t>$</w:t>
              <w:tab/>
              <w:t>140</w:t>
            </w:r>
          </w:p>
        </w:tc>
        <w:tc>
          <w:tcPr>
            <w:tcW w:w="1072" w:type="dxa"/>
          </w:tcPr>
          <w:p>
            <w:pPr>
              <w:pStyle w:val="TableParagraph"/>
              <w:tabs>
                <w:tab w:pos="465" w:val="left" w:leader="none"/>
              </w:tabs>
              <w:spacing w:before="53"/>
              <w:ind w:left="89"/>
              <w:jc w:val="left"/>
              <w:rPr>
                <w:sz w:val="20"/>
              </w:rPr>
            </w:pPr>
            <w:r>
              <w:rPr>
                <w:color w:val="231F20"/>
                <w:sz w:val="20"/>
              </w:rPr>
              <w:t>$</w:t>
              <w:tab/>
              <w:t>197</w:t>
            </w:r>
          </w:p>
        </w:tc>
        <w:tc>
          <w:tcPr>
            <w:tcW w:w="1072" w:type="dxa"/>
          </w:tcPr>
          <w:p>
            <w:pPr>
              <w:pStyle w:val="TableParagraph"/>
              <w:tabs>
                <w:tab w:pos="465" w:val="left" w:leader="none"/>
              </w:tabs>
              <w:spacing w:before="53"/>
              <w:ind w:left="90"/>
              <w:jc w:val="left"/>
              <w:rPr>
                <w:sz w:val="20"/>
              </w:rPr>
            </w:pPr>
            <w:r>
              <w:rPr>
                <w:color w:val="231F20"/>
                <w:sz w:val="20"/>
              </w:rPr>
              <w:t>$</w:t>
              <w:tab/>
              <w:t>137</w:t>
            </w:r>
          </w:p>
        </w:tc>
        <w:tc>
          <w:tcPr>
            <w:tcW w:w="1072" w:type="dxa"/>
          </w:tcPr>
          <w:p>
            <w:pPr>
              <w:pStyle w:val="TableParagraph"/>
              <w:tabs>
                <w:tab w:pos="465" w:val="left" w:leader="none"/>
              </w:tabs>
              <w:spacing w:before="53"/>
              <w:ind w:left="90"/>
              <w:jc w:val="left"/>
              <w:rPr>
                <w:sz w:val="20"/>
              </w:rPr>
            </w:pPr>
            <w:r>
              <w:rPr>
                <w:color w:val="231F20"/>
                <w:sz w:val="20"/>
              </w:rPr>
              <w:t>$</w:t>
              <w:tab/>
              <w:t>188</w:t>
            </w:r>
          </w:p>
        </w:tc>
        <w:tc>
          <w:tcPr>
            <w:tcW w:w="1062" w:type="dxa"/>
          </w:tcPr>
          <w:p>
            <w:pPr>
              <w:pStyle w:val="TableParagraph"/>
              <w:tabs>
                <w:tab w:pos="465" w:val="left" w:leader="none"/>
              </w:tabs>
              <w:spacing w:before="53"/>
              <w:ind w:left="90"/>
              <w:jc w:val="left"/>
              <w:rPr>
                <w:sz w:val="20"/>
              </w:rPr>
            </w:pPr>
            <w:r>
              <w:rPr>
                <w:color w:val="231F20"/>
                <w:sz w:val="20"/>
              </w:rPr>
              <w:t>$</w:t>
              <w:tab/>
              <w:t>298</w:t>
            </w:r>
          </w:p>
        </w:tc>
      </w:tr>
    </w:tbl>
    <w:p>
      <w:pPr>
        <w:spacing w:after="0"/>
        <w:jc w:val="left"/>
        <w:rPr>
          <w:sz w:val="20"/>
        </w:rPr>
        <w:sectPr>
          <w:footerReference w:type="default" r:id="rId16"/>
          <w:pgSz w:w="11880" w:h="15480"/>
          <w:pgMar w:footer="1253" w:header="0" w:top="1240" w:bottom="1440" w:left="1280" w:right="1320"/>
          <w:pgNumType w:start="41"/>
        </w:sectPr>
      </w:pPr>
    </w:p>
    <w:p>
      <w:pPr>
        <w:pStyle w:val="Heading3"/>
        <w:spacing w:before="73"/>
        <w:ind w:left="120"/>
      </w:pPr>
      <w:r>
        <w:rPr>
          <w:color w:val="231F20"/>
        </w:rPr>
        <w:t>Issuer Repurchases</w:t>
      </w:r>
    </w:p>
    <w:p>
      <w:pPr>
        <w:pStyle w:val="BodyText"/>
        <w:rPr>
          <w:b/>
          <w:sz w:val="22"/>
        </w:rPr>
      </w:pPr>
      <w:r>
        <w:rPr/>
        <w:br w:type="column"/>
      </w:r>
      <w:r>
        <w:rPr>
          <w:b/>
          <w:sz w:val="22"/>
        </w:rPr>
      </w:r>
    </w:p>
    <w:p>
      <w:pPr>
        <w:pStyle w:val="BodyText"/>
        <w:spacing w:before="4"/>
        <w:rPr>
          <w:b/>
          <w:sz w:val="17"/>
        </w:rPr>
      </w:pPr>
    </w:p>
    <w:p>
      <w:pPr>
        <w:pStyle w:val="BodyText"/>
        <w:spacing w:before="1"/>
        <w:ind w:left="120"/>
      </w:pPr>
      <w:r>
        <w:rPr>
          <w:color w:val="231F20"/>
        </w:rPr>
        <w:t>Issuer Purchases of Equity Securities (1)</w:t>
      </w:r>
    </w:p>
    <w:p>
      <w:pPr>
        <w:pStyle w:val="Heading3"/>
        <w:tabs>
          <w:tab w:pos="2391" w:val="left" w:leader="none"/>
          <w:tab w:pos="3736" w:val="left" w:leader="none"/>
          <w:tab w:pos="5353" w:val="left" w:leader="none"/>
        </w:tabs>
        <w:spacing w:line="249" w:lineRule="auto" w:before="10"/>
        <w:ind w:left="4750" w:right="224" w:hanging="3323"/>
      </w:pPr>
      <w:r>
        <w:rPr>
          <w:color w:val="231F20"/>
        </w:rPr>
        <w:t>(a)</w:t>
        <w:tab/>
        <w:t>(b)</w:t>
        <w:tab/>
        <w:t>(c)</w:t>
        <w:tab/>
        <w:tab/>
        <w:t>(d) Maximum</w:t>
      </w:r>
      <w:r>
        <w:rPr>
          <w:color w:val="231F20"/>
          <w:spacing w:val="1"/>
        </w:rPr>
        <w:t> </w:t>
      </w:r>
      <w:r>
        <w:rPr>
          <w:color w:val="231F20"/>
        </w:rPr>
        <w:t>dollar</w:t>
      </w:r>
    </w:p>
    <w:p>
      <w:pPr>
        <w:spacing w:before="1"/>
        <w:ind w:left="3148" w:right="0" w:firstLine="0"/>
        <w:jc w:val="left"/>
        <w:rPr>
          <w:b/>
          <w:sz w:val="20"/>
        </w:rPr>
      </w:pPr>
      <w:r>
        <w:rPr>
          <w:b/>
          <w:color w:val="231F20"/>
          <w:sz w:val="20"/>
        </w:rPr>
        <w:t>Total number of  value of shares that</w:t>
      </w:r>
    </w:p>
    <w:p>
      <w:pPr>
        <w:spacing w:after="0"/>
        <w:jc w:val="left"/>
        <w:rPr>
          <w:sz w:val="20"/>
        </w:rPr>
        <w:sectPr>
          <w:pgSz w:w="11880" w:h="15480"/>
          <w:pgMar w:header="0" w:footer="1253" w:top="1240" w:bottom="1440" w:left="1260" w:right="1260"/>
          <w:cols w:num="2" w:equalWidth="0">
            <w:col w:w="1782" w:space="1150"/>
            <w:col w:w="6428"/>
          </w:cols>
        </w:sectPr>
      </w:pPr>
    </w:p>
    <w:p>
      <w:pPr>
        <w:pStyle w:val="BodyText"/>
        <w:rPr>
          <w:b/>
          <w:sz w:val="22"/>
        </w:rPr>
      </w:pPr>
    </w:p>
    <w:p>
      <w:pPr>
        <w:pStyle w:val="BodyText"/>
        <w:rPr>
          <w:b/>
          <w:sz w:val="22"/>
        </w:rPr>
      </w:pPr>
    </w:p>
    <w:p>
      <w:pPr>
        <w:pStyle w:val="BodyText"/>
        <w:spacing w:before="5"/>
        <w:rPr>
          <w:b/>
          <w:sz w:val="19"/>
        </w:rPr>
      </w:pPr>
    </w:p>
    <w:p>
      <w:pPr>
        <w:spacing w:before="0"/>
        <w:ind w:left="1617" w:right="0" w:firstLine="0"/>
        <w:jc w:val="left"/>
        <w:rPr>
          <w:b/>
          <w:sz w:val="20"/>
        </w:rPr>
      </w:pPr>
      <w:r>
        <w:rPr/>
        <w:pict>
          <v:line style="position:absolute;mso-position-horizontal-relative:page;mso-position-vertical-relative:paragraph;z-index:2200" from="525pt,12.835938pt" to="69pt,12.835938pt" stroked="true" strokeweight="1pt" strokecolor="#231f20">
            <v:stroke dashstyle="solid"/>
            <w10:wrap type="none"/>
          </v:line>
        </w:pict>
      </w:r>
      <w:r>
        <w:rPr>
          <w:b/>
          <w:color w:val="231F20"/>
          <w:sz w:val="20"/>
        </w:rPr>
        <w:t>Period</w:t>
      </w:r>
    </w:p>
    <w:p>
      <w:pPr>
        <w:pStyle w:val="BodyText"/>
        <w:spacing w:before="89"/>
        <w:ind w:left="120"/>
      </w:pPr>
      <w:r>
        <w:rPr>
          <w:color w:val="231F20"/>
        </w:rPr>
        <w:t>October 1, 2013 through October 31,</w:t>
      </w:r>
    </w:p>
    <w:p>
      <w:pPr>
        <w:pStyle w:val="BodyText"/>
        <w:spacing w:before="8"/>
        <w:rPr>
          <w:sz w:val="21"/>
        </w:rPr>
      </w:pPr>
      <w:r>
        <w:rPr/>
        <w:br w:type="column"/>
      </w:r>
      <w:r>
        <w:rPr>
          <w:sz w:val="21"/>
        </w:rPr>
      </w:r>
    </w:p>
    <w:p>
      <w:pPr>
        <w:pStyle w:val="Heading3"/>
        <w:spacing w:line="249" w:lineRule="auto"/>
        <w:ind w:left="120"/>
        <w:jc w:val="center"/>
      </w:pPr>
      <w:r>
        <w:rPr>
          <w:color w:val="231F20"/>
        </w:rPr>
        <w:t>Total number</w:t>
      </w:r>
      <w:r>
        <w:rPr>
          <w:color w:val="231F20"/>
          <w:w w:val="99"/>
        </w:rPr>
        <w:t> </w:t>
      </w:r>
      <w:r>
        <w:rPr>
          <w:color w:val="231F20"/>
        </w:rPr>
        <w:t>of shares purchased</w:t>
      </w:r>
    </w:p>
    <w:p>
      <w:pPr>
        <w:spacing w:line="249" w:lineRule="auto" w:before="10"/>
        <w:ind w:left="-20" w:right="0" w:firstLine="0"/>
        <w:jc w:val="center"/>
        <w:rPr>
          <w:b/>
          <w:sz w:val="20"/>
        </w:rPr>
      </w:pPr>
      <w:r>
        <w:rPr/>
        <w:br w:type="column"/>
      </w:r>
      <w:r>
        <w:rPr>
          <w:b/>
          <w:color w:val="231F20"/>
          <w:sz w:val="20"/>
        </w:rPr>
        <w:t>Average price paid per</w:t>
      </w:r>
      <w:r>
        <w:rPr>
          <w:b/>
          <w:color w:val="231F20"/>
          <w:w w:val="100"/>
          <w:sz w:val="20"/>
        </w:rPr>
        <w:t> </w:t>
      </w:r>
      <w:r>
        <w:rPr>
          <w:b/>
          <w:color w:val="231F20"/>
          <w:sz w:val="20"/>
        </w:rPr>
        <w:t>share</w:t>
      </w:r>
    </w:p>
    <w:p>
      <w:pPr>
        <w:spacing w:line="249" w:lineRule="auto" w:before="10"/>
        <w:ind w:left="120" w:right="0" w:firstLine="0"/>
        <w:jc w:val="center"/>
        <w:rPr>
          <w:b/>
          <w:sz w:val="20"/>
        </w:rPr>
      </w:pPr>
      <w:r>
        <w:rPr/>
        <w:br w:type="column"/>
      </w:r>
      <w:r>
        <w:rPr>
          <w:b/>
          <w:color w:val="231F20"/>
          <w:sz w:val="20"/>
        </w:rPr>
        <w:t>shares purchased as part of publicly announced plans or programs</w:t>
      </w:r>
    </w:p>
    <w:p>
      <w:pPr>
        <w:spacing w:line="249" w:lineRule="auto" w:before="10"/>
        <w:ind w:left="120" w:right="283" w:firstLine="1"/>
        <w:jc w:val="center"/>
        <w:rPr>
          <w:b/>
          <w:sz w:val="20"/>
        </w:rPr>
      </w:pPr>
      <w:r>
        <w:rPr/>
        <w:br w:type="column"/>
      </w:r>
      <w:r>
        <w:rPr>
          <w:b/>
          <w:color w:val="231F20"/>
          <w:sz w:val="20"/>
        </w:rPr>
        <w:t>may yet be purchased under the plans</w:t>
      </w:r>
      <w:r>
        <w:rPr>
          <w:b/>
          <w:color w:val="231F20"/>
          <w:w w:val="99"/>
          <w:sz w:val="20"/>
        </w:rPr>
        <w:t> </w:t>
      </w:r>
      <w:r>
        <w:rPr>
          <w:b/>
          <w:color w:val="231F20"/>
          <w:sz w:val="20"/>
        </w:rPr>
        <w:t>or programs</w:t>
      </w:r>
    </w:p>
    <w:p>
      <w:pPr>
        <w:spacing w:after="0" w:line="249" w:lineRule="auto"/>
        <w:jc w:val="center"/>
        <w:rPr>
          <w:sz w:val="20"/>
        </w:rPr>
        <w:sectPr>
          <w:type w:val="continuous"/>
          <w:pgSz w:w="11880" w:h="15480"/>
          <w:pgMar w:top="1200" w:bottom="280" w:left="1260" w:right="1260"/>
          <w:cols w:num="5" w:equalWidth="0">
            <w:col w:w="3084" w:space="680"/>
            <w:col w:w="1304" w:space="40"/>
            <w:col w:w="697" w:space="80"/>
            <w:col w:w="1672" w:space="64"/>
            <w:col w:w="1739"/>
          </w:cols>
        </w:sectPr>
      </w:pPr>
    </w:p>
    <w:p>
      <w:pPr>
        <w:pStyle w:val="BodyText"/>
        <w:tabs>
          <w:tab w:pos="4325" w:val="left" w:leader="none"/>
          <w:tab w:pos="5087" w:val="left" w:leader="none"/>
          <w:tab w:pos="6630" w:val="left" w:leader="none"/>
          <w:tab w:pos="7576" w:val="left" w:leader="none"/>
          <w:tab w:pos="7958" w:val="left" w:leader="none"/>
        </w:tabs>
        <w:spacing w:before="9"/>
        <w:ind w:left="320"/>
      </w:pPr>
      <w:r>
        <w:rPr>
          <w:color w:val="231F20"/>
        </w:rPr>
        <w:t>2013  . . . . . . . . . . . . . . . . . . . . . . . . . . .</w:t>
      </w:r>
      <w:r>
        <w:rPr>
          <w:color w:val="231F20"/>
          <w:spacing w:val="14"/>
        </w:rPr>
        <w:t> </w:t>
      </w:r>
      <w:r>
        <w:rPr>
          <w:color w:val="231F20"/>
        </w:rPr>
        <w:t>. .</w:t>
        <w:tab/>
        <w:t>—</w:t>
        <w:tab/>
        <w:t>$  </w:t>
      </w:r>
      <w:r>
        <w:rPr>
          <w:color w:val="231F20"/>
          <w:spacing w:val="9"/>
        </w:rPr>
        <w:t> </w:t>
      </w:r>
      <w:r>
        <w:rPr>
          <w:color w:val="231F20"/>
        </w:rPr>
        <w:t>—</w:t>
        <w:tab/>
        <w:t>—</w:t>
        <w:tab/>
        <w:t>$</w:t>
        <w:tab/>
        <w:t>374,515,838</w:t>
      </w:r>
    </w:p>
    <w:p>
      <w:pPr>
        <w:pStyle w:val="BodyText"/>
        <w:spacing w:before="9"/>
        <w:ind w:left="120"/>
      </w:pPr>
      <w:r>
        <w:rPr>
          <w:color w:val="231F20"/>
        </w:rPr>
        <w:t>November 1, 2013 through November 30,</w:t>
      </w:r>
    </w:p>
    <w:p>
      <w:pPr>
        <w:pStyle w:val="BodyText"/>
        <w:tabs>
          <w:tab w:pos="4325" w:val="left" w:leader="none"/>
          <w:tab w:pos="5087" w:val="left" w:leader="none"/>
          <w:tab w:pos="6630" w:val="left" w:leader="none"/>
          <w:tab w:pos="7576" w:val="left" w:leader="none"/>
          <w:tab w:pos="7958" w:val="left" w:leader="none"/>
        </w:tabs>
        <w:spacing w:before="9"/>
        <w:ind w:left="320"/>
      </w:pPr>
      <w:r>
        <w:rPr>
          <w:color w:val="231F20"/>
        </w:rPr>
        <w:t>2013  . . . . . . . . . . . . . . . . . . . . . . . . . . .</w:t>
      </w:r>
      <w:r>
        <w:rPr>
          <w:color w:val="231F20"/>
          <w:spacing w:val="14"/>
        </w:rPr>
        <w:t> </w:t>
      </w:r>
      <w:r>
        <w:rPr>
          <w:color w:val="231F20"/>
        </w:rPr>
        <w:t>. .</w:t>
        <w:tab/>
        <w:t>—</w:t>
        <w:tab/>
        <w:t>$  </w:t>
      </w:r>
      <w:r>
        <w:rPr>
          <w:color w:val="231F20"/>
          <w:spacing w:val="9"/>
        </w:rPr>
        <w:t> </w:t>
      </w:r>
      <w:r>
        <w:rPr>
          <w:color w:val="231F20"/>
        </w:rPr>
        <w:t>—</w:t>
        <w:tab/>
        <w:t>—</w:t>
        <w:tab/>
        <w:t>$</w:t>
        <w:tab/>
        <w:t>374,515,838</w:t>
      </w:r>
    </w:p>
    <w:p>
      <w:pPr>
        <w:pStyle w:val="BodyText"/>
        <w:spacing w:before="9"/>
        <w:ind w:left="120"/>
      </w:pPr>
      <w:r>
        <w:rPr>
          <w:color w:val="231F20"/>
        </w:rPr>
        <w:t>December 1, 2013 through December 31,</w:t>
      </w:r>
    </w:p>
    <w:p>
      <w:pPr>
        <w:pStyle w:val="BodyText"/>
        <w:tabs>
          <w:tab w:pos="4325" w:val="left" w:leader="none"/>
          <w:tab w:pos="5087" w:val="left" w:leader="none"/>
          <w:tab w:pos="6630" w:val="left" w:leader="none"/>
          <w:tab w:pos="7576" w:val="left" w:leader="none"/>
          <w:tab w:pos="7958" w:val="left" w:leader="none"/>
        </w:tabs>
        <w:spacing w:before="9"/>
        <w:ind w:left="320"/>
      </w:pPr>
      <w:r>
        <w:rPr/>
        <w:pict>
          <v:line style="position:absolute;mso-position-horizontal-relative:page;mso-position-vertical-relative:paragraph;z-index:2080;mso-wrap-distance-left:0;mso-wrap-distance-right:0" from="257.199982pt,13.535937pt" to="316.399982pt,13.535937pt" stroked="true" strokeweight=".5pt" strokecolor="#231f20">
            <v:stroke dashstyle="solid"/>
            <w10:wrap type="topAndBottom"/>
          </v:line>
        </w:pict>
      </w:r>
      <w:r>
        <w:rPr/>
        <w:pict>
          <v:line style="position:absolute;mso-position-horizontal-relative:page;mso-position-vertical-relative:paragraph;z-index:2104;mso-wrap-distance-left:0;mso-wrap-distance-right:0" from="363.25pt,13.535937pt" to="440.85pt,13.535937pt" stroked="true" strokeweight=".5pt" strokecolor="#231f20">
            <v:stroke dashstyle="solid"/>
            <w10:wrap type="topAndBottom"/>
          </v:line>
        </w:pict>
      </w:r>
      <w:r>
        <w:rPr>
          <w:color w:val="231F20"/>
        </w:rPr>
        <w:t>2013  . . . . . . . . . . . . . . . . . . . . . . . . . . .</w:t>
      </w:r>
      <w:r>
        <w:rPr>
          <w:color w:val="231F20"/>
          <w:spacing w:val="14"/>
        </w:rPr>
        <w:t> </w:t>
      </w:r>
      <w:r>
        <w:rPr>
          <w:color w:val="231F20"/>
        </w:rPr>
        <w:t>. .</w:t>
        <w:tab/>
        <w:t>—</w:t>
        <w:tab/>
        <w:t>$  </w:t>
      </w:r>
      <w:r>
        <w:rPr>
          <w:color w:val="231F20"/>
          <w:spacing w:val="9"/>
        </w:rPr>
        <w:t> </w:t>
      </w:r>
      <w:r>
        <w:rPr>
          <w:color w:val="231F20"/>
        </w:rPr>
        <w:t>—  (2)</w:t>
        <w:tab/>
        <w:t>—</w:t>
        <w:tab/>
        <w:t>$</w:t>
        <w:tab/>
        <w:t>334,859,846(2)</w:t>
      </w:r>
    </w:p>
    <w:p>
      <w:pPr>
        <w:pStyle w:val="BodyText"/>
        <w:tabs>
          <w:tab w:pos="4325" w:val="left" w:leader="none"/>
          <w:tab w:pos="6630" w:val="left" w:leader="none"/>
        </w:tabs>
        <w:spacing w:before="24" w:after="26"/>
        <w:ind w:left="120"/>
      </w:pPr>
      <w:r>
        <w:rPr>
          <w:color w:val="231F20"/>
        </w:rPr>
        <w:t>Total  . . . . . . . . . . . . . . . . . . . . . . . . . . . . .</w:t>
      </w:r>
      <w:r>
        <w:rPr>
          <w:color w:val="231F20"/>
          <w:spacing w:val="-9"/>
        </w:rPr>
        <w:t> </w:t>
      </w:r>
      <w:r>
        <w:rPr>
          <w:color w:val="231F20"/>
        </w:rPr>
        <w:t>. .</w:t>
        <w:tab/>
        <w:t>—</w:t>
        <w:tab/>
        <w:t>—</w:t>
      </w:r>
    </w:p>
    <w:p>
      <w:pPr>
        <w:tabs>
          <w:tab w:pos="6000" w:val="left" w:leader="none"/>
        </w:tabs>
        <w:spacing w:line="50" w:lineRule="exact"/>
        <w:ind w:left="3879" w:right="0" w:firstLine="0"/>
        <w:rPr>
          <w:sz w:val="5"/>
        </w:rPr>
      </w:pPr>
      <w:r>
        <w:rPr>
          <w:position w:val="0"/>
          <w:sz w:val="5"/>
        </w:rPr>
        <w:pict>
          <v:group style="width:59.7pt;height:2.5pt;mso-position-horizontal-relative:char;mso-position-vertical-relative:line" coordorigin="0,0" coordsize="1194,50">
            <v:line style="position:absolute" from="5,5" to="1189,5" stroked="true" strokeweight=".5pt" strokecolor="#231f20">
              <v:stroke dashstyle="solid"/>
            </v:line>
            <v:line style="position:absolute" from="5,45" to="1189,45" stroked="true" strokeweight=".5pt" strokecolor="#231f20">
              <v:stroke dashstyle="solid"/>
            </v:line>
          </v:group>
        </w:pict>
      </w:r>
      <w:r>
        <w:rPr>
          <w:position w:val="0"/>
          <w:sz w:val="5"/>
        </w:rPr>
      </w:r>
      <w:r>
        <w:rPr>
          <w:position w:val="0"/>
          <w:sz w:val="5"/>
        </w:rPr>
        <w:tab/>
      </w:r>
      <w:r>
        <w:rPr>
          <w:position w:val="0"/>
          <w:sz w:val="5"/>
        </w:rPr>
        <w:pict>
          <v:group style="width:78.1pt;height:2.5pt;mso-position-horizontal-relative:char;mso-position-vertical-relative:line" coordorigin="0,0" coordsize="1562,50">
            <v:line style="position:absolute" from="5,5" to="1557,5" stroked="true" strokeweight=".5pt" strokecolor="#231f20">
              <v:stroke dashstyle="solid"/>
            </v:line>
            <v:line style="position:absolute" from="5,45" to="1557,45" stroked="true" strokeweight=".5pt" strokecolor="#231f20">
              <v:stroke dashstyle="solid"/>
            </v:line>
          </v:group>
        </w:pict>
      </w:r>
      <w:r>
        <w:rPr>
          <w:position w:val="0"/>
          <w:sz w:val="5"/>
        </w:rPr>
      </w:r>
    </w:p>
    <w:p>
      <w:pPr>
        <w:pStyle w:val="BodyText"/>
        <w:spacing w:before="7"/>
        <w:rPr>
          <w:sz w:val="9"/>
        </w:rPr>
      </w:pPr>
      <w:r>
        <w:rPr/>
        <w:pict>
          <v:line style="position:absolute;mso-position-horizontal-relative:page;mso-position-vertical-relative:paragraph;z-index:2176;mso-wrap-distance-left:0;mso-wrap-distance-right:0" from="69pt,7.75pt" to="117pt,7.75pt" stroked="true" strokeweight=".5pt" strokecolor="#231f20">
            <v:stroke dashstyle="solid"/>
            <w10:wrap type="topAndBottom"/>
          </v:line>
        </w:pict>
      </w:r>
    </w:p>
    <w:p>
      <w:pPr>
        <w:pStyle w:val="ListParagraph"/>
        <w:numPr>
          <w:ilvl w:val="0"/>
          <w:numId w:val="5"/>
        </w:numPr>
        <w:tabs>
          <w:tab w:pos="520" w:val="left" w:leader="none"/>
        </w:tabs>
        <w:spacing w:line="249" w:lineRule="auto" w:before="24" w:after="0"/>
        <w:ind w:left="520" w:right="240" w:hanging="400"/>
        <w:jc w:val="left"/>
        <w:rPr>
          <w:sz w:val="20"/>
        </w:rPr>
      </w:pPr>
      <w:r>
        <w:rPr>
          <w:color w:val="231F20"/>
          <w:sz w:val="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a total of up to $500 million of the Company’s common stock following such authorization. On May 16, 2012, the Company’s Board of Directors increased the previous share repurchase authorization by an additional $500 million to a total</w:t>
      </w:r>
      <w:r>
        <w:rPr>
          <w:color w:val="231F20"/>
          <w:spacing w:val="13"/>
          <w:sz w:val="20"/>
        </w:rPr>
        <w:t> </w:t>
      </w:r>
      <w:r>
        <w:rPr>
          <w:color w:val="231F20"/>
          <w:sz w:val="20"/>
        </w:rPr>
        <w:t>of</w:t>
      </w:r>
    </w:p>
    <w:p>
      <w:pPr>
        <w:pStyle w:val="BodyText"/>
        <w:spacing w:line="249" w:lineRule="auto" w:before="1"/>
        <w:ind w:left="520" w:right="132"/>
      </w:pPr>
      <w:r>
        <w:rPr>
          <w:color w:val="231F20"/>
        </w:rPr>
        <w:t>$1.0 billion. On May 15, 2013, the Company’s Board of Directors further increased the previous share repurchase authorization by an additional $500 million to a total of $1.5 billion. Repurchases are made in accordance with applicable securities laws in open market, private, or in accelerated repurchase transactions from time to time, depending on market conditions, and may be discontinued at any time.</w:t>
      </w:r>
    </w:p>
    <w:p>
      <w:pPr>
        <w:pStyle w:val="ListParagraph"/>
        <w:numPr>
          <w:ilvl w:val="0"/>
          <w:numId w:val="5"/>
        </w:numPr>
        <w:tabs>
          <w:tab w:pos="520" w:val="left" w:leader="none"/>
        </w:tabs>
        <w:spacing w:line="249" w:lineRule="auto" w:before="1" w:after="0"/>
        <w:ind w:left="520" w:right="201" w:hanging="400"/>
        <w:jc w:val="left"/>
        <w:rPr>
          <w:sz w:val="20"/>
        </w:rPr>
      </w:pPr>
      <w:r>
        <w:rPr>
          <w:color w:val="231F20"/>
          <w:sz w:val="20"/>
        </w:rPr>
        <w:t>Under an accelerated share repurchase program entered into by the Company with a third party financial institution in third quarter 2013 (“ASR Program”), the Company paid $150 million and received an initial delivery of 11,459,129 shares during third quarter 2013. Final settlement of this ASR Program occurred in December 2013 and was determined based generally on a discount to the volume-weighted average price per share of the Company’s common stock during a calculation period completed in December 2013. At settlement, the Company had the option to deliver shares of its common stock or to make a cash payment to the third party financial institution, and elected to make a cash payment of approximately $40 million. In total, the average purchase price per share for the 11,459,129 shares repurchased under the ASR Program, upon completion of the ASR Program in December 2013, was</w:t>
      </w:r>
      <w:r>
        <w:rPr>
          <w:color w:val="231F20"/>
          <w:spacing w:val="3"/>
          <w:sz w:val="20"/>
        </w:rPr>
        <w:t> </w:t>
      </w:r>
      <w:r>
        <w:rPr>
          <w:color w:val="231F20"/>
          <w:sz w:val="20"/>
        </w:rPr>
        <w:t>$16.55.</w:t>
      </w:r>
    </w:p>
    <w:p>
      <w:pPr>
        <w:spacing w:after="0" w:line="249" w:lineRule="auto"/>
        <w:jc w:val="left"/>
        <w:rPr>
          <w:sz w:val="20"/>
        </w:rPr>
        <w:sectPr>
          <w:type w:val="continuous"/>
          <w:pgSz w:w="11880" w:h="15480"/>
          <w:pgMar w:top="1200" w:bottom="280" w:left="1260" w:right="1260"/>
        </w:sectPr>
      </w:pPr>
    </w:p>
    <w:p>
      <w:pPr>
        <w:tabs>
          <w:tab w:pos="1239" w:val="left" w:leader="none"/>
        </w:tabs>
        <w:spacing w:before="73"/>
        <w:ind w:left="160" w:right="0" w:firstLine="0"/>
        <w:jc w:val="left"/>
        <w:rPr>
          <w:b/>
          <w:i/>
          <w:sz w:val="20"/>
        </w:rPr>
      </w:pPr>
      <w:bookmarkStart w:name="Item 6.   Selected Financial Data" w:id="13"/>
      <w:bookmarkEnd w:id="13"/>
      <w:r>
        <w:rPr/>
      </w:r>
      <w:r>
        <w:rPr>
          <w:b/>
          <w:color w:val="231F20"/>
          <w:sz w:val="20"/>
        </w:rPr>
        <w:t>Item</w:t>
      </w:r>
      <w:r>
        <w:rPr>
          <w:b/>
          <w:color w:val="231F20"/>
          <w:spacing w:val="1"/>
          <w:sz w:val="20"/>
        </w:rPr>
        <w:t> </w:t>
      </w:r>
      <w:r>
        <w:rPr>
          <w:b/>
          <w:color w:val="231F20"/>
          <w:sz w:val="20"/>
        </w:rPr>
        <w:t>6.</w:t>
        <w:tab/>
      </w:r>
      <w:r>
        <w:rPr>
          <w:b/>
          <w:i/>
          <w:color w:val="231F20"/>
          <w:sz w:val="20"/>
        </w:rPr>
        <w:t>Selected Financial</w:t>
      </w:r>
      <w:r>
        <w:rPr>
          <w:b/>
          <w:i/>
          <w:color w:val="231F20"/>
          <w:spacing w:val="1"/>
          <w:sz w:val="20"/>
        </w:rPr>
        <w:t> </w:t>
      </w:r>
      <w:r>
        <w:rPr>
          <w:b/>
          <w:i/>
          <w:color w:val="231F20"/>
          <w:sz w:val="20"/>
        </w:rPr>
        <w:t>Data</w:t>
      </w:r>
    </w:p>
    <w:p>
      <w:pPr>
        <w:pStyle w:val="BodyText"/>
        <w:spacing w:line="249" w:lineRule="auto" w:before="99"/>
        <w:ind w:left="160" w:right="242" w:firstLine="490"/>
      </w:pPr>
      <w:r>
        <w:rPr>
          <w:color w:val="231F20"/>
        </w:rPr>
        <w:t>The following financial information, for the five years ended December 31, 2013, has been derived from the Company’s Consolidated Financial Statements. This information should be viewed in conjunction with the Consolidated Financial Statements and related notes thereto included elsewhere herein. This financial information includes the operations of AirTran since the May 2, 2011, acquisition date. Any financial  information presented prior to that date includes only the operations of Southwest unless otherwise indicated.  The Company provides the operating data below because these statistics are commonly used in the airline industry and, therefore, allow readers to compare the Company’s performance against its results for prior periods, as well as against the performance of the Company’s</w:t>
      </w:r>
      <w:r>
        <w:rPr>
          <w:color w:val="231F20"/>
          <w:spacing w:val="3"/>
        </w:rPr>
        <w:t> </w:t>
      </w:r>
      <w:r>
        <w:rPr>
          <w:color w:val="231F20"/>
        </w:rPr>
        <w:t>peers.</w:t>
      </w:r>
    </w:p>
    <w:p>
      <w:pPr>
        <w:spacing w:before="46" w:after="49"/>
        <w:ind w:left="5880" w:right="0" w:firstLine="0"/>
        <w:jc w:val="left"/>
        <w:rPr>
          <w:b/>
          <w:sz w:val="14"/>
        </w:rPr>
      </w:pPr>
      <w:r>
        <w:rPr/>
        <w:pict>
          <v:line style="position:absolute;mso-position-horizontal-relative:page;mso-position-vertical-relative:paragraph;z-index:-334624" from="257pt,120.585159pt" to="309pt,120.585159pt" stroked="true" strokeweight=".5pt" strokecolor="#231f20">
            <v:stroke dashstyle="solid"/>
            <w10:wrap type="none"/>
          </v:line>
        </w:pict>
      </w:r>
      <w:r>
        <w:rPr/>
        <w:pict>
          <v:line style="position:absolute;mso-position-horizontal-relative:page;mso-position-vertical-relative:paragraph;z-index:-334600" from="317pt,120.585159pt" to="363pt,120.585159pt" stroked="true" strokeweight=".5pt" strokecolor="#231f20">
            <v:stroke dashstyle="solid"/>
            <w10:wrap type="none"/>
          </v:line>
        </w:pict>
      </w:r>
      <w:r>
        <w:rPr/>
        <w:pict>
          <v:line style="position:absolute;mso-position-horizontal-relative:page;mso-position-vertical-relative:paragraph;z-index:-334576" from="371pt,120.585159pt" to="417pt,120.585159pt" stroked="true" strokeweight=".5pt" strokecolor="#231f20">
            <v:stroke dashstyle="solid"/>
            <w10:wrap type="none"/>
          </v:line>
        </w:pict>
      </w:r>
      <w:r>
        <w:rPr/>
        <w:pict>
          <v:line style="position:absolute;mso-position-horizontal-relative:page;mso-position-vertical-relative:paragraph;z-index:-334552" from="425pt,120.585159pt" to="471pt,120.585159pt" stroked="true" strokeweight=".5pt" strokecolor="#231f20">
            <v:stroke dashstyle="solid"/>
            <w10:wrap type="none"/>
          </v:line>
        </w:pict>
      </w:r>
      <w:r>
        <w:rPr/>
        <w:pict>
          <v:line style="position:absolute;mso-position-horizontal-relative:page;mso-position-vertical-relative:paragraph;z-index:-334528" from="479pt,120.585159pt" to="525pt,120.585159pt" stroked="true" strokeweight=".5pt" strokecolor="#231f20">
            <v:stroke dashstyle="solid"/>
            <w10:wrap type="none"/>
          </v:line>
        </w:pict>
      </w:r>
      <w:r>
        <w:rPr>
          <w:b/>
          <w:color w:val="231F20"/>
          <w:sz w:val="14"/>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15"/>
        <w:gridCol w:w="735"/>
        <w:gridCol w:w="140"/>
        <w:gridCol w:w="940"/>
        <w:gridCol w:w="140"/>
        <w:gridCol w:w="940"/>
        <w:gridCol w:w="140"/>
        <w:gridCol w:w="940"/>
        <w:gridCol w:w="140"/>
        <w:gridCol w:w="940"/>
        <w:gridCol w:w="123"/>
      </w:tblGrid>
      <w:tr>
        <w:trPr>
          <w:trHeight w:val="220" w:hRule="exact"/>
        </w:trPr>
        <w:tc>
          <w:tcPr>
            <w:tcW w:w="4115" w:type="dxa"/>
          </w:tcPr>
          <w:p>
            <w:pPr/>
          </w:p>
        </w:tc>
        <w:tc>
          <w:tcPr>
            <w:tcW w:w="735" w:type="dxa"/>
            <w:tcBorders>
              <w:top w:val="single" w:sz="8" w:space="0" w:color="231F20"/>
              <w:bottom w:val="single" w:sz="8" w:space="0" w:color="231F20"/>
            </w:tcBorders>
          </w:tcPr>
          <w:p>
            <w:pPr>
              <w:pStyle w:val="TableParagraph"/>
              <w:spacing w:line="160" w:lineRule="exact"/>
              <w:ind w:left="124"/>
              <w:jc w:val="left"/>
              <w:rPr>
                <w:b/>
                <w:sz w:val="14"/>
              </w:rPr>
            </w:pPr>
            <w:r>
              <w:rPr>
                <w:b/>
                <w:color w:val="231F20"/>
                <w:sz w:val="14"/>
              </w:rPr>
              <w:t>2013</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2012</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2011</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2010</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2009</w:t>
            </w:r>
          </w:p>
        </w:tc>
        <w:tc>
          <w:tcPr>
            <w:tcW w:w="123" w:type="dxa"/>
            <w:vMerge w:val="restart"/>
          </w:tcPr>
          <w:p>
            <w:pPr/>
          </w:p>
        </w:tc>
      </w:tr>
      <w:tr>
        <w:trPr>
          <w:trHeight w:val="217" w:hRule="exact"/>
        </w:trPr>
        <w:tc>
          <w:tcPr>
            <w:tcW w:w="4115" w:type="dxa"/>
          </w:tcPr>
          <w:p>
            <w:pPr>
              <w:pStyle w:val="TableParagraph"/>
              <w:spacing w:before="30"/>
              <w:ind w:left="50"/>
              <w:jc w:val="left"/>
              <w:rPr>
                <w:b/>
                <w:sz w:val="16"/>
              </w:rPr>
            </w:pPr>
            <w:r>
              <w:rPr>
                <w:b/>
                <w:color w:val="231F20"/>
                <w:sz w:val="16"/>
              </w:rPr>
              <w:t>Financial Data (in millions, except per share</w:t>
            </w:r>
          </w:p>
        </w:tc>
        <w:tc>
          <w:tcPr>
            <w:tcW w:w="735"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23" w:type="dxa"/>
            <w:vMerge/>
          </w:tcPr>
          <w:p>
            <w:pPr/>
          </w:p>
        </w:tc>
      </w:tr>
      <w:tr>
        <w:trPr>
          <w:trHeight w:val="181" w:hRule="exact"/>
        </w:trPr>
        <w:tc>
          <w:tcPr>
            <w:tcW w:w="4115" w:type="dxa"/>
          </w:tcPr>
          <w:p>
            <w:pPr>
              <w:pStyle w:val="TableParagraph"/>
              <w:spacing w:line="178" w:lineRule="exact"/>
              <w:ind w:left="210"/>
              <w:jc w:val="left"/>
              <w:rPr>
                <w:b/>
                <w:sz w:val="16"/>
              </w:rPr>
            </w:pPr>
            <w:r>
              <w:rPr>
                <w:b/>
                <w:color w:val="231F20"/>
                <w:sz w:val="16"/>
              </w:rPr>
              <w:t>amounts):</w:t>
            </w:r>
          </w:p>
        </w:tc>
        <w:tc>
          <w:tcPr>
            <w:tcW w:w="735" w:type="dxa"/>
          </w:tcPr>
          <w:p>
            <w:pPr/>
          </w:p>
        </w:tc>
        <w:tc>
          <w:tcPr>
            <w:tcW w:w="140" w:type="dxa"/>
          </w:tcPr>
          <w:p>
            <w:pPr/>
          </w:p>
        </w:tc>
        <w:tc>
          <w:tcPr>
            <w:tcW w:w="940" w:type="dxa"/>
          </w:tcPr>
          <w:p>
            <w:pPr/>
          </w:p>
        </w:tc>
        <w:tc>
          <w:tcPr>
            <w:tcW w:w="140" w:type="dxa"/>
          </w:tcPr>
          <w:p>
            <w:pPr/>
          </w:p>
        </w:tc>
        <w:tc>
          <w:tcPr>
            <w:tcW w:w="940" w:type="dxa"/>
          </w:tcPr>
          <w:p>
            <w:pPr/>
          </w:p>
        </w:tc>
        <w:tc>
          <w:tcPr>
            <w:tcW w:w="140" w:type="dxa"/>
          </w:tcPr>
          <w:p>
            <w:pPr/>
          </w:p>
        </w:tc>
        <w:tc>
          <w:tcPr>
            <w:tcW w:w="940" w:type="dxa"/>
          </w:tcPr>
          <w:p>
            <w:pPr/>
          </w:p>
        </w:tc>
        <w:tc>
          <w:tcPr>
            <w:tcW w:w="140" w:type="dxa"/>
          </w:tcPr>
          <w:p>
            <w:pPr/>
          </w:p>
        </w:tc>
        <w:tc>
          <w:tcPr>
            <w:tcW w:w="940" w:type="dxa"/>
          </w:tcPr>
          <w:p>
            <w:pPr/>
          </w:p>
        </w:tc>
        <w:tc>
          <w:tcPr>
            <w:tcW w:w="123" w:type="dxa"/>
            <w:vMerge/>
          </w:tcPr>
          <w:p>
            <w:pPr/>
          </w:p>
        </w:tc>
      </w:tr>
      <w:tr>
        <w:trPr>
          <w:trHeight w:val="179" w:hRule="exact"/>
        </w:trPr>
        <w:tc>
          <w:tcPr>
            <w:tcW w:w="4115" w:type="dxa"/>
          </w:tcPr>
          <w:p>
            <w:pPr>
              <w:pStyle w:val="TableParagraph"/>
              <w:spacing w:line="177" w:lineRule="exact"/>
              <w:ind w:right="122"/>
              <w:rPr>
                <w:sz w:val="16"/>
              </w:rPr>
            </w:pPr>
            <w:r>
              <w:rPr>
                <w:color w:val="231F20"/>
                <w:sz w:val="16"/>
              </w:rPr>
              <w:t>Operating revenues  . . . . . . . . . . . . . . . . . . . . . . . . . . . . .  $</w:t>
            </w:r>
          </w:p>
        </w:tc>
        <w:tc>
          <w:tcPr>
            <w:tcW w:w="735" w:type="dxa"/>
          </w:tcPr>
          <w:p>
            <w:pPr>
              <w:pStyle w:val="TableParagraph"/>
              <w:spacing w:line="177" w:lineRule="exact"/>
              <w:ind w:right="59"/>
              <w:rPr>
                <w:sz w:val="16"/>
              </w:rPr>
            </w:pPr>
            <w:r>
              <w:rPr>
                <w:color w:val="231F20"/>
                <w:sz w:val="16"/>
              </w:rPr>
              <w:t>17,699</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17,088</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15,658</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12,104</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10,350</w:t>
            </w:r>
          </w:p>
        </w:tc>
        <w:tc>
          <w:tcPr>
            <w:tcW w:w="123" w:type="dxa"/>
            <w:vMerge/>
          </w:tcPr>
          <w:p>
            <w:pPr/>
          </w:p>
        </w:tc>
      </w:tr>
      <w:tr>
        <w:trPr>
          <w:trHeight w:val="218" w:hRule="exact"/>
        </w:trPr>
        <w:tc>
          <w:tcPr>
            <w:tcW w:w="4115" w:type="dxa"/>
          </w:tcPr>
          <w:p>
            <w:pPr>
              <w:pStyle w:val="TableParagraph"/>
              <w:spacing w:line="178" w:lineRule="exact"/>
              <w:ind w:left="210"/>
              <w:jc w:val="left"/>
              <w:rPr>
                <w:sz w:val="16"/>
              </w:rPr>
            </w:pPr>
            <w:r>
              <w:rPr>
                <w:color w:val="231F20"/>
                <w:sz w:val="16"/>
              </w:rPr>
              <w:t>Operating expenses  . . . . . . . . . . . . . . . . . . . . . . . . . . . . . </w:t>
            </w:r>
          </w:p>
        </w:tc>
        <w:tc>
          <w:tcPr>
            <w:tcW w:w="735" w:type="dxa"/>
            <w:tcBorders>
              <w:bottom w:val="single" w:sz="4" w:space="0" w:color="231F20"/>
            </w:tcBorders>
          </w:tcPr>
          <w:p>
            <w:pPr>
              <w:pStyle w:val="TableParagraph"/>
              <w:spacing w:line="178" w:lineRule="exact"/>
              <w:ind w:right="59"/>
              <w:rPr>
                <w:sz w:val="16"/>
              </w:rPr>
            </w:pPr>
            <w:r>
              <w:rPr>
                <w:color w:val="231F20"/>
                <w:sz w:val="16"/>
              </w:rPr>
              <w:t>16,421</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16,465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14,965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11,116</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10,088</w:t>
            </w:r>
          </w:p>
        </w:tc>
        <w:tc>
          <w:tcPr>
            <w:tcW w:w="123" w:type="dxa"/>
            <w:vMerge/>
          </w:tcPr>
          <w:p>
            <w:pPr/>
          </w:p>
        </w:tc>
      </w:tr>
      <w:tr>
        <w:trPr>
          <w:trHeight w:val="222" w:hRule="exact"/>
        </w:trPr>
        <w:tc>
          <w:tcPr>
            <w:tcW w:w="4115" w:type="dxa"/>
          </w:tcPr>
          <w:p>
            <w:pPr>
              <w:pStyle w:val="TableParagraph"/>
              <w:spacing w:before="35"/>
              <w:ind w:left="210"/>
              <w:jc w:val="left"/>
              <w:rPr>
                <w:sz w:val="16"/>
              </w:rPr>
            </w:pPr>
            <w:r>
              <w:rPr>
                <w:color w:val="231F20"/>
                <w:sz w:val="16"/>
              </w:rPr>
              <w:t>Operating income  . . . . . . . . . . . . . . . . . . . . . . . . . . . . . . </w:t>
            </w:r>
          </w:p>
        </w:tc>
        <w:tc>
          <w:tcPr>
            <w:tcW w:w="735" w:type="dxa"/>
            <w:tcBorders>
              <w:top w:val="single" w:sz="4" w:space="0" w:color="231F20"/>
            </w:tcBorders>
          </w:tcPr>
          <w:p>
            <w:pPr>
              <w:pStyle w:val="TableParagraph"/>
              <w:spacing w:before="30"/>
              <w:ind w:right="59"/>
              <w:rPr>
                <w:sz w:val="16"/>
              </w:rPr>
            </w:pPr>
            <w:r>
              <w:rPr>
                <w:color w:val="231F20"/>
                <w:sz w:val="16"/>
              </w:rPr>
              <w:t>1,278</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623</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693</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988</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262</w:t>
            </w:r>
          </w:p>
        </w:tc>
        <w:tc>
          <w:tcPr>
            <w:tcW w:w="123" w:type="dxa"/>
            <w:vMerge/>
          </w:tcPr>
          <w:p>
            <w:pPr/>
          </w:p>
        </w:tc>
      </w:tr>
      <w:tr>
        <w:trPr>
          <w:trHeight w:val="218" w:hRule="exact"/>
        </w:trPr>
        <w:tc>
          <w:tcPr>
            <w:tcW w:w="4115" w:type="dxa"/>
          </w:tcPr>
          <w:p>
            <w:pPr>
              <w:pStyle w:val="TableParagraph"/>
              <w:spacing w:line="178" w:lineRule="exact"/>
              <w:ind w:left="210"/>
              <w:jc w:val="left"/>
              <w:rPr>
                <w:sz w:val="16"/>
              </w:rPr>
            </w:pPr>
            <w:r>
              <w:rPr>
                <w:color w:val="231F20"/>
                <w:sz w:val="16"/>
              </w:rPr>
              <w:t>Other expenses (income) net . . . . . . . . . . . . . . . . . . . . . . </w:t>
            </w:r>
          </w:p>
        </w:tc>
        <w:tc>
          <w:tcPr>
            <w:tcW w:w="735" w:type="dxa"/>
            <w:tcBorders>
              <w:bottom w:val="single" w:sz="4" w:space="0" w:color="231F20"/>
            </w:tcBorders>
          </w:tcPr>
          <w:p>
            <w:pPr>
              <w:pStyle w:val="TableParagraph"/>
              <w:spacing w:line="178" w:lineRule="exact"/>
              <w:ind w:right="59"/>
              <w:rPr>
                <w:sz w:val="16"/>
              </w:rPr>
            </w:pPr>
            <w:r>
              <w:rPr>
                <w:color w:val="231F20"/>
                <w:sz w:val="16"/>
              </w:rPr>
              <w:t>69</w:t>
            </w:r>
          </w:p>
        </w:tc>
        <w:tc>
          <w:tcPr>
            <w:tcW w:w="140" w:type="dxa"/>
          </w:tcPr>
          <w:p>
            <w:pPr/>
          </w:p>
        </w:tc>
        <w:tc>
          <w:tcPr>
            <w:tcW w:w="940" w:type="dxa"/>
            <w:tcBorders>
              <w:bottom w:val="single" w:sz="4" w:space="0" w:color="231F20"/>
            </w:tcBorders>
          </w:tcPr>
          <w:p>
            <w:pPr>
              <w:pStyle w:val="TableParagraph"/>
              <w:spacing w:line="178" w:lineRule="exact"/>
              <w:ind w:right="4"/>
              <w:rPr>
                <w:sz w:val="16"/>
              </w:rPr>
            </w:pPr>
            <w:r>
              <w:rPr>
                <w:color w:val="231F20"/>
                <w:sz w:val="16"/>
              </w:rPr>
              <w:t>(62)</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370</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243</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98</w:t>
            </w:r>
          </w:p>
        </w:tc>
        <w:tc>
          <w:tcPr>
            <w:tcW w:w="123" w:type="dxa"/>
            <w:vMerge/>
          </w:tcPr>
          <w:p>
            <w:pPr/>
          </w:p>
        </w:tc>
      </w:tr>
      <w:tr>
        <w:trPr>
          <w:trHeight w:val="222" w:hRule="exact"/>
        </w:trPr>
        <w:tc>
          <w:tcPr>
            <w:tcW w:w="4115" w:type="dxa"/>
          </w:tcPr>
          <w:p>
            <w:pPr>
              <w:pStyle w:val="TableParagraph"/>
              <w:spacing w:before="35"/>
              <w:ind w:left="210"/>
              <w:jc w:val="left"/>
              <w:rPr>
                <w:sz w:val="16"/>
              </w:rPr>
            </w:pPr>
            <w:r>
              <w:rPr>
                <w:color w:val="231F20"/>
                <w:sz w:val="16"/>
              </w:rPr>
              <w:t>Income before taxes   . . . . . . . . . . . . . . . . . . . . . . . . . . . . </w:t>
            </w:r>
          </w:p>
        </w:tc>
        <w:tc>
          <w:tcPr>
            <w:tcW w:w="735" w:type="dxa"/>
            <w:tcBorders>
              <w:top w:val="single" w:sz="4" w:space="0" w:color="231F20"/>
            </w:tcBorders>
          </w:tcPr>
          <w:p>
            <w:pPr>
              <w:pStyle w:val="TableParagraph"/>
              <w:spacing w:before="30"/>
              <w:ind w:right="59"/>
              <w:rPr>
                <w:sz w:val="16"/>
              </w:rPr>
            </w:pPr>
            <w:r>
              <w:rPr>
                <w:color w:val="231F20"/>
                <w:sz w:val="16"/>
              </w:rPr>
              <w:t>1,209</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685</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323</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745</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164</w:t>
            </w:r>
          </w:p>
        </w:tc>
        <w:tc>
          <w:tcPr>
            <w:tcW w:w="123" w:type="dxa"/>
            <w:vMerge/>
          </w:tcPr>
          <w:p>
            <w:pPr/>
          </w:p>
        </w:tc>
      </w:tr>
      <w:tr>
        <w:trPr>
          <w:trHeight w:val="218" w:hRule="exact"/>
        </w:trPr>
        <w:tc>
          <w:tcPr>
            <w:tcW w:w="4115" w:type="dxa"/>
          </w:tcPr>
          <w:p>
            <w:pPr>
              <w:pStyle w:val="TableParagraph"/>
              <w:spacing w:line="178" w:lineRule="exact"/>
              <w:ind w:left="210"/>
              <w:jc w:val="left"/>
              <w:rPr>
                <w:sz w:val="16"/>
              </w:rPr>
            </w:pPr>
            <w:r>
              <w:rPr>
                <w:color w:val="231F20"/>
                <w:sz w:val="16"/>
              </w:rPr>
              <w:t>Provision for income taxes  . . . . . . . . . . . . . . . . . . . . . . . </w:t>
            </w:r>
          </w:p>
        </w:tc>
        <w:tc>
          <w:tcPr>
            <w:tcW w:w="735" w:type="dxa"/>
            <w:tcBorders>
              <w:bottom w:val="single" w:sz="4" w:space="0" w:color="231F20"/>
            </w:tcBorders>
          </w:tcPr>
          <w:p>
            <w:pPr>
              <w:pStyle w:val="TableParagraph"/>
              <w:spacing w:line="178" w:lineRule="exact"/>
              <w:ind w:right="59"/>
              <w:rPr>
                <w:sz w:val="16"/>
              </w:rPr>
            </w:pPr>
            <w:r>
              <w:rPr>
                <w:color w:val="231F20"/>
                <w:sz w:val="16"/>
              </w:rPr>
              <w:t>455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264</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145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286</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65</w:t>
            </w:r>
          </w:p>
        </w:tc>
        <w:tc>
          <w:tcPr>
            <w:tcW w:w="123" w:type="dxa"/>
            <w:vMerge/>
          </w:tcPr>
          <w:p>
            <w:pPr/>
          </w:p>
        </w:tc>
      </w:tr>
      <w:tr>
        <w:trPr>
          <w:trHeight w:val="300" w:hRule="exact"/>
        </w:trPr>
        <w:tc>
          <w:tcPr>
            <w:tcW w:w="4115" w:type="dxa"/>
          </w:tcPr>
          <w:p>
            <w:pPr>
              <w:pStyle w:val="TableParagraph"/>
              <w:spacing w:before="35"/>
              <w:ind w:right="122"/>
              <w:rPr>
                <w:sz w:val="16"/>
              </w:rPr>
            </w:pPr>
            <w:r>
              <w:rPr>
                <w:color w:val="231F20"/>
                <w:sz w:val="16"/>
              </w:rPr>
              <w:t>Net income  . . . . . . . . . . . . . . . . . . . . . . . . . . . . . . . . . . .  $</w:t>
            </w:r>
          </w:p>
        </w:tc>
        <w:tc>
          <w:tcPr>
            <w:tcW w:w="735" w:type="dxa"/>
            <w:tcBorders>
              <w:top w:val="single" w:sz="4" w:space="0" w:color="231F20"/>
              <w:bottom w:val="single" w:sz="4" w:space="0" w:color="231F20"/>
            </w:tcBorders>
          </w:tcPr>
          <w:p>
            <w:pPr>
              <w:pStyle w:val="TableParagraph"/>
              <w:spacing w:before="30"/>
              <w:ind w:right="59"/>
              <w:rPr>
                <w:sz w:val="16"/>
              </w:rPr>
            </w:pPr>
            <w:r>
              <w:rPr>
                <w:color w:val="231F20"/>
                <w:sz w:val="16"/>
              </w:rPr>
              <w:t>754</w:t>
            </w:r>
          </w:p>
        </w:tc>
        <w:tc>
          <w:tcPr>
            <w:tcW w:w="140" w:type="dxa"/>
          </w:tcPr>
          <w:p>
            <w:pPr/>
          </w:p>
        </w:tc>
        <w:tc>
          <w:tcPr>
            <w:tcW w:w="940" w:type="dxa"/>
            <w:tcBorders>
              <w:top w:val="single" w:sz="4" w:space="0" w:color="231F20"/>
              <w:bottom w:val="single" w:sz="4" w:space="0" w:color="231F20"/>
            </w:tcBorders>
          </w:tcPr>
          <w:p>
            <w:pPr>
              <w:pStyle w:val="TableParagraph"/>
              <w:tabs>
                <w:tab w:pos="639" w:val="left" w:leader="none"/>
              </w:tabs>
              <w:spacing w:before="30"/>
              <w:ind w:right="59"/>
              <w:rPr>
                <w:sz w:val="16"/>
              </w:rPr>
            </w:pPr>
            <w:r>
              <w:rPr>
                <w:color w:val="231F20"/>
                <w:sz w:val="16"/>
              </w:rPr>
              <w:t>$</w:t>
              <w:tab/>
              <w:t>421</w:t>
            </w:r>
          </w:p>
        </w:tc>
        <w:tc>
          <w:tcPr>
            <w:tcW w:w="140" w:type="dxa"/>
          </w:tcPr>
          <w:p>
            <w:pPr/>
          </w:p>
        </w:tc>
        <w:tc>
          <w:tcPr>
            <w:tcW w:w="940" w:type="dxa"/>
            <w:tcBorders>
              <w:top w:val="single" w:sz="4" w:space="0" w:color="231F20"/>
              <w:bottom w:val="single" w:sz="4" w:space="0" w:color="231F20"/>
            </w:tcBorders>
          </w:tcPr>
          <w:p>
            <w:pPr>
              <w:pStyle w:val="TableParagraph"/>
              <w:tabs>
                <w:tab w:pos="639" w:val="left" w:leader="none"/>
              </w:tabs>
              <w:spacing w:before="30"/>
              <w:ind w:right="59"/>
              <w:rPr>
                <w:sz w:val="16"/>
              </w:rPr>
            </w:pPr>
            <w:r>
              <w:rPr>
                <w:color w:val="231F20"/>
                <w:sz w:val="16"/>
              </w:rPr>
              <w:t>$</w:t>
              <w:tab/>
              <w:t>178</w:t>
            </w:r>
          </w:p>
        </w:tc>
        <w:tc>
          <w:tcPr>
            <w:tcW w:w="140" w:type="dxa"/>
          </w:tcPr>
          <w:p>
            <w:pPr/>
          </w:p>
        </w:tc>
        <w:tc>
          <w:tcPr>
            <w:tcW w:w="940" w:type="dxa"/>
            <w:tcBorders>
              <w:top w:val="single" w:sz="4" w:space="0" w:color="231F20"/>
              <w:bottom w:val="single" w:sz="4" w:space="0" w:color="231F20"/>
            </w:tcBorders>
          </w:tcPr>
          <w:p>
            <w:pPr>
              <w:pStyle w:val="TableParagraph"/>
              <w:tabs>
                <w:tab w:pos="639" w:val="left" w:leader="none"/>
              </w:tabs>
              <w:spacing w:before="30"/>
              <w:ind w:right="59"/>
              <w:rPr>
                <w:sz w:val="16"/>
              </w:rPr>
            </w:pPr>
            <w:r>
              <w:rPr>
                <w:color w:val="231F20"/>
                <w:sz w:val="16"/>
              </w:rPr>
              <w:t>$</w:t>
              <w:tab/>
              <w:t>459</w:t>
            </w:r>
          </w:p>
        </w:tc>
        <w:tc>
          <w:tcPr>
            <w:tcW w:w="140" w:type="dxa"/>
          </w:tcPr>
          <w:p>
            <w:pPr/>
          </w:p>
        </w:tc>
        <w:tc>
          <w:tcPr>
            <w:tcW w:w="940" w:type="dxa"/>
            <w:tcBorders>
              <w:top w:val="single" w:sz="4" w:space="0" w:color="231F20"/>
              <w:bottom w:val="single" w:sz="4" w:space="0" w:color="231F20"/>
            </w:tcBorders>
          </w:tcPr>
          <w:p>
            <w:pPr>
              <w:pStyle w:val="TableParagraph"/>
              <w:tabs>
                <w:tab w:pos="719" w:val="left" w:leader="none"/>
              </w:tabs>
              <w:spacing w:before="30"/>
              <w:ind w:right="59"/>
              <w:rPr>
                <w:sz w:val="16"/>
              </w:rPr>
            </w:pPr>
            <w:r>
              <w:rPr>
                <w:color w:val="231F20"/>
                <w:sz w:val="16"/>
              </w:rPr>
              <w:t>$</w:t>
              <w:tab/>
              <w:t>99</w:t>
            </w:r>
          </w:p>
        </w:tc>
        <w:tc>
          <w:tcPr>
            <w:tcW w:w="123" w:type="dxa"/>
            <w:vMerge/>
          </w:tcPr>
          <w:p>
            <w:pPr/>
          </w:p>
        </w:tc>
      </w:tr>
      <w:tr>
        <w:trPr>
          <w:trHeight w:val="222" w:hRule="exact"/>
        </w:trPr>
        <w:tc>
          <w:tcPr>
            <w:tcW w:w="4115" w:type="dxa"/>
          </w:tcPr>
          <w:p>
            <w:pPr>
              <w:pStyle w:val="TableParagraph"/>
              <w:spacing w:before="35"/>
              <w:ind w:right="122"/>
              <w:rPr>
                <w:sz w:val="16"/>
              </w:rPr>
            </w:pPr>
            <w:r>
              <w:rPr>
                <w:color w:val="231F20"/>
                <w:sz w:val="16"/>
              </w:rPr>
              <w:t>Net income per share, basic   . . . . . . . . . . . . . . . . . . . . . .  $</w:t>
            </w:r>
          </w:p>
        </w:tc>
        <w:tc>
          <w:tcPr>
            <w:tcW w:w="735" w:type="dxa"/>
            <w:tcBorders>
              <w:top w:val="single" w:sz="4" w:space="0" w:color="231F20"/>
            </w:tcBorders>
          </w:tcPr>
          <w:p>
            <w:pPr>
              <w:pStyle w:val="TableParagraph"/>
              <w:spacing w:before="30"/>
              <w:ind w:right="59"/>
              <w:rPr>
                <w:sz w:val="16"/>
              </w:rPr>
            </w:pPr>
            <w:r>
              <w:rPr>
                <w:color w:val="231F20"/>
                <w:sz w:val="16"/>
              </w:rPr>
              <w:t>1.06</w:t>
            </w:r>
          </w:p>
        </w:tc>
        <w:tc>
          <w:tcPr>
            <w:tcW w:w="140" w:type="dxa"/>
          </w:tcPr>
          <w:p>
            <w:pPr/>
          </w:p>
        </w:tc>
        <w:tc>
          <w:tcPr>
            <w:tcW w:w="940" w:type="dxa"/>
            <w:tcBorders>
              <w:top w:val="single" w:sz="4" w:space="0" w:color="231F20"/>
            </w:tcBorders>
          </w:tcPr>
          <w:p>
            <w:pPr>
              <w:pStyle w:val="TableParagraph"/>
              <w:tabs>
                <w:tab w:pos="599" w:val="left" w:leader="none"/>
              </w:tabs>
              <w:spacing w:before="30"/>
              <w:ind w:right="59"/>
              <w:rPr>
                <w:sz w:val="16"/>
              </w:rPr>
            </w:pPr>
            <w:r>
              <w:rPr>
                <w:color w:val="231F20"/>
                <w:sz w:val="16"/>
              </w:rPr>
              <w:t>$</w:t>
              <w:tab/>
            </w:r>
            <w:r>
              <w:rPr>
                <w:color w:val="231F20"/>
                <w:spacing w:val="-1"/>
                <w:sz w:val="16"/>
              </w:rPr>
              <w:t>0.56</w:t>
            </w:r>
          </w:p>
        </w:tc>
        <w:tc>
          <w:tcPr>
            <w:tcW w:w="140" w:type="dxa"/>
          </w:tcPr>
          <w:p>
            <w:pPr/>
          </w:p>
        </w:tc>
        <w:tc>
          <w:tcPr>
            <w:tcW w:w="940" w:type="dxa"/>
            <w:tcBorders>
              <w:top w:val="single" w:sz="4" w:space="0" w:color="231F20"/>
            </w:tcBorders>
          </w:tcPr>
          <w:p>
            <w:pPr>
              <w:pStyle w:val="TableParagraph"/>
              <w:tabs>
                <w:tab w:pos="599" w:val="left" w:leader="none"/>
              </w:tabs>
              <w:spacing w:before="30"/>
              <w:ind w:right="59"/>
              <w:rPr>
                <w:sz w:val="16"/>
              </w:rPr>
            </w:pPr>
            <w:r>
              <w:rPr>
                <w:color w:val="231F20"/>
                <w:sz w:val="16"/>
              </w:rPr>
              <w:t>$</w:t>
              <w:tab/>
            </w:r>
            <w:r>
              <w:rPr>
                <w:color w:val="231F20"/>
                <w:spacing w:val="-1"/>
                <w:sz w:val="16"/>
              </w:rPr>
              <w:t>0.23</w:t>
            </w:r>
          </w:p>
        </w:tc>
        <w:tc>
          <w:tcPr>
            <w:tcW w:w="140" w:type="dxa"/>
          </w:tcPr>
          <w:p>
            <w:pPr/>
          </w:p>
        </w:tc>
        <w:tc>
          <w:tcPr>
            <w:tcW w:w="940" w:type="dxa"/>
            <w:tcBorders>
              <w:top w:val="single" w:sz="4" w:space="0" w:color="231F20"/>
            </w:tcBorders>
          </w:tcPr>
          <w:p>
            <w:pPr>
              <w:pStyle w:val="TableParagraph"/>
              <w:tabs>
                <w:tab w:pos="599" w:val="left" w:leader="none"/>
              </w:tabs>
              <w:spacing w:before="30"/>
              <w:ind w:right="59"/>
              <w:rPr>
                <w:sz w:val="16"/>
              </w:rPr>
            </w:pPr>
            <w:r>
              <w:rPr>
                <w:color w:val="231F20"/>
                <w:sz w:val="16"/>
              </w:rPr>
              <w:t>$</w:t>
              <w:tab/>
            </w:r>
            <w:r>
              <w:rPr>
                <w:color w:val="231F20"/>
                <w:spacing w:val="-1"/>
                <w:sz w:val="16"/>
              </w:rPr>
              <w:t>0.62</w:t>
            </w:r>
          </w:p>
        </w:tc>
        <w:tc>
          <w:tcPr>
            <w:tcW w:w="140" w:type="dxa"/>
          </w:tcPr>
          <w:p>
            <w:pPr/>
          </w:p>
        </w:tc>
        <w:tc>
          <w:tcPr>
            <w:tcW w:w="940" w:type="dxa"/>
            <w:tcBorders>
              <w:top w:val="single" w:sz="4" w:space="0" w:color="231F20"/>
            </w:tcBorders>
          </w:tcPr>
          <w:p>
            <w:pPr>
              <w:pStyle w:val="TableParagraph"/>
              <w:tabs>
                <w:tab w:pos="599" w:val="left" w:leader="none"/>
              </w:tabs>
              <w:spacing w:before="30"/>
              <w:ind w:right="59"/>
              <w:rPr>
                <w:sz w:val="16"/>
              </w:rPr>
            </w:pPr>
            <w:r>
              <w:rPr>
                <w:color w:val="231F20"/>
                <w:sz w:val="16"/>
              </w:rPr>
              <w:t>$</w:t>
              <w:tab/>
            </w:r>
            <w:r>
              <w:rPr>
                <w:color w:val="231F20"/>
                <w:spacing w:val="-1"/>
                <w:sz w:val="16"/>
              </w:rPr>
              <w:t>0.13</w:t>
            </w:r>
          </w:p>
        </w:tc>
        <w:tc>
          <w:tcPr>
            <w:tcW w:w="123" w:type="dxa"/>
            <w:vMerge/>
          </w:tcPr>
          <w:p>
            <w:pPr/>
          </w:p>
        </w:tc>
      </w:tr>
      <w:tr>
        <w:trPr>
          <w:trHeight w:val="180" w:hRule="exact"/>
        </w:trPr>
        <w:tc>
          <w:tcPr>
            <w:tcW w:w="4115" w:type="dxa"/>
          </w:tcPr>
          <w:p>
            <w:pPr>
              <w:pStyle w:val="TableParagraph"/>
              <w:spacing w:line="178" w:lineRule="exact"/>
              <w:ind w:right="122"/>
              <w:rPr>
                <w:sz w:val="16"/>
              </w:rPr>
            </w:pPr>
            <w:r>
              <w:rPr>
                <w:color w:val="231F20"/>
                <w:sz w:val="16"/>
              </w:rPr>
              <w:t>Net income per share, diluted  . . . . . . . . . . . . . . . . . . . . .  $</w:t>
            </w:r>
          </w:p>
        </w:tc>
        <w:tc>
          <w:tcPr>
            <w:tcW w:w="735" w:type="dxa"/>
          </w:tcPr>
          <w:p>
            <w:pPr>
              <w:pStyle w:val="TableParagraph"/>
              <w:spacing w:line="178" w:lineRule="exact"/>
              <w:ind w:right="59"/>
              <w:rPr>
                <w:sz w:val="16"/>
              </w:rPr>
            </w:pPr>
            <w:r>
              <w:rPr>
                <w:color w:val="231F20"/>
                <w:sz w:val="16"/>
              </w:rPr>
              <w:t>1.05</w:t>
            </w:r>
          </w:p>
        </w:tc>
        <w:tc>
          <w:tcPr>
            <w:tcW w:w="140" w:type="dxa"/>
          </w:tcPr>
          <w:p>
            <w:pPr/>
          </w:p>
        </w:tc>
        <w:tc>
          <w:tcPr>
            <w:tcW w:w="940" w:type="dxa"/>
          </w:tcPr>
          <w:p>
            <w:pPr>
              <w:pStyle w:val="TableParagraph"/>
              <w:tabs>
                <w:tab w:pos="599" w:val="left" w:leader="none"/>
              </w:tabs>
              <w:spacing w:line="178" w:lineRule="exact"/>
              <w:ind w:right="59"/>
              <w:rPr>
                <w:sz w:val="16"/>
              </w:rPr>
            </w:pPr>
            <w:r>
              <w:rPr>
                <w:color w:val="231F20"/>
                <w:sz w:val="16"/>
              </w:rPr>
              <w:t>$</w:t>
              <w:tab/>
            </w:r>
            <w:r>
              <w:rPr>
                <w:color w:val="231F20"/>
                <w:spacing w:val="-1"/>
                <w:sz w:val="16"/>
              </w:rPr>
              <w:t>0.56</w:t>
            </w:r>
          </w:p>
        </w:tc>
        <w:tc>
          <w:tcPr>
            <w:tcW w:w="140" w:type="dxa"/>
          </w:tcPr>
          <w:p>
            <w:pPr/>
          </w:p>
        </w:tc>
        <w:tc>
          <w:tcPr>
            <w:tcW w:w="940" w:type="dxa"/>
          </w:tcPr>
          <w:p>
            <w:pPr>
              <w:pStyle w:val="TableParagraph"/>
              <w:tabs>
                <w:tab w:pos="599" w:val="left" w:leader="none"/>
              </w:tabs>
              <w:spacing w:line="178" w:lineRule="exact"/>
              <w:ind w:right="59"/>
              <w:rPr>
                <w:sz w:val="16"/>
              </w:rPr>
            </w:pPr>
            <w:r>
              <w:rPr>
                <w:color w:val="231F20"/>
                <w:sz w:val="16"/>
              </w:rPr>
              <w:t>$</w:t>
              <w:tab/>
            </w:r>
            <w:r>
              <w:rPr>
                <w:color w:val="231F20"/>
                <w:spacing w:val="-1"/>
                <w:sz w:val="16"/>
              </w:rPr>
              <w:t>0.23</w:t>
            </w:r>
          </w:p>
        </w:tc>
        <w:tc>
          <w:tcPr>
            <w:tcW w:w="140" w:type="dxa"/>
          </w:tcPr>
          <w:p>
            <w:pPr/>
          </w:p>
        </w:tc>
        <w:tc>
          <w:tcPr>
            <w:tcW w:w="940" w:type="dxa"/>
          </w:tcPr>
          <w:p>
            <w:pPr>
              <w:pStyle w:val="TableParagraph"/>
              <w:tabs>
                <w:tab w:pos="599" w:val="left" w:leader="none"/>
              </w:tabs>
              <w:spacing w:line="178" w:lineRule="exact"/>
              <w:ind w:right="59"/>
              <w:rPr>
                <w:sz w:val="16"/>
              </w:rPr>
            </w:pPr>
            <w:r>
              <w:rPr>
                <w:color w:val="231F20"/>
                <w:sz w:val="16"/>
              </w:rPr>
              <w:t>$</w:t>
              <w:tab/>
            </w:r>
            <w:r>
              <w:rPr>
                <w:color w:val="231F20"/>
                <w:spacing w:val="-1"/>
                <w:sz w:val="16"/>
              </w:rPr>
              <w:t>0.61</w:t>
            </w:r>
          </w:p>
        </w:tc>
        <w:tc>
          <w:tcPr>
            <w:tcW w:w="140" w:type="dxa"/>
          </w:tcPr>
          <w:p>
            <w:pPr/>
          </w:p>
        </w:tc>
        <w:tc>
          <w:tcPr>
            <w:tcW w:w="940" w:type="dxa"/>
          </w:tcPr>
          <w:p>
            <w:pPr>
              <w:pStyle w:val="TableParagraph"/>
              <w:tabs>
                <w:tab w:pos="599" w:val="left" w:leader="none"/>
              </w:tabs>
              <w:spacing w:line="178" w:lineRule="exact"/>
              <w:ind w:right="59"/>
              <w:rPr>
                <w:sz w:val="16"/>
              </w:rPr>
            </w:pPr>
            <w:r>
              <w:rPr>
                <w:color w:val="231F20"/>
                <w:sz w:val="16"/>
              </w:rPr>
              <w:t>$</w:t>
              <w:tab/>
            </w:r>
            <w:r>
              <w:rPr>
                <w:color w:val="231F20"/>
                <w:spacing w:val="-1"/>
                <w:sz w:val="16"/>
              </w:rPr>
              <w:t>0.13</w:t>
            </w:r>
          </w:p>
        </w:tc>
        <w:tc>
          <w:tcPr>
            <w:tcW w:w="123" w:type="dxa"/>
            <w:vMerge/>
          </w:tcPr>
          <w:p>
            <w:pPr/>
          </w:p>
        </w:tc>
      </w:tr>
      <w:tr>
        <w:trPr>
          <w:trHeight w:val="180" w:hRule="exact"/>
        </w:trPr>
        <w:tc>
          <w:tcPr>
            <w:tcW w:w="4115" w:type="dxa"/>
          </w:tcPr>
          <w:p>
            <w:pPr>
              <w:pStyle w:val="TableParagraph"/>
              <w:spacing w:line="178" w:lineRule="exact"/>
              <w:ind w:right="122"/>
              <w:rPr>
                <w:sz w:val="16"/>
              </w:rPr>
            </w:pPr>
            <w:r>
              <w:rPr>
                <w:color w:val="231F20"/>
                <w:sz w:val="16"/>
              </w:rPr>
              <w:t>Cash dividends per common share  . . . . . . . . . . . . . . . . .  $</w:t>
            </w:r>
          </w:p>
        </w:tc>
        <w:tc>
          <w:tcPr>
            <w:tcW w:w="735" w:type="dxa"/>
          </w:tcPr>
          <w:p>
            <w:pPr>
              <w:pStyle w:val="TableParagraph"/>
              <w:spacing w:line="178" w:lineRule="exact"/>
              <w:ind w:right="59"/>
              <w:rPr>
                <w:sz w:val="16"/>
              </w:rPr>
            </w:pPr>
            <w:r>
              <w:rPr>
                <w:color w:val="231F20"/>
                <w:sz w:val="16"/>
              </w:rPr>
              <w:t>0.1300</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0.0345</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0.0180</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0.0180</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0.0180</w:t>
            </w:r>
          </w:p>
        </w:tc>
        <w:tc>
          <w:tcPr>
            <w:tcW w:w="123" w:type="dxa"/>
            <w:vMerge/>
          </w:tcPr>
          <w:p>
            <w:pPr/>
          </w:p>
        </w:tc>
      </w:tr>
      <w:tr>
        <w:trPr>
          <w:trHeight w:val="180" w:hRule="exact"/>
        </w:trPr>
        <w:tc>
          <w:tcPr>
            <w:tcW w:w="4115" w:type="dxa"/>
          </w:tcPr>
          <w:p>
            <w:pPr>
              <w:pStyle w:val="TableParagraph"/>
              <w:spacing w:line="178" w:lineRule="exact"/>
              <w:ind w:right="122"/>
              <w:rPr>
                <w:sz w:val="16"/>
              </w:rPr>
            </w:pPr>
            <w:r>
              <w:rPr>
                <w:color w:val="231F20"/>
                <w:sz w:val="16"/>
              </w:rPr>
              <w:t>Total assets at period-end  . . . . . . . . . . . . . . . . . . . . . . . .  $</w:t>
            </w:r>
          </w:p>
        </w:tc>
        <w:tc>
          <w:tcPr>
            <w:tcW w:w="735" w:type="dxa"/>
          </w:tcPr>
          <w:p>
            <w:pPr>
              <w:pStyle w:val="TableParagraph"/>
              <w:spacing w:line="178" w:lineRule="exact"/>
              <w:ind w:right="59"/>
              <w:rPr>
                <w:sz w:val="16"/>
              </w:rPr>
            </w:pPr>
            <w:r>
              <w:rPr>
                <w:color w:val="231F20"/>
                <w:sz w:val="16"/>
              </w:rPr>
              <w:t>19,345</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18,596</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18,068</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15,463</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14,269</w:t>
            </w:r>
          </w:p>
        </w:tc>
        <w:tc>
          <w:tcPr>
            <w:tcW w:w="123" w:type="dxa"/>
            <w:vMerge/>
          </w:tcPr>
          <w:p>
            <w:pPr/>
          </w:p>
        </w:tc>
      </w:tr>
      <w:tr>
        <w:trPr>
          <w:trHeight w:val="180" w:hRule="exact"/>
        </w:trPr>
        <w:tc>
          <w:tcPr>
            <w:tcW w:w="4115" w:type="dxa"/>
          </w:tcPr>
          <w:p>
            <w:pPr>
              <w:pStyle w:val="TableParagraph"/>
              <w:spacing w:line="178" w:lineRule="exact"/>
              <w:ind w:right="122"/>
              <w:rPr>
                <w:sz w:val="16"/>
              </w:rPr>
            </w:pPr>
            <w:r>
              <w:rPr>
                <w:color w:val="231F20"/>
                <w:sz w:val="16"/>
              </w:rPr>
              <w:t>Long-term obligations at period-end . . . . . . . . . . . . . . . .  $</w:t>
            </w:r>
          </w:p>
        </w:tc>
        <w:tc>
          <w:tcPr>
            <w:tcW w:w="735" w:type="dxa"/>
          </w:tcPr>
          <w:p>
            <w:pPr>
              <w:pStyle w:val="TableParagraph"/>
              <w:spacing w:line="178" w:lineRule="exact"/>
              <w:ind w:right="59"/>
              <w:rPr>
                <w:sz w:val="16"/>
              </w:rPr>
            </w:pPr>
            <w:r>
              <w:rPr>
                <w:color w:val="231F20"/>
                <w:sz w:val="16"/>
              </w:rPr>
              <w:t>2,191</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2,883</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3,107</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2,875</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3,325</w:t>
            </w:r>
          </w:p>
        </w:tc>
        <w:tc>
          <w:tcPr>
            <w:tcW w:w="123" w:type="dxa"/>
            <w:vMerge/>
          </w:tcPr>
          <w:p>
            <w:pPr/>
          </w:p>
        </w:tc>
      </w:tr>
      <w:tr>
        <w:trPr>
          <w:trHeight w:val="178" w:hRule="exact"/>
        </w:trPr>
        <w:tc>
          <w:tcPr>
            <w:tcW w:w="4115" w:type="dxa"/>
          </w:tcPr>
          <w:p>
            <w:pPr>
              <w:pStyle w:val="TableParagraph"/>
              <w:spacing w:line="178" w:lineRule="exact"/>
              <w:ind w:right="122"/>
              <w:rPr>
                <w:sz w:val="16"/>
              </w:rPr>
            </w:pPr>
            <w:r>
              <w:rPr>
                <w:color w:val="231F20"/>
                <w:sz w:val="16"/>
              </w:rPr>
              <w:t>Stockholders’ equity at period-end  . . . . . . . . . . . . . . . . .  $</w:t>
            </w:r>
          </w:p>
        </w:tc>
        <w:tc>
          <w:tcPr>
            <w:tcW w:w="735" w:type="dxa"/>
          </w:tcPr>
          <w:p>
            <w:pPr>
              <w:pStyle w:val="TableParagraph"/>
              <w:spacing w:line="178" w:lineRule="exact"/>
              <w:ind w:right="59"/>
              <w:rPr>
                <w:sz w:val="16"/>
              </w:rPr>
            </w:pPr>
            <w:r>
              <w:rPr>
                <w:color w:val="231F20"/>
                <w:sz w:val="16"/>
              </w:rPr>
              <w:t>7,336</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6,992</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6,877</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6,237</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5,454</w:t>
            </w:r>
          </w:p>
        </w:tc>
        <w:tc>
          <w:tcPr>
            <w:tcW w:w="123" w:type="dxa"/>
            <w:vMerge/>
          </w:tcPr>
          <w:p>
            <w:pPr/>
          </w:p>
        </w:tc>
      </w:tr>
      <w:tr>
        <w:trPr>
          <w:trHeight w:val="181" w:hRule="exact"/>
        </w:trPr>
        <w:tc>
          <w:tcPr>
            <w:tcW w:w="4115" w:type="dxa"/>
          </w:tcPr>
          <w:p>
            <w:pPr>
              <w:pStyle w:val="TableParagraph"/>
              <w:spacing w:line="180" w:lineRule="exact"/>
              <w:ind w:left="50"/>
              <w:jc w:val="left"/>
              <w:rPr>
                <w:b/>
                <w:sz w:val="16"/>
              </w:rPr>
            </w:pPr>
            <w:r>
              <w:rPr>
                <w:b/>
                <w:color w:val="231F20"/>
                <w:sz w:val="16"/>
              </w:rPr>
              <w:t>Operating Data:</w:t>
            </w:r>
          </w:p>
        </w:tc>
        <w:tc>
          <w:tcPr>
            <w:tcW w:w="735" w:type="dxa"/>
          </w:tcPr>
          <w:p>
            <w:pPr/>
          </w:p>
        </w:tc>
        <w:tc>
          <w:tcPr>
            <w:tcW w:w="140" w:type="dxa"/>
          </w:tcPr>
          <w:p>
            <w:pPr/>
          </w:p>
        </w:tc>
        <w:tc>
          <w:tcPr>
            <w:tcW w:w="940" w:type="dxa"/>
          </w:tcPr>
          <w:p>
            <w:pPr/>
          </w:p>
        </w:tc>
        <w:tc>
          <w:tcPr>
            <w:tcW w:w="140" w:type="dxa"/>
          </w:tcPr>
          <w:p>
            <w:pPr/>
          </w:p>
        </w:tc>
        <w:tc>
          <w:tcPr>
            <w:tcW w:w="940" w:type="dxa"/>
          </w:tcPr>
          <w:p>
            <w:pPr/>
          </w:p>
        </w:tc>
        <w:tc>
          <w:tcPr>
            <w:tcW w:w="140" w:type="dxa"/>
          </w:tcPr>
          <w:p>
            <w:pPr/>
          </w:p>
        </w:tc>
        <w:tc>
          <w:tcPr>
            <w:tcW w:w="940" w:type="dxa"/>
          </w:tcPr>
          <w:p>
            <w:pPr/>
          </w:p>
        </w:tc>
        <w:tc>
          <w:tcPr>
            <w:tcW w:w="140" w:type="dxa"/>
          </w:tcPr>
          <w:p>
            <w:pPr/>
          </w:p>
        </w:tc>
        <w:tc>
          <w:tcPr>
            <w:tcW w:w="940" w:type="dxa"/>
          </w:tcPr>
          <w:p>
            <w:pPr/>
          </w:p>
        </w:tc>
        <w:tc>
          <w:tcPr>
            <w:tcW w:w="123" w:type="dxa"/>
            <w:vMerge/>
          </w:tcPr>
          <w:p>
            <w:pPr/>
          </w:p>
        </w:tc>
      </w:tr>
      <w:tr>
        <w:trPr>
          <w:trHeight w:val="181" w:hRule="exact"/>
        </w:trPr>
        <w:tc>
          <w:tcPr>
            <w:tcW w:w="4990" w:type="dxa"/>
            <w:gridSpan w:val="3"/>
          </w:tcPr>
          <w:p>
            <w:pPr>
              <w:pStyle w:val="TableParagraph"/>
              <w:spacing w:line="175" w:lineRule="exact"/>
              <w:ind w:left="210"/>
              <w:jc w:val="left"/>
              <w:rPr>
                <w:sz w:val="16"/>
              </w:rPr>
            </w:pPr>
            <w:r>
              <w:rPr>
                <w:color w:val="231F20"/>
                <w:sz w:val="16"/>
              </w:rPr>
              <w:t>Revenue passengers carried   . . . . . . . . . . . . . . . . . . . . . .    108,075,976</w:t>
            </w:r>
          </w:p>
        </w:tc>
        <w:tc>
          <w:tcPr>
            <w:tcW w:w="1080" w:type="dxa"/>
            <w:gridSpan w:val="2"/>
          </w:tcPr>
          <w:p>
            <w:pPr>
              <w:pStyle w:val="TableParagraph"/>
              <w:spacing w:line="175" w:lineRule="exact"/>
              <w:ind w:left="80"/>
              <w:jc w:val="left"/>
              <w:rPr>
                <w:sz w:val="16"/>
              </w:rPr>
            </w:pPr>
            <w:r>
              <w:rPr>
                <w:color w:val="231F20"/>
                <w:sz w:val="16"/>
              </w:rPr>
              <w:t>109,346,509</w:t>
            </w:r>
          </w:p>
        </w:tc>
        <w:tc>
          <w:tcPr>
            <w:tcW w:w="1080" w:type="dxa"/>
            <w:gridSpan w:val="2"/>
          </w:tcPr>
          <w:p>
            <w:pPr>
              <w:pStyle w:val="TableParagraph"/>
              <w:spacing w:line="175" w:lineRule="exact"/>
              <w:ind w:left="80"/>
              <w:jc w:val="left"/>
              <w:rPr>
                <w:sz w:val="16"/>
              </w:rPr>
            </w:pPr>
            <w:r>
              <w:rPr>
                <w:color w:val="231F20"/>
                <w:sz w:val="16"/>
              </w:rPr>
              <w:t>103,973,759</w:t>
            </w:r>
          </w:p>
        </w:tc>
        <w:tc>
          <w:tcPr>
            <w:tcW w:w="1080" w:type="dxa"/>
            <w:gridSpan w:val="2"/>
          </w:tcPr>
          <w:p>
            <w:pPr>
              <w:pStyle w:val="TableParagraph"/>
              <w:spacing w:line="175" w:lineRule="exact"/>
              <w:ind w:left="160"/>
              <w:jc w:val="left"/>
              <w:rPr>
                <w:sz w:val="16"/>
              </w:rPr>
            </w:pPr>
            <w:r>
              <w:rPr>
                <w:color w:val="231F20"/>
                <w:sz w:val="16"/>
              </w:rPr>
              <w:t>88,191,322</w:t>
            </w:r>
          </w:p>
        </w:tc>
        <w:tc>
          <w:tcPr>
            <w:tcW w:w="1063" w:type="dxa"/>
            <w:gridSpan w:val="2"/>
          </w:tcPr>
          <w:p>
            <w:pPr>
              <w:pStyle w:val="TableParagraph"/>
              <w:spacing w:line="175" w:lineRule="exact"/>
              <w:ind w:left="160"/>
              <w:jc w:val="left"/>
              <w:rPr>
                <w:sz w:val="16"/>
              </w:rPr>
            </w:pPr>
            <w:r>
              <w:rPr>
                <w:color w:val="231F20"/>
                <w:sz w:val="16"/>
              </w:rPr>
              <w:t>86,310,229</w:t>
            </w:r>
          </w:p>
        </w:tc>
      </w:tr>
      <w:tr>
        <w:trPr>
          <w:trHeight w:val="180" w:hRule="exact"/>
        </w:trPr>
        <w:tc>
          <w:tcPr>
            <w:tcW w:w="4990" w:type="dxa"/>
            <w:gridSpan w:val="3"/>
          </w:tcPr>
          <w:p>
            <w:pPr>
              <w:pStyle w:val="TableParagraph"/>
              <w:spacing w:line="178" w:lineRule="exact"/>
              <w:ind w:left="210"/>
              <w:jc w:val="left"/>
              <w:rPr>
                <w:sz w:val="16"/>
              </w:rPr>
            </w:pPr>
            <w:r>
              <w:rPr>
                <w:color w:val="231F20"/>
                <w:sz w:val="16"/>
              </w:rPr>
              <w:t>Enplaned passengers  . . . . . . . . . . . . . . . . . . . . . . . . . . . .    133,155,030</w:t>
            </w:r>
          </w:p>
        </w:tc>
        <w:tc>
          <w:tcPr>
            <w:tcW w:w="1080" w:type="dxa"/>
            <w:gridSpan w:val="2"/>
          </w:tcPr>
          <w:p>
            <w:pPr>
              <w:pStyle w:val="TableParagraph"/>
              <w:spacing w:line="178" w:lineRule="exact"/>
              <w:ind w:left="80"/>
              <w:jc w:val="left"/>
              <w:rPr>
                <w:sz w:val="16"/>
              </w:rPr>
            </w:pPr>
            <w:r>
              <w:rPr>
                <w:color w:val="231F20"/>
                <w:sz w:val="16"/>
              </w:rPr>
              <w:t>133,978,100</w:t>
            </w:r>
          </w:p>
        </w:tc>
        <w:tc>
          <w:tcPr>
            <w:tcW w:w="1080" w:type="dxa"/>
            <w:gridSpan w:val="2"/>
          </w:tcPr>
          <w:p>
            <w:pPr>
              <w:pStyle w:val="TableParagraph"/>
              <w:spacing w:line="178" w:lineRule="exact"/>
              <w:ind w:left="80"/>
              <w:jc w:val="left"/>
              <w:rPr>
                <w:sz w:val="16"/>
              </w:rPr>
            </w:pPr>
            <w:r>
              <w:rPr>
                <w:color w:val="231F20"/>
                <w:sz w:val="16"/>
              </w:rPr>
              <w:t>127,551,012</w:t>
            </w:r>
          </w:p>
        </w:tc>
        <w:tc>
          <w:tcPr>
            <w:tcW w:w="1080" w:type="dxa"/>
            <w:gridSpan w:val="2"/>
          </w:tcPr>
          <w:p>
            <w:pPr>
              <w:pStyle w:val="TableParagraph"/>
              <w:spacing w:line="178" w:lineRule="exact"/>
              <w:ind w:left="80"/>
              <w:jc w:val="left"/>
              <w:rPr>
                <w:sz w:val="16"/>
              </w:rPr>
            </w:pPr>
            <w:r>
              <w:rPr>
                <w:color w:val="231F20"/>
                <w:sz w:val="16"/>
              </w:rPr>
              <w:t>106,227,521</w:t>
            </w:r>
          </w:p>
        </w:tc>
        <w:tc>
          <w:tcPr>
            <w:tcW w:w="1063" w:type="dxa"/>
            <w:gridSpan w:val="2"/>
          </w:tcPr>
          <w:p>
            <w:pPr>
              <w:pStyle w:val="TableParagraph"/>
              <w:spacing w:line="178" w:lineRule="exact"/>
              <w:ind w:left="80"/>
              <w:jc w:val="left"/>
              <w:rPr>
                <w:sz w:val="16"/>
              </w:rPr>
            </w:pPr>
            <w:r>
              <w:rPr>
                <w:color w:val="231F20"/>
                <w:sz w:val="16"/>
              </w:rPr>
              <w:t>101,338,228</w:t>
            </w:r>
          </w:p>
        </w:tc>
      </w:tr>
      <w:tr>
        <w:trPr>
          <w:trHeight w:val="180" w:hRule="exact"/>
        </w:trPr>
        <w:tc>
          <w:tcPr>
            <w:tcW w:w="4990" w:type="dxa"/>
            <w:gridSpan w:val="3"/>
          </w:tcPr>
          <w:p>
            <w:pPr>
              <w:pStyle w:val="TableParagraph"/>
              <w:spacing w:line="178" w:lineRule="exact"/>
              <w:ind w:left="210"/>
              <w:jc w:val="left"/>
              <w:rPr>
                <w:sz w:val="16"/>
              </w:rPr>
            </w:pPr>
            <w:r>
              <w:rPr>
                <w:color w:val="231F20"/>
                <w:sz w:val="16"/>
              </w:rPr>
              <w:t>Revenue passenger miles (RPMs) (000s) (1)  . . . . . . . . .    104,348,216</w:t>
            </w:r>
          </w:p>
        </w:tc>
        <w:tc>
          <w:tcPr>
            <w:tcW w:w="1080" w:type="dxa"/>
            <w:gridSpan w:val="2"/>
          </w:tcPr>
          <w:p>
            <w:pPr>
              <w:pStyle w:val="TableParagraph"/>
              <w:spacing w:line="178" w:lineRule="exact"/>
              <w:ind w:left="80"/>
              <w:jc w:val="left"/>
              <w:rPr>
                <w:sz w:val="16"/>
              </w:rPr>
            </w:pPr>
            <w:r>
              <w:rPr>
                <w:color w:val="231F20"/>
                <w:sz w:val="16"/>
              </w:rPr>
              <w:t>102,874,979</w:t>
            </w:r>
          </w:p>
        </w:tc>
        <w:tc>
          <w:tcPr>
            <w:tcW w:w="1080" w:type="dxa"/>
            <w:gridSpan w:val="2"/>
          </w:tcPr>
          <w:p>
            <w:pPr>
              <w:pStyle w:val="TableParagraph"/>
              <w:spacing w:line="178" w:lineRule="exact"/>
              <w:ind w:left="160"/>
              <w:jc w:val="left"/>
              <w:rPr>
                <w:sz w:val="16"/>
              </w:rPr>
            </w:pPr>
            <w:r>
              <w:rPr>
                <w:color w:val="231F20"/>
                <w:sz w:val="16"/>
              </w:rPr>
              <w:t>97,582,530</w:t>
            </w:r>
          </w:p>
        </w:tc>
        <w:tc>
          <w:tcPr>
            <w:tcW w:w="1080" w:type="dxa"/>
            <w:gridSpan w:val="2"/>
          </w:tcPr>
          <w:p>
            <w:pPr>
              <w:pStyle w:val="TableParagraph"/>
              <w:spacing w:line="178" w:lineRule="exact"/>
              <w:ind w:left="160"/>
              <w:jc w:val="left"/>
              <w:rPr>
                <w:sz w:val="16"/>
              </w:rPr>
            </w:pPr>
            <w:r>
              <w:rPr>
                <w:color w:val="231F20"/>
                <w:sz w:val="16"/>
              </w:rPr>
              <w:t>78,046,967</w:t>
            </w:r>
          </w:p>
        </w:tc>
        <w:tc>
          <w:tcPr>
            <w:tcW w:w="1063" w:type="dxa"/>
            <w:gridSpan w:val="2"/>
          </w:tcPr>
          <w:p>
            <w:pPr>
              <w:pStyle w:val="TableParagraph"/>
              <w:spacing w:line="178" w:lineRule="exact"/>
              <w:ind w:left="160"/>
              <w:jc w:val="left"/>
              <w:rPr>
                <w:sz w:val="16"/>
              </w:rPr>
            </w:pPr>
            <w:r>
              <w:rPr>
                <w:color w:val="231F20"/>
                <w:sz w:val="16"/>
              </w:rPr>
              <w:t>74,456,710</w:t>
            </w:r>
          </w:p>
        </w:tc>
      </w:tr>
      <w:tr>
        <w:trPr>
          <w:trHeight w:val="180" w:hRule="exact"/>
        </w:trPr>
        <w:tc>
          <w:tcPr>
            <w:tcW w:w="4990" w:type="dxa"/>
            <w:gridSpan w:val="3"/>
          </w:tcPr>
          <w:p>
            <w:pPr>
              <w:pStyle w:val="TableParagraph"/>
              <w:spacing w:line="178" w:lineRule="exact"/>
              <w:ind w:left="210"/>
              <w:jc w:val="left"/>
              <w:rPr>
                <w:sz w:val="16"/>
              </w:rPr>
            </w:pPr>
            <w:r>
              <w:rPr>
                <w:color w:val="231F20"/>
                <w:sz w:val="16"/>
              </w:rPr>
              <w:t>Available seat miles (ASMs) (000s) (2)  . . . . . . . . . . . . .    130,344,072</w:t>
            </w:r>
          </w:p>
        </w:tc>
        <w:tc>
          <w:tcPr>
            <w:tcW w:w="1080" w:type="dxa"/>
            <w:gridSpan w:val="2"/>
          </w:tcPr>
          <w:p>
            <w:pPr>
              <w:pStyle w:val="TableParagraph"/>
              <w:spacing w:line="178" w:lineRule="exact"/>
              <w:ind w:left="80"/>
              <w:jc w:val="left"/>
              <w:rPr>
                <w:sz w:val="16"/>
              </w:rPr>
            </w:pPr>
            <w:r>
              <w:rPr>
                <w:color w:val="231F20"/>
                <w:sz w:val="16"/>
              </w:rPr>
              <w:t>128,137,110</w:t>
            </w:r>
          </w:p>
        </w:tc>
        <w:tc>
          <w:tcPr>
            <w:tcW w:w="1080" w:type="dxa"/>
            <w:gridSpan w:val="2"/>
          </w:tcPr>
          <w:p>
            <w:pPr>
              <w:pStyle w:val="TableParagraph"/>
              <w:spacing w:line="178" w:lineRule="exact"/>
              <w:ind w:left="80"/>
              <w:jc w:val="left"/>
              <w:rPr>
                <w:sz w:val="16"/>
              </w:rPr>
            </w:pPr>
            <w:r>
              <w:rPr>
                <w:color w:val="231F20"/>
                <w:sz w:val="16"/>
              </w:rPr>
              <w:t>120,578,736</w:t>
            </w:r>
          </w:p>
        </w:tc>
        <w:tc>
          <w:tcPr>
            <w:tcW w:w="1080" w:type="dxa"/>
            <w:gridSpan w:val="2"/>
          </w:tcPr>
          <w:p>
            <w:pPr>
              <w:pStyle w:val="TableParagraph"/>
              <w:spacing w:line="178" w:lineRule="exact"/>
              <w:ind w:left="160"/>
              <w:jc w:val="left"/>
              <w:rPr>
                <w:sz w:val="16"/>
              </w:rPr>
            </w:pPr>
            <w:r>
              <w:rPr>
                <w:color w:val="231F20"/>
                <w:sz w:val="16"/>
              </w:rPr>
              <w:t>98,437,092</w:t>
            </w:r>
          </w:p>
        </w:tc>
        <w:tc>
          <w:tcPr>
            <w:tcW w:w="1063" w:type="dxa"/>
            <w:gridSpan w:val="2"/>
          </w:tcPr>
          <w:p>
            <w:pPr>
              <w:pStyle w:val="TableParagraph"/>
              <w:spacing w:line="178" w:lineRule="exact"/>
              <w:ind w:left="160"/>
              <w:jc w:val="left"/>
              <w:rPr>
                <w:sz w:val="16"/>
              </w:rPr>
            </w:pPr>
            <w:r>
              <w:rPr>
                <w:color w:val="231F20"/>
                <w:sz w:val="16"/>
              </w:rPr>
              <w:t>98,001,550</w:t>
            </w:r>
          </w:p>
        </w:tc>
      </w:tr>
      <w:tr>
        <w:trPr>
          <w:trHeight w:val="180" w:hRule="exact"/>
        </w:trPr>
        <w:tc>
          <w:tcPr>
            <w:tcW w:w="4990" w:type="dxa"/>
            <w:gridSpan w:val="3"/>
          </w:tcPr>
          <w:p>
            <w:pPr>
              <w:pStyle w:val="TableParagraph"/>
              <w:tabs>
                <w:tab w:pos="4509" w:val="left" w:leader="none"/>
              </w:tabs>
              <w:spacing w:line="178" w:lineRule="exact"/>
              <w:ind w:left="210"/>
              <w:jc w:val="left"/>
              <w:rPr>
                <w:sz w:val="16"/>
              </w:rPr>
            </w:pPr>
            <w:r>
              <w:rPr>
                <w:color w:val="231F20"/>
                <w:sz w:val="16"/>
              </w:rPr>
              <w:t>Load factor (3)   . . . . . . . . . . . . . . . . . . . . . . . . . . . . . .</w:t>
            </w:r>
            <w:r>
              <w:rPr>
                <w:color w:val="231F20"/>
                <w:spacing w:val="-10"/>
                <w:sz w:val="16"/>
              </w:rPr>
              <w:t> </w:t>
            </w:r>
            <w:r>
              <w:rPr>
                <w:color w:val="231F20"/>
                <w:sz w:val="16"/>
              </w:rPr>
              <w:t>. .</w:t>
              <w:tab/>
              <w:t>80.1%</w:t>
            </w:r>
          </w:p>
        </w:tc>
        <w:tc>
          <w:tcPr>
            <w:tcW w:w="1080" w:type="dxa"/>
            <w:gridSpan w:val="2"/>
          </w:tcPr>
          <w:p>
            <w:pPr>
              <w:pStyle w:val="TableParagraph"/>
              <w:spacing w:line="178" w:lineRule="exact"/>
              <w:ind w:left="600"/>
              <w:jc w:val="left"/>
              <w:rPr>
                <w:sz w:val="16"/>
              </w:rPr>
            </w:pPr>
            <w:r>
              <w:rPr>
                <w:color w:val="231F20"/>
                <w:sz w:val="16"/>
              </w:rPr>
              <w:t>80.3%</w:t>
            </w:r>
          </w:p>
        </w:tc>
        <w:tc>
          <w:tcPr>
            <w:tcW w:w="1080" w:type="dxa"/>
            <w:gridSpan w:val="2"/>
          </w:tcPr>
          <w:p>
            <w:pPr>
              <w:pStyle w:val="TableParagraph"/>
              <w:spacing w:line="178" w:lineRule="exact"/>
              <w:ind w:left="600"/>
              <w:jc w:val="left"/>
              <w:rPr>
                <w:sz w:val="16"/>
              </w:rPr>
            </w:pPr>
            <w:r>
              <w:rPr>
                <w:color w:val="231F20"/>
                <w:sz w:val="16"/>
              </w:rPr>
              <w:t>80.9%</w:t>
            </w:r>
          </w:p>
        </w:tc>
        <w:tc>
          <w:tcPr>
            <w:tcW w:w="1080" w:type="dxa"/>
            <w:gridSpan w:val="2"/>
          </w:tcPr>
          <w:p>
            <w:pPr>
              <w:pStyle w:val="TableParagraph"/>
              <w:spacing w:line="178" w:lineRule="exact"/>
              <w:ind w:left="600"/>
              <w:jc w:val="left"/>
              <w:rPr>
                <w:sz w:val="16"/>
              </w:rPr>
            </w:pPr>
            <w:r>
              <w:rPr>
                <w:color w:val="231F20"/>
                <w:sz w:val="16"/>
              </w:rPr>
              <w:t>79.3%</w:t>
            </w:r>
          </w:p>
        </w:tc>
        <w:tc>
          <w:tcPr>
            <w:tcW w:w="1063" w:type="dxa"/>
            <w:gridSpan w:val="2"/>
          </w:tcPr>
          <w:p>
            <w:pPr>
              <w:pStyle w:val="TableParagraph"/>
              <w:spacing w:line="178" w:lineRule="exact"/>
              <w:ind w:left="600"/>
              <w:jc w:val="left"/>
              <w:rPr>
                <w:sz w:val="16"/>
              </w:rPr>
            </w:pPr>
            <w:r>
              <w:rPr>
                <w:color w:val="231F20"/>
                <w:sz w:val="16"/>
              </w:rPr>
              <w:t>76.0%</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Average length of passenger haul (miles) . . . . . . . . . .</w:t>
            </w:r>
            <w:r>
              <w:rPr>
                <w:color w:val="231F20"/>
                <w:spacing w:val="3"/>
                <w:sz w:val="16"/>
              </w:rPr>
              <w:t> </w:t>
            </w:r>
            <w:r>
              <w:rPr>
                <w:color w:val="231F20"/>
                <w:sz w:val="16"/>
              </w:rPr>
              <w:t>. .</w:t>
              <w:tab/>
              <w:t>966</w:t>
            </w:r>
          </w:p>
        </w:tc>
        <w:tc>
          <w:tcPr>
            <w:tcW w:w="1080" w:type="dxa"/>
            <w:gridSpan w:val="2"/>
          </w:tcPr>
          <w:p>
            <w:pPr>
              <w:pStyle w:val="TableParagraph"/>
              <w:spacing w:line="178" w:lineRule="exact"/>
              <w:ind w:left="640"/>
              <w:jc w:val="left"/>
              <w:rPr>
                <w:sz w:val="16"/>
              </w:rPr>
            </w:pPr>
            <w:r>
              <w:rPr>
                <w:color w:val="231F20"/>
                <w:sz w:val="16"/>
              </w:rPr>
              <w:t>941</w:t>
            </w:r>
          </w:p>
        </w:tc>
        <w:tc>
          <w:tcPr>
            <w:tcW w:w="1080" w:type="dxa"/>
            <w:gridSpan w:val="2"/>
          </w:tcPr>
          <w:p>
            <w:pPr>
              <w:pStyle w:val="TableParagraph"/>
              <w:spacing w:line="178" w:lineRule="exact"/>
              <w:ind w:left="640"/>
              <w:jc w:val="left"/>
              <w:rPr>
                <w:sz w:val="16"/>
              </w:rPr>
            </w:pPr>
            <w:r>
              <w:rPr>
                <w:color w:val="231F20"/>
                <w:sz w:val="16"/>
              </w:rPr>
              <w:t>939</w:t>
            </w:r>
          </w:p>
        </w:tc>
        <w:tc>
          <w:tcPr>
            <w:tcW w:w="1080" w:type="dxa"/>
            <w:gridSpan w:val="2"/>
          </w:tcPr>
          <w:p>
            <w:pPr>
              <w:pStyle w:val="TableParagraph"/>
              <w:spacing w:line="178" w:lineRule="exact"/>
              <w:ind w:left="640"/>
              <w:jc w:val="left"/>
              <w:rPr>
                <w:sz w:val="16"/>
              </w:rPr>
            </w:pPr>
            <w:r>
              <w:rPr>
                <w:color w:val="231F20"/>
                <w:sz w:val="16"/>
              </w:rPr>
              <w:t>885</w:t>
            </w:r>
          </w:p>
        </w:tc>
        <w:tc>
          <w:tcPr>
            <w:tcW w:w="1063" w:type="dxa"/>
            <w:gridSpan w:val="2"/>
          </w:tcPr>
          <w:p>
            <w:pPr>
              <w:pStyle w:val="TableParagraph"/>
              <w:spacing w:line="178" w:lineRule="exact"/>
              <w:ind w:left="640"/>
              <w:jc w:val="left"/>
              <w:rPr>
                <w:sz w:val="16"/>
              </w:rPr>
            </w:pPr>
            <w:r>
              <w:rPr>
                <w:color w:val="231F20"/>
                <w:sz w:val="16"/>
              </w:rPr>
              <w:t>863</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Average aircraft stage length (miles)  . . . . . . . . . . . . .</w:t>
            </w:r>
            <w:r>
              <w:rPr>
                <w:color w:val="231F20"/>
                <w:spacing w:val="13"/>
                <w:sz w:val="16"/>
              </w:rPr>
              <w:t> </w:t>
            </w:r>
            <w:r>
              <w:rPr>
                <w:color w:val="231F20"/>
                <w:sz w:val="16"/>
              </w:rPr>
              <w:t>. .</w:t>
              <w:tab/>
              <w:t>703</w:t>
            </w:r>
          </w:p>
        </w:tc>
        <w:tc>
          <w:tcPr>
            <w:tcW w:w="1080" w:type="dxa"/>
            <w:gridSpan w:val="2"/>
          </w:tcPr>
          <w:p>
            <w:pPr>
              <w:pStyle w:val="TableParagraph"/>
              <w:spacing w:line="178" w:lineRule="exact"/>
              <w:ind w:left="640"/>
              <w:jc w:val="left"/>
              <w:rPr>
                <w:sz w:val="16"/>
              </w:rPr>
            </w:pPr>
            <w:r>
              <w:rPr>
                <w:color w:val="231F20"/>
                <w:sz w:val="16"/>
              </w:rPr>
              <w:t>693</w:t>
            </w:r>
          </w:p>
        </w:tc>
        <w:tc>
          <w:tcPr>
            <w:tcW w:w="1080" w:type="dxa"/>
            <w:gridSpan w:val="2"/>
          </w:tcPr>
          <w:p>
            <w:pPr>
              <w:pStyle w:val="TableParagraph"/>
              <w:spacing w:line="178" w:lineRule="exact"/>
              <w:ind w:left="640"/>
              <w:jc w:val="left"/>
              <w:rPr>
                <w:sz w:val="16"/>
              </w:rPr>
            </w:pPr>
            <w:r>
              <w:rPr>
                <w:color w:val="231F20"/>
                <w:sz w:val="16"/>
              </w:rPr>
              <w:t>679</w:t>
            </w:r>
          </w:p>
        </w:tc>
        <w:tc>
          <w:tcPr>
            <w:tcW w:w="1080" w:type="dxa"/>
            <w:gridSpan w:val="2"/>
          </w:tcPr>
          <w:p>
            <w:pPr>
              <w:pStyle w:val="TableParagraph"/>
              <w:spacing w:line="178" w:lineRule="exact"/>
              <w:ind w:left="640"/>
              <w:jc w:val="left"/>
              <w:rPr>
                <w:sz w:val="16"/>
              </w:rPr>
            </w:pPr>
            <w:r>
              <w:rPr>
                <w:color w:val="231F20"/>
                <w:sz w:val="16"/>
              </w:rPr>
              <w:t>648</w:t>
            </w:r>
          </w:p>
        </w:tc>
        <w:tc>
          <w:tcPr>
            <w:tcW w:w="1063" w:type="dxa"/>
            <w:gridSpan w:val="2"/>
          </w:tcPr>
          <w:p>
            <w:pPr>
              <w:pStyle w:val="TableParagraph"/>
              <w:spacing w:line="178" w:lineRule="exact"/>
              <w:ind w:left="640"/>
              <w:jc w:val="left"/>
              <w:rPr>
                <w:sz w:val="16"/>
              </w:rPr>
            </w:pPr>
            <w:r>
              <w:rPr>
                <w:color w:val="231F20"/>
                <w:sz w:val="16"/>
              </w:rPr>
              <w:t>639</w:t>
            </w:r>
          </w:p>
        </w:tc>
      </w:tr>
      <w:tr>
        <w:trPr>
          <w:trHeight w:val="180" w:hRule="exact"/>
        </w:trPr>
        <w:tc>
          <w:tcPr>
            <w:tcW w:w="4990" w:type="dxa"/>
            <w:gridSpan w:val="3"/>
          </w:tcPr>
          <w:p>
            <w:pPr>
              <w:pStyle w:val="TableParagraph"/>
              <w:tabs>
                <w:tab w:pos="4149" w:val="left" w:leader="none"/>
              </w:tabs>
              <w:spacing w:line="178" w:lineRule="exact"/>
              <w:ind w:left="210"/>
              <w:jc w:val="left"/>
              <w:rPr>
                <w:sz w:val="16"/>
              </w:rPr>
            </w:pPr>
            <w:r>
              <w:rPr>
                <w:color w:val="231F20"/>
                <w:sz w:val="16"/>
              </w:rPr>
              <w:t>Trips flown  . . . . . . . . . . . . . . . . . . . . . . . . . . . . . . . . .</w:t>
            </w:r>
            <w:r>
              <w:rPr>
                <w:color w:val="231F20"/>
                <w:spacing w:val="8"/>
                <w:sz w:val="16"/>
              </w:rPr>
              <w:t> </w:t>
            </w:r>
            <w:r>
              <w:rPr>
                <w:color w:val="231F20"/>
                <w:sz w:val="16"/>
              </w:rPr>
              <w:t>. .</w:t>
              <w:tab/>
              <w:t>1,312,785</w:t>
            </w:r>
          </w:p>
        </w:tc>
        <w:tc>
          <w:tcPr>
            <w:tcW w:w="1080" w:type="dxa"/>
            <w:gridSpan w:val="2"/>
          </w:tcPr>
          <w:p>
            <w:pPr>
              <w:pStyle w:val="TableParagraph"/>
              <w:spacing w:line="178" w:lineRule="exact"/>
              <w:ind w:left="240"/>
              <w:jc w:val="left"/>
              <w:rPr>
                <w:sz w:val="16"/>
              </w:rPr>
            </w:pPr>
            <w:r>
              <w:rPr>
                <w:color w:val="231F20"/>
                <w:sz w:val="16"/>
              </w:rPr>
              <w:t>1,361,558</w:t>
            </w:r>
          </w:p>
        </w:tc>
        <w:tc>
          <w:tcPr>
            <w:tcW w:w="1080" w:type="dxa"/>
            <w:gridSpan w:val="2"/>
          </w:tcPr>
          <w:p>
            <w:pPr>
              <w:pStyle w:val="TableParagraph"/>
              <w:spacing w:line="178" w:lineRule="exact"/>
              <w:ind w:left="240"/>
              <w:jc w:val="left"/>
              <w:rPr>
                <w:sz w:val="16"/>
              </w:rPr>
            </w:pPr>
            <w:r>
              <w:rPr>
                <w:color w:val="231F20"/>
                <w:sz w:val="16"/>
              </w:rPr>
              <w:t>1,317,977</w:t>
            </w:r>
          </w:p>
        </w:tc>
        <w:tc>
          <w:tcPr>
            <w:tcW w:w="1080" w:type="dxa"/>
            <w:gridSpan w:val="2"/>
          </w:tcPr>
          <w:p>
            <w:pPr>
              <w:pStyle w:val="TableParagraph"/>
              <w:spacing w:line="178" w:lineRule="exact"/>
              <w:ind w:left="240"/>
              <w:jc w:val="left"/>
              <w:rPr>
                <w:sz w:val="16"/>
              </w:rPr>
            </w:pPr>
            <w:r>
              <w:rPr>
                <w:color w:val="231F20"/>
                <w:sz w:val="16"/>
              </w:rPr>
              <w:t>1,114,451</w:t>
            </w:r>
          </w:p>
        </w:tc>
        <w:tc>
          <w:tcPr>
            <w:tcW w:w="1063" w:type="dxa"/>
            <w:gridSpan w:val="2"/>
          </w:tcPr>
          <w:p>
            <w:pPr>
              <w:pStyle w:val="TableParagraph"/>
              <w:spacing w:line="178" w:lineRule="exact"/>
              <w:ind w:left="240"/>
              <w:jc w:val="left"/>
              <w:rPr>
                <w:sz w:val="16"/>
              </w:rPr>
            </w:pPr>
            <w:r>
              <w:rPr>
                <w:color w:val="231F20"/>
                <w:sz w:val="16"/>
              </w:rPr>
              <w:t>1,125,111</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Average passenger fare . . . . . . . . . . . . . . . . . . . . . . . . .</w:t>
            </w:r>
            <w:r>
              <w:rPr>
                <w:color w:val="231F20"/>
                <w:spacing w:val="18"/>
                <w:sz w:val="16"/>
              </w:rPr>
              <w:t> </w:t>
            </w:r>
            <w:r>
              <w:rPr>
                <w:color w:val="231F20"/>
                <w:sz w:val="16"/>
              </w:rPr>
              <w:t>. </w:t>
            </w:r>
            <w:r>
              <w:rPr>
                <w:color w:val="231F20"/>
                <w:spacing w:val="20"/>
                <w:sz w:val="16"/>
              </w:rPr>
              <w:t> </w:t>
            </w:r>
            <w:r>
              <w:rPr>
                <w:color w:val="231F20"/>
                <w:sz w:val="16"/>
              </w:rPr>
              <w:t>$</w:t>
              <w:tab/>
              <w:t>154.72</w:t>
            </w:r>
          </w:p>
        </w:tc>
        <w:tc>
          <w:tcPr>
            <w:tcW w:w="1080" w:type="dxa"/>
            <w:gridSpan w:val="2"/>
          </w:tcPr>
          <w:p>
            <w:pPr>
              <w:pStyle w:val="TableParagraph"/>
              <w:tabs>
                <w:tab w:pos="439" w:val="left" w:leader="none"/>
              </w:tabs>
              <w:spacing w:line="178" w:lineRule="exact"/>
              <w:jc w:val="left"/>
              <w:rPr>
                <w:sz w:val="16"/>
              </w:rPr>
            </w:pPr>
            <w:r>
              <w:rPr>
                <w:color w:val="231F20"/>
                <w:sz w:val="16"/>
              </w:rPr>
              <w:t>$</w:t>
              <w:tab/>
              <w:t>147.17</w:t>
            </w:r>
          </w:p>
        </w:tc>
        <w:tc>
          <w:tcPr>
            <w:tcW w:w="1080" w:type="dxa"/>
            <w:gridSpan w:val="2"/>
          </w:tcPr>
          <w:p>
            <w:pPr>
              <w:pStyle w:val="TableParagraph"/>
              <w:tabs>
                <w:tab w:pos="439" w:val="left" w:leader="none"/>
              </w:tabs>
              <w:spacing w:line="178" w:lineRule="exact"/>
              <w:jc w:val="left"/>
              <w:rPr>
                <w:sz w:val="16"/>
              </w:rPr>
            </w:pPr>
            <w:r>
              <w:rPr>
                <w:color w:val="231F20"/>
                <w:sz w:val="16"/>
              </w:rPr>
              <w:t>$</w:t>
              <w:tab/>
              <w:t>141.90</w:t>
            </w:r>
          </w:p>
        </w:tc>
        <w:tc>
          <w:tcPr>
            <w:tcW w:w="1080" w:type="dxa"/>
            <w:gridSpan w:val="2"/>
          </w:tcPr>
          <w:p>
            <w:pPr>
              <w:pStyle w:val="TableParagraph"/>
              <w:tabs>
                <w:tab w:pos="439" w:val="left" w:leader="none"/>
              </w:tabs>
              <w:spacing w:line="178" w:lineRule="exact"/>
              <w:jc w:val="left"/>
              <w:rPr>
                <w:sz w:val="16"/>
              </w:rPr>
            </w:pPr>
            <w:r>
              <w:rPr>
                <w:color w:val="231F20"/>
                <w:sz w:val="16"/>
              </w:rPr>
              <w:t>$</w:t>
              <w:tab/>
              <w:t>130.27</w:t>
            </w:r>
          </w:p>
        </w:tc>
        <w:tc>
          <w:tcPr>
            <w:tcW w:w="1063" w:type="dxa"/>
            <w:gridSpan w:val="2"/>
          </w:tcPr>
          <w:p>
            <w:pPr>
              <w:pStyle w:val="TableParagraph"/>
              <w:tabs>
                <w:tab w:pos="439" w:val="left" w:leader="none"/>
              </w:tabs>
              <w:spacing w:line="178" w:lineRule="exact"/>
              <w:jc w:val="left"/>
              <w:rPr>
                <w:sz w:val="16"/>
              </w:rPr>
            </w:pPr>
            <w:r>
              <w:rPr>
                <w:color w:val="231F20"/>
                <w:sz w:val="16"/>
              </w:rPr>
              <w:t>$</w:t>
              <w:tab/>
              <w:t>114.61</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Passenger revenue yield per RPM (cents) (4) . . . . . . .</w:t>
            </w:r>
            <w:r>
              <w:rPr>
                <w:color w:val="231F20"/>
                <w:spacing w:val="7"/>
                <w:sz w:val="16"/>
              </w:rPr>
              <w:t> </w:t>
            </w:r>
            <w:r>
              <w:rPr>
                <w:color w:val="231F20"/>
                <w:sz w:val="16"/>
              </w:rPr>
              <w:t>. .</w:t>
              <w:tab/>
              <w:t>16.02</w:t>
            </w:r>
          </w:p>
        </w:tc>
        <w:tc>
          <w:tcPr>
            <w:tcW w:w="1080" w:type="dxa"/>
            <w:gridSpan w:val="2"/>
          </w:tcPr>
          <w:p>
            <w:pPr>
              <w:pStyle w:val="TableParagraph"/>
              <w:spacing w:line="178" w:lineRule="exact"/>
              <w:ind w:left="520"/>
              <w:jc w:val="left"/>
              <w:rPr>
                <w:sz w:val="16"/>
              </w:rPr>
            </w:pPr>
            <w:r>
              <w:rPr>
                <w:color w:val="231F20"/>
                <w:sz w:val="16"/>
              </w:rPr>
              <w:t>15.64</w:t>
            </w:r>
          </w:p>
        </w:tc>
        <w:tc>
          <w:tcPr>
            <w:tcW w:w="1080" w:type="dxa"/>
            <w:gridSpan w:val="2"/>
          </w:tcPr>
          <w:p>
            <w:pPr>
              <w:pStyle w:val="TableParagraph"/>
              <w:spacing w:line="178" w:lineRule="exact"/>
              <w:ind w:left="520"/>
              <w:jc w:val="left"/>
              <w:rPr>
                <w:sz w:val="16"/>
              </w:rPr>
            </w:pPr>
            <w:r>
              <w:rPr>
                <w:color w:val="231F20"/>
                <w:sz w:val="16"/>
              </w:rPr>
              <w:t>15.12</w:t>
            </w:r>
          </w:p>
        </w:tc>
        <w:tc>
          <w:tcPr>
            <w:tcW w:w="1080" w:type="dxa"/>
            <w:gridSpan w:val="2"/>
          </w:tcPr>
          <w:p>
            <w:pPr>
              <w:pStyle w:val="TableParagraph"/>
              <w:spacing w:line="178" w:lineRule="exact"/>
              <w:ind w:left="520"/>
              <w:jc w:val="left"/>
              <w:rPr>
                <w:sz w:val="16"/>
              </w:rPr>
            </w:pPr>
            <w:r>
              <w:rPr>
                <w:color w:val="231F20"/>
                <w:sz w:val="16"/>
              </w:rPr>
              <w:t>14.72</w:t>
            </w:r>
          </w:p>
        </w:tc>
        <w:tc>
          <w:tcPr>
            <w:tcW w:w="1063" w:type="dxa"/>
            <w:gridSpan w:val="2"/>
          </w:tcPr>
          <w:p>
            <w:pPr>
              <w:pStyle w:val="TableParagraph"/>
              <w:spacing w:line="178" w:lineRule="exact"/>
              <w:ind w:left="520"/>
              <w:jc w:val="left"/>
              <w:rPr>
                <w:sz w:val="16"/>
              </w:rPr>
            </w:pPr>
            <w:r>
              <w:rPr>
                <w:color w:val="231F20"/>
                <w:sz w:val="16"/>
              </w:rPr>
              <w:t>13.29</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Operating revenue per ASM (cents) (5)  . . . . . . . . . . .</w:t>
            </w:r>
            <w:r>
              <w:rPr>
                <w:color w:val="231F20"/>
                <w:spacing w:val="-2"/>
                <w:sz w:val="16"/>
              </w:rPr>
              <w:t> </w:t>
            </w:r>
            <w:r>
              <w:rPr>
                <w:color w:val="231F20"/>
                <w:sz w:val="16"/>
              </w:rPr>
              <w:t>. .</w:t>
              <w:tab/>
              <w:t>13.58</w:t>
            </w:r>
          </w:p>
        </w:tc>
        <w:tc>
          <w:tcPr>
            <w:tcW w:w="1080" w:type="dxa"/>
            <w:gridSpan w:val="2"/>
          </w:tcPr>
          <w:p>
            <w:pPr>
              <w:pStyle w:val="TableParagraph"/>
              <w:spacing w:line="178" w:lineRule="exact"/>
              <w:ind w:left="520"/>
              <w:jc w:val="left"/>
              <w:rPr>
                <w:sz w:val="16"/>
              </w:rPr>
            </w:pPr>
            <w:r>
              <w:rPr>
                <w:color w:val="231F20"/>
                <w:sz w:val="16"/>
              </w:rPr>
              <w:t>13.34</w:t>
            </w:r>
          </w:p>
        </w:tc>
        <w:tc>
          <w:tcPr>
            <w:tcW w:w="1080" w:type="dxa"/>
            <w:gridSpan w:val="2"/>
          </w:tcPr>
          <w:p>
            <w:pPr>
              <w:pStyle w:val="TableParagraph"/>
              <w:spacing w:line="178" w:lineRule="exact"/>
              <w:ind w:left="520"/>
              <w:jc w:val="left"/>
              <w:rPr>
                <w:sz w:val="16"/>
              </w:rPr>
            </w:pPr>
            <w:r>
              <w:rPr>
                <w:color w:val="231F20"/>
                <w:sz w:val="16"/>
              </w:rPr>
              <w:t>12.99</w:t>
            </w:r>
          </w:p>
        </w:tc>
        <w:tc>
          <w:tcPr>
            <w:tcW w:w="1080" w:type="dxa"/>
            <w:gridSpan w:val="2"/>
          </w:tcPr>
          <w:p>
            <w:pPr>
              <w:pStyle w:val="TableParagraph"/>
              <w:spacing w:line="178" w:lineRule="exact"/>
              <w:ind w:left="520"/>
              <w:jc w:val="left"/>
              <w:rPr>
                <w:sz w:val="16"/>
              </w:rPr>
            </w:pPr>
            <w:r>
              <w:rPr>
                <w:color w:val="231F20"/>
                <w:sz w:val="16"/>
              </w:rPr>
              <w:t>12.30</w:t>
            </w:r>
          </w:p>
        </w:tc>
        <w:tc>
          <w:tcPr>
            <w:tcW w:w="1063" w:type="dxa"/>
            <w:gridSpan w:val="2"/>
          </w:tcPr>
          <w:p>
            <w:pPr>
              <w:pStyle w:val="TableParagraph"/>
              <w:spacing w:line="178" w:lineRule="exact"/>
              <w:ind w:left="520"/>
              <w:jc w:val="left"/>
              <w:rPr>
                <w:sz w:val="16"/>
              </w:rPr>
            </w:pPr>
            <w:r>
              <w:rPr>
                <w:color w:val="231F20"/>
                <w:sz w:val="16"/>
              </w:rPr>
              <w:t>10.56</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Passenger revenue per ASM (cents) (6)  . . . . . . . . . . .</w:t>
            </w:r>
            <w:r>
              <w:rPr>
                <w:color w:val="231F20"/>
                <w:spacing w:val="-2"/>
                <w:sz w:val="16"/>
              </w:rPr>
              <w:t> </w:t>
            </w:r>
            <w:r>
              <w:rPr>
                <w:color w:val="231F20"/>
                <w:sz w:val="16"/>
              </w:rPr>
              <w:t>. .</w:t>
              <w:tab/>
              <w:t>12.83</w:t>
            </w:r>
          </w:p>
        </w:tc>
        <w:tc>
          <w:tcPr>
            <w:tcW w:w="1080" w:type="dxa"/>
            <w:gridSpan w:val="2"/>
          </w:tcPr>
          <w:p>
            <w:pPr>
              <w:pStyle w:val="TableParagraph"/>
              <w:spacing w:line="178" w:lineRule="exact"/>
              <w:ind w:left="520"/>
              <w:jc w:val="left"/>
              <w:rPr>
                <w:sz w:val="16"/>
              </w:rPr>
            </w:pPr>
            <w:r>
              <w:rPr>
                <w:color w:val="231F20"/>
                <w:sz w:val="16"/>
              </w:rPr>
              <w:t>12.56</w:t>
            </w:r>
          </w:p>
        </w:tc>
        <w:tc>
          <w:tcPr>
            <w:tcW w:w="1080" w:type="dxa"/>
            <w:gridSpan w:val="2"/>
          </w:tcPr>
          <w:p>
            <w:pPr>
              <w:pStyle w:val="TableParagraph"/>
              <w:spacing w:line="178" w:lineRule="exact"/>
              <w:ind w:left="520"/>
              <w:jc w:val="left"/>
              <w:rPr>
                <w:sz w:val="16"/>
              </w:rPr>
            </w:pPr>
            <w:r>
              <w:rPr>
                <w:color w:val="231F20"/>
                <w:sz w:val="16"/>
              </w:rPr>
              <w:t>12.24</w:t>
            </w:r>
          </w:p>
        </w:tc>
        <w:tc>
          <w:tcPr>
            <w:tcW w:w="1080" w:type="dxa"/>
            <w:gridSpan w:val="2"/>
          </w:tcPr>
          <w:p>
            <w:pPr>
              <w:pStyle w:val="TableParagraph"/>
              <w:spacing w:line="178" w:lineRule="exact"/>
              <w:ind w:left="520"/>
              <w:jc w:val="left"/>
              <w:rPr>
                <w:sz w:val="16"/>
              </w:rPr>
            </w:pPr>
            <w:r>
              <w:rPr>
                <w:color w:val="231F20"/>
                <w:sz w:val="16"/>
              </w:rPr>
              <w:t>11.67</w:t>
            </w:r>
          </w:p>
        </w:tc>
        <w:tc>
          <w:tcPr>
            <w:tcW w:w="1063" w:type="dxa"/>
            <w:gridSpan w:val="2"/>
          </w:tcPr>
          <w:p>
            <w:pPr>
              <w:pStyle w:val="TableParagraph"/>
              <w:spacing w:line="178" w:lineRule="exact"/>
              <w:ind w:left="520"/>
              <w:jc w:val="left"/>
              <w:rPr>
                <w:sz w:val="16"/>
              </w:rPr>
            </w:pPr>
            <w:r>
              <w:rPr>
                <w:color w:val="231F20"/>
                <w:sz w:val="16"/>
              </w:rPr>
              <w:t>10.09</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Operating expenses per ASM (cents) (7)  . . . . . . . . . .</w:t>
            </w:r>
            <w:r>
              <w:rPr>
                <w:color w:val="231F20"/>
                <w:spacing w:val="7"/>
                <w:sz w:val="16"/>
              </w:rPr>
              <w:t> </w:t>
            </w:r>
            <w:r>
              <w:rPr>
                <w:color w:val="231F20"/>
                <w:sz w:val="16"/>
              </w:rPr>
              <w:t>. .</w:t>
              <w:tab/>
              <w:t>12.60</w:t>
            </w:r>
          </w:p>
        </w:tc>
        <w:tc>
          <w:tcPr>
            <w:tcW w:w="1080" w:type="dxa"/>
            <w:gridSpan w:val="2"/>
          </w:tcPr>
          <w:p>
            <w:pPr>
              <w:pStyle w:val="TableParagraph"/>
              <w:spacing w:line="178" w:lineRule="exact"/>
              <w:ind w:left="520"/>
              <w:jc w:val="left"/>
              <w:rPr>
                <w:sz w:val="16"/>
              </w:rPr>
            </w:pPr>
            <w:r>
              <w:rPr>
                <w:color w:val="231F20"/>
                <w:sz w:val="16"/>
              </w:rPr>
              <w:t>12.85</w:t>
            </w:r>
          </w:p>
        </w:tc>
        <w:tc>
          <w:tcPr>
            <w:tcW w:w="1080" w:type="dxa"/>
            <w:gridSpan w:val="2"/>
          </w:tcPr>
          <w:p>
            <w:pPr>
              <w:pStyle w:val="TableParagraph"/>
              <w:spacing w:line="178" w:lineRule="exact"/>
              <w:ind w:left="520"/>
              <w:jc w:val="left"/>
              <w:rPr>
                <w:sz w:val="16"/>
              </w:rPr>
            </w:pPr>
            <w:r>
              <w:rPr>
                <w:color w:val="231F20"/>
                <w:sz w:val="16"/>
              </w:rPr>
              <w:t>12.41</w:t>
            </w:r>
          </w:p>
        </w:tc>
        <w:tc>
          <w:tcPr>
            <w:tcW w:w="1080" w:type="dxa"/>
            <w:gridSpan w:val="2"/>
          </w:tcPr>
          <w:p>
            <w:pPr>
              <w:pStyle w:val="TableParagraph"/>
              <w:spacing w:line="178" w:lineRule="exact"/>
              <w:ind w:left="520"/>
              <w:jc w:val="left"/>
              <w:rPr>
                <w:sz w:val="16"/>
              </w:rPr>
            </w:pPr>
            <w:r>
              <w:rPr>
                <w:color w:val="231F20"/>
                <w:sz w:val="16"/>
              </w:rPr>
              <w:t>11.29</w:t>
            </w:r>
          </w:p>
        </w:tc>
        <w:tc>
          <w:tcPr>
            <w:tcW w:w="1063" w:type="dxa"/>
            <w:gridSpan w:val="2"/>
          </w:tcPr>
          <w:p>
            <w:pPr>
              <w:pStyle w:val="TableParagraph"/>
              <w:spacing w:line="178" w:lineRule="exact"/>
              <w:ind w:left="520"/>
              <w:jc w:val="left"/>
              <w:rPr>
                <w:sz w:val="16"/>
              </w:rPr>
            </w:pPr>
            <w:r>
              <w:rPr>
                <w:color w:val="231F20"/>
                <w:sz w:val="16"/>
              </w:rPr>
              <w:t>10.29</w:t>
            </w:r>
          </w:p>
        </w:tc>
      </w:tr>
      <w:tr>
        <w:trPr>
          <w:trHeight w:val="180" w:hRule="exact"/>
        </w:trPr>
        <w:tc>
          <w:tcPr>
            <w:tcW w:w="4990" w:type="dxa"/>
            <w:gridSpan w:val="3"/>
          </w:tcPr>
          <w:p>
            <w:pPr>
              <w:pStyle w:val="TableParagraph"/>
              <w:tabs>
                <w:tab w:pos="4790" w:val="right" w:leader="none"/>
              </w:tabs>
              <w:spacing w:line="178" w:lineRule="exact"/>
              <w:ind w:left="210"/>
              <w:jc w:val="left"/>
              <w:rPr>
                <w:sz w:val="16"/>
              </w:rPr>
            </w:pPr>
            <w:r>
              <w:rPr>
                <w:color w:val="231F20"/>
                <w:sz w:val="16"/>
              </w:rPr>
              <w:t>Operating expenses per ASM, excluding fuel (cents) .</w:t>
            </w:r>
            <w:r>
              <w:rPr>
                <w:color w:val="231F20"/>
                <w:spacing w:val="-6"/>
                <w:sz w:val="16"/>
              </w:rPr>
              <w:t> </w:t>
            </w:r>
            <w:r>
              <w:rPr>
                <w:color w:val="231F20"/>
                <w:sz w:val="16"/>
              </w:rPr>
              <w:t>. .</w:t>
              <w:tab/>
              <w:t>8.18</w:t>
            </w:r>
          </w:p>
        </w:tc>
        <w:tc>
          <w:tcPr>
            <w:tcW w:w="1080" w:type="dxa"/>
            <w:gridSpan w:val="2"/>
          </w:tcPr>
          <w:p>
            <w:pPr>
              <w:pStyle w:val="TableParagraph"/>
              <w:spacing w:line="178" w:lineRule="exact"/>
              <w:ind w:left="600"/>
              <w:jc w:val="left"/>
              <w:rPr>
                <w:sz w:val="16"/>
              </w:rPr>
            </w:pPr>
            <w:r>
              <w:rPr>
                <w:color w:val="231F20"/>
                <w:sz w:val="16"/>
              </w:rPr>
              <w:t>8.07</w:t>
            </w:r>
          </w:p>
        </w:tc>
        <w:tc>
          <w:tcPr>
            <w:tcW w:w="1080" w:type="dxa"/>
            <w:gridSpan w:val="2"/>
          </w:tcPr>
          <w:p>
            <w:pPr>
              <w:pStyle w:val="TableParagraph"/>
              <w:spacing w:line="178" w:lineRule="exact"/>
              <w:ind w:left="600"/>
              <w:jc w:val="left"/>
              <w:rPr>
                <w:sz w:val="16"/>
              </w:rPr>
            </w:pPr>
            <w:r>
              <w:rPr>
                <w:color w:val="231F20"/>
                <w:sz w:val="16"/>
              </w:rPr>
              <w:t>7.73</w:t>
            </w:r>
          </w:p>
        </w:tc>
        <w:tc>
          <w:tcPr>
            <w:tcW w:w="1080" w:type="dxa"/>
            <w:gridSpan w:val="2"/>
          </w:tcPr>
          <w:p>
            <w:pPr>
              <w:pStyle w:val="TableParagraph"/>
              <w:spacing w:line="178" w:lineRule="exact"/>
              <w:ind w:left="600"/>
              <w:jc w:val="left"/>
              <w:rPr>
                <w:sz w:val="16"/>
              </w:rPr>
            </w:pPr>
            <w:r>
              <w:rPr>
                <w:color w:val="231F20"/>
                <w:sz w:val="16"/>
              </w:rPr>
              <w:t>7.61</w:t>
            </w:r>
          </w:p>
        </w:tc>
        <w:tc>
          <w:tcPr>
            <w:tcW w:w="1063" w:type="dxa"/>
            <w:gridSpan w:val="2"/>
          </w:tcPr>
          <w:p>
            <w:pPr>
              <w:pStyle w:val="TableParagraph"/>
              <w:spacing w:line="178" w:lineRule="exact"/>
              <w:ind w:left="600"/>
              <w:jc w:val="left"/>
              <w:rPr>
                <w:sz w:val="16"/>
              </w:rPr>
            </w:pPr>
            <w:r>
              <w:rPr>
                <w:color w:val="231F20"/>
                <w:sz w:val="16"/>
              </w:rPr>
              <w:t>7.18</w:t>
            </w:r>
          </w:p>
        </w:tc>
      </w:tr>
      <w:tr>
        <w:trPr>
          <w:trHeight w:val="180" w:hRule="exact"/>
        </w:trPr>
        <w:tc>
          <w:tcPr>
            <w:tcW w:w="4990" w:type="dxa"/>
            <w:gridSpan w:val="3"/>
          </w:tcPr>
          <w:p>
            <w:pPr>
              <w:pStyle w:val="TableParagraph"/>
              <w:spacing w:line="178" w:lineRule="exact"/>
              <w:ind w:left="210"/>
              <w:jc w:val="left"/>
              <w:rPr>
                <w:sz w:val="16"/>
              </w:rPr>
            </w:pPr>
            <w:r>
              <w:rPr>
                <w:color w:val="231F20"/>
                <w:sz w:val="16"/>
              </w:rPr>
              <w:t>Operating expenses per ASM, excluding fuel and</w:t>
            </w:r>
          </w:p>
        </w:tc>
        <w:tc>
          <w:tcPr>
            <w:tcW w:w="1080" w:type="dxa"/>
            <w:gridSpan w:val="2"/>
          </w:tcPr>
          <w:p>
            <w:pPr/>
          </w:p>
        </w:tc>
        <w:tc>
          <w:tcPr>
            <w:tcW w:w="1080" w:type="dxa"/>
            <w:gridSpan w:val="2"/>
          </w:tcPr>
          <w:p>
            <w:pPr/>
          </w:p>
        </w:tc>
        <w:tc>
          <w:tcPr>
            <w:tcW w:w="1080" w:type="dxa"/>
            <w:gridSpan w:val="2"/>
          </w:tcPr>
          <w:p>
            <w:pPr/>
          </w:p>
        </w:tc>
        <w:tc>
          <w:tcPr>
            <w:tcW w:w="1063" w:type="dxa"/>
            <w:gridSpan w:val="2"/>
          </w:tcPr>
          <w:p>
            <w:pPr/>
          </w:p>
        </w:tc>
      </w:tr>
      <w:tr>
        <w:trPr>
          <w:trHeight w:val="180" w:hRule="exact"/>
        </w:trPr>
        <w:tc>
          <w:tcPr>
            <w:tcW w:w="4990" w:type="dxa"/>
            <w:gridSpan w:val="3"/>
          </w:tcPr>
          <w:p>
            <w:pPr>
              <w:pStyle w:val="TableParagraph"/>
              <w:tabs>
                <w:tab w:pos="4789" w:val="right" w:leader="none"/>
              </w:tabs>
              <w:spacing w:line="178" w:lineRule="exact"/>
              <w:ind w:left="370"/>
              <w:jc w:val="left"/>
              <w:rPr>
                <w:sz w:val="16"/>
              </w:rPr>
            </w:pPr>
            <w:r>
              <w:rPr>
                <w:color w:val="231F20"/>
                <w:sz w:val="16"/>
              </w:rPr>
              <w:t>profitsharing (cents)   . . . . . . . . . . . . . . . . . . . . . . . .</w:t>
            </w:r>
            <w:r>
              <w:rPr>
                <w:color w:val="231F20"/>
                <w:spacing w:val="-23"/>
                <w:sz w:val="16"/>
              </w:rPr>
              <w:t> </w:t>
            </w:r>
            <w:r>
              <w:rPr>
                <w:color w:val="231F20"/>
                <w:sz w:val="16"/>
              </w:rPr>
              <w:t>. .</w:t>
              <w:tab/>
              <w:t>8.01</w:t>
            </w:r>
          </w:p>
        </w:tc>
        <w:tc>
          <w:tcPr>
            <w:tcW w:w="1080" w:type="dxa"/>
            <w:gridSpan w:val="2"/>
          </w:tcPr>
          <w:p>
            <w:pPr>
              <w:pStyle w:val="TableParagraph"/>
              <w:spacing w:line="178" w:lineRule="exact"/>
              <w:ind w:left="600"/>
              <w:jc w:val="left"/>
              <w:rPr>
                <w:sz w:val="16"/>
              </w:rPr>
            </w:pPr>
            <w:r>
              <w:rPr>
                <w:color w:val="231F20"/>
                <w:sz w:val="16"/>
              </w:rPr>
              <w:t>7.98</w:t>
            </w:r>
          </w:p>
        </w:tc>
        <w:tc>
          <w:tcPr>
            <w:tcW w:w="1080" w:type="dxa"/>
            <w:gridSpan w:val="2"/>
          </w:tcPr>
          <w:p>
            <w:pPr>
              <w:pStyle w:val="TableParagraph"/>
              <w:spacing w:line="178" w:lineRule="exact"/>
              <w:ind w:left="599"/>
              <w:jc w:val="left"/>
              <w:rPr>
                <w:sz w:val="16"/>
              </w:rPr>
            </w:pPr>
            <w:r>
              <w:rPr>
                <w:color w:val="231F20"/>
                <w:sz w:val="16"/>
              </w:rPr>
              <w:t>7.65</w:t>
            </w:r>
          </w:p>
        </w:tc>
        <w:tc>
          <w:tcPr>
            <w:tcW w:w="1080" w:type="dxa"/>
            <w:gridSpan w:val="2"/>
          </w:tcPr>
          <w:p>
            <w:pPr>
              <w:pStyle w:val="TableParagraph"/>
              <w:spacing w:line="178" w:lineRule="exact"/>
              <w:ind w:left="599"/>
              <w:jc w:val="left"/>
              <w:rPr>
                <w:sz w:val="16"/>
              </w:rPr>
            </w:pPr>
            <w:r>
              <w:rPr>
                <w:color w:val="231F20"/>
                <w:sz w:val="16"/>
              </w:rPr>
              <w:t>7.45</w:t>
            </w:r>
          </w:p>
        </w:tc>
        <w:tc>
          <w:tcPr>
            <w:tcW w:w="1063" w:type="dxa"/>
            <w:gridSpan w:val="2"/>
          </w:tcPr>
          <w:p>
            <w:pPr>
              <w:pStyle w:val="TableParagraph"/>
              <w:spacing w:line="178" w:lineRule="exact"/>
              <w:ind w:left="599"/>
              <w:jc w:val="left"/>
              <w:rPr>
                <w:sz w:val="16"/>
              </w:rPr>
            </w:pPr>
            <w:r>
              <w:rPr>
                <w:color w:val="231F20"/>
                <w:sz w:val="16"/>
              </w:rPr>
              <w:t>7.15</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Fuel costs per gallon, including fuel tax  . . . . . . . . . . . .</w:t>
            </w:r>
            <w:r>
              <w:rPr>
                <w:color w:val="231F20"/>
                <w:spacing w:val="-20"/>
                <w:sz w:val="16"/>
              </w:rPr>
              <w:t> </w:t>
            </w:r>
            <w:r>
              <w:rPr>
                <w:color w:val="231F20"/>
                <w:sz w:val="16"/>
              </w:rPr>
              <w:t>. </w:t>
            </w:r>
            <w:r>
              <w:rPr>
                <w:color w:val="231F20"/>
                <w:spacing w:val="20"/>
                <w:sz w:val="16"/>
              </w:rPr>
              <w:t> </w:t>
            </w:r>
            <w:r>
              <w:rPr>
                <w:color w:val="231F20"/>
                <w:sz w:val="16"/>
              </w:rPr>
              <w:t>$</w:t>
              <w:tab/>
              <w:t>3.16</w:t>
            </w:r>
          </w:p>
        </w:tc>
        <w:tc>
          <w:tcPr>
            <w:tcW w:w="1080" w:type="dxa"/>
            <w:gridSpan w:val="2"/>
          </w:tcPr>
          <w:p>
            <w:pPr>
              <w:pStyle w:val="TableParagraph"/>
              <w:tabs>
                <w:tab w:pos="599" w:val="left" w:leader="none"/>
              </w:tabs>
              <w:spacing w:line="178" w:lineRule="exact"/>
              <w:jc w:val="left"/>
              <w:rPr>
                <w:sz w:val="16"/>
              </w:rPr>
            </w:pPr>
            <w:r>
              <w:rPr>
                <w:color w:val="231F20"/>
                <w:sz w:val="16"/>
              </w:rPr>
              <w:t>$</w:t>
              <w:tab/>
              <w:t>3.30</w:t>
            </w:r>
          </w:p>
        </w:tc>
        <w:tc>
          <w:tcPr>
            <w:tcW w:w="1080" w:type="dxa"/>
            <w:gridSpan w:val="2"/>
          </w:tcPr>
          <w:p>
            <w:pPr>
              <w:pStyle w:val="TableParagraph"/>
              <w:tabs>
                <w:tab w:pos="599" w:val="left" w:leader="none"/>
              </w:tabs>
              <w:spacing w:line="178" w:lineRule="exact"/>
              <w:jc w:val="left"/>
              <w:rPr>
                <w:sz w:val="16"/>
              </w:rPr>
            </w:pPr>
            <w:r>
              <w:rPr>
                <w:color w:val="231F20"/>
                <w:sz w:val="16"/>
              </w:rPr>
              <w:t>$</w:t>
              <w:tab/>
              <w:t>3.19</w:t>
            </w:r>
          </w:p>
        </w:tc>
        <w:tc>
          <w:tcPr>
            <w:tcW w:w="1080" w:type="dxa"/>
            <w:gridSpan w:val="2"/>
          </w:tcPr>
          <w:p>
            <w:pPr>
              <w:pStyle w:val="TableParagraph"/>
              <w:tabs>
                <w:tab w:pos="599" w:val="left" w:leader="none"/>
              </w:tabs>
              <w:spacing w:line="178" w:lineRule="exact"/>
              <w:jc w:val="left"/>
              <w:rPr>
                <w:sz w:val="16"/>
              </w:rPr>
            </w:pPr>
            <w:r>
              <w:rPr>
                <w:color w:val="231F20"/>
                <w:sz w:val="16"/>
              </w:rPr>
              <w:t>$</w:t>
              <w:tab/>
              <w:t>2.51</w:t>
            </w:r>
          </w:p>
        </w:tc>
        <w:tc>
          <w:tcPr>
            <w:tcW w:w="1063" w:type="dxa"/>
            <w:gridSpan w:val="2"/>
          </w:tcPr>
          <w:p>
            <w:pPr>
              <w:pStyle w:val="TableParagraph"/>
              <w:tabs>
                <w:tab w:pos="599" w:val="left" w:leader="none"/>
              </w:tabs>
              <w:spacing w:line="178" w:lineRule="exact"/>
              <w:jc w:val="left"/>
              <w:rPr>
                <w:sz w:val="16"/>
              </w:rPr>
            </w:pPr>
            <w:r>
              <w:rPr>
                <w:color w:val="231F20"/>
                <w:sz w:val="16"/>
              </w:rPr>
              <w:t>$</w:t>
              <w:tab/>
              <w:t>2.12</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Fuel costs per gallon, including fuel tax, economic  . . .</w:t>
            </w:r>
            <w:r>
              <w:rPr>
                <w:color w:val="231F20"/>
                <w:spacing w:val="-3"/>
                <w:sz w:val="16"/>
              </w:rPr>
              <w:t> </w:t>
            </w:r>
            <w:r>
              <w:rPr>
                <w:color w:val="231F20"/>
                <w:sz w:val="16"/>
              </w:rPr>
              <w:t>. </w:t>
            </w:r>
            <w:r>
              <w:rPr>
                <w:color w:val="231F20"/>
                <w:spacing w:val="20"/>
                <w:sz w:val="16"/>
              </w:rPr>
              <w:t> </w:t>
            </w:r>
            <w:r>
              <w:rPr>
                <w:color w:val="231F20"/>
                <w:sz w:val="16"/>
              </w:rPr>
              <w:t>$</w:t>
              <w:tab/>
              <w:t>3.12</w:t>
            </w:r>
          </w:p>
        </w:tc>
        <w:tc>
          <w:tcPr>
            <w:tcW w:w="1080" w:type="dxa"/>
            <w:gridSpan w:val="2"/>
          </w:tcPr>
          <w:p>
            <w:pPr>
              <w:pStyle w:val="TableParagraph"/>
              <w:tabs>
                <w:tab w:pos="599" w:val="left" w:leader="none"/>
              </w:tabs>
              <w:spacing w:line="178" w:lineRule="exact"/>
              <w:jc w:val="left"/>
              <w:rPr>
                <w:sz w:val="16"/>
              </w:rPr>
            </w:pPr>
            <w:r>
              <w:rPr>
                <w:color w:val="231F20"/>
                <w:sz w:val="16"/>
              </w:rPr>
              <w:t>$</w:t>
              <w:tab/>
              <w:t>3.28</w:t>
            </w:r>
          </w:p>
        </w:tc>
        <w:tc>
          <w:tcPr>
            <w:tcW w:w="1080" w:type="dxa"/>
            <w:gridSpan w:val="2"/>
          </w:tcPr>
          <w:p>
            <w:pPr>
              <w:pStyle w:val="TableParagraph"/>
              <w:tabs>
                <w:tab w:pos="599" w:val="left" w:leader="none"/>
              </w:tabs>
              <w:spacing w:line="178" w:lineRule="exact"/>
              <w:jc w:val="left"/>
              <w:rPr>
                <w:sz w:val="16"/>
              </w:rPr>
            </w:pPr>
            <w:r>
              <w:rPr>
                <w:color w:val="231F20"/>
                <w:sz w:val="16"/>
              </w:rPr>
              <w:t>$</w:t>
              <w:tab/>
              <w:t>3.19</w:t>
            </w:r>
          </w:p>
        </w:tc>
        <w:tc>
          <w:tcPr>
            <w:tcW w:w="1080" w:type="dxa"/>
            <w:gridSpan w:val="2"/>
          </w:tcPr>
          <w:p>
            <w:pPr>
              <w:pStyle w:val="TableParagraph"/>
              <w:tabs>
                <w:tab w:pos="599" w:val="left" w:leader="none"/>
              </w:tabs>
              <w:spacing w:line="178" w:lineRule="exact"/>
              <w:jc w:val="left"/>
              <w:rPr>
                <w:sz w:val="16"/>
              </w:rPr>
            </w:pPr>
            <w:r>
              <w:rPr>
                <w:color w:val="231F20"/>
                <w:sz w:val="16"/>
              </w:rPr>
              <w:t>$</w:t>
              <w:tab/>
              <w:t>2.39</w:t>
            </w:r>
          </w:p>
        </w:tc>
        <w:tc>
          <w:tcPr>
            <w:tcW w:w="1063" w:type="dxa"/>
            <w:gridSpan w:val="2"/>
          </w:tcPr>
          <w:p>
            <w:pPr>
              <w:pStyle w:val="TableParagraph"/>
              <w:tabs>
                <w:tab w:pos="599" w:val="left" w:leader="none"/>
              </w:tabs>
              <w:spacing w:line="178" w:lineRule="exact"/>
              <w:jc w:val="left"/>
              <w:rPr>
                <w:sz w:val="16"/>
              </w:rPr>
            </w:pPr>
            <w:r>
              <w:rPr>
                <w:color w:val="231F20"/>
                <w:sz w:val="16"/>
              </w:rPr>
              <w:t>$</w:t>
              <w:tab/>
              <w:t>1.97</w:t>
            </w:r>
          </w:p>
        </w:tc>
      </w:tr>
      <w:tr>
        <w:trPr>
          <w:trHeight w:val="180" w:hRule="exact"/>
        </w:trPr>
        <w:tc>
          <w:tcPr>
            <w:tcW w:w="4990" w:type="dxa"/>
            <w:gridSpan w:val="3"/>
          </w:tcPr>
          <w:p>
            <w:pPr>
              <w:pStyle w:val="TableParagraph"/>
              <w:tabs>
                <w:tab w:pos="4429" w:val="left" w:leader="none"/>
              </w:tabs>
              <w:spacing w:line="178" w:lineRule="exact"/>
              <w:ind w:left="210"/>
              <w:jc w:val="left"/>
              <w:rPr>
                <w:sz w:val="16"/>
              </w:rPr>
            </w:pPr>
            <w:r>
              <w:rPr>
                <w:color w:val="231F20"/>
                <w:sz w:val="16"/>
              </w:rPr>
              <w:t>Fuel consumed, in gallons (millions)  . . . . . . . . . . . . .</w:t>
            </w:r>
            <w:r>
              <w:rPr>
                <w:color w:val="231F20"/>
                <w:spacing w:val="6"/>
                <w:sz w:val="16"/>
              </w:rPr>
              <w:t> </w:t>
            </w:r>
            <w:r>
              <w:rPr>
                <w:color w:val="231F20"/>
                <w:sz w:val="16"/>
              </w:rPr>
              <w:t>. .</w:t>
              <w:tab/>
              <w:t>1,818</w:t>
            </w:r>
          </w:p>
        </w:tc>
        <w:tc>
          <w:tcPr>
            <w:tcW w:w="1080" w:type="dxa"/>
            <w:gridSpan w:val="2"/>
          </w:tcPr>
          <w:p>
            <w:pPr>
              <w:pStyle w:val="TableParagraph"/>
              <w:spacing w:line="178" w:lineRule="exact"/>
              <w:ind w:left="520"/>
              <w:jc w:val="left"/>
              <w:rPr>
                <w:sz w:val="16"/>
              </w:rPr>
            </w:pPr>
            <w:r>
              <w:rPr>
                <w:color w:val="231F20"/>
                <w:sz w:val="16"/>
              </w:rPr>
              <w:t>1,847</w:t>
            </w:r>
          </w:p>
        </w:tc>
        <w:tc>
          <w:tcPr>
            <w:tcW w:w="1080" w:type="dxa"/>
            <w:gridSpan w:val="2"/>
          </w:tcPr>
          <w:p>
            <w:pPr>
              <w:pStyle w:val="TableParagraph"/>
              <w:spacing w:line="178" w:lineRule="exact"/>
              <w:ind w:left="520"/>
              <w:jc w:val="left"/>
              <w:rPr>
                <w:sz w:val="16"/>
              </w:rPr>
            </w:pPr>
            <w:r>
              <w:rPr>
                <w:color w:val="231F20"/>
                <w:sz w:val="16"/>
              </w:rPr>
              <w:t>1,764</w:t>
            </w:r>
          </w:p>
        </w:tc>
        <w:tc>
          <w:tcPr>
            <w:tcW w:w="1080" w:type="dxa"/>
            <w:gridSpan w:val="2"/>
          </w:tcPr>
          <w:p>
            <w:pPr>
              <w:pStyle w:val="TableParagraph"/>
              <w:spacing w:line="178" w:lineRule="exact"/>
              <w:ind w:left="520"/>
              <w:jc w:val="left"/>
              <w:rPr>
                <w:sz w:val="16"/>
              </w:rPr>
            </w:pPr>
            <w:r>
              <w:rPr>
                <w:color w:val="231F20"/>
                <w:sz w:val="16"/>
              </w:rPr>
              <w:t>1,437</w:t>
            </w:r>
          </w:p>
        </w:tc>
        <w:tc>
          <w:tcPr>
            <w:tcW w:w="1063" w:type="dxa"/>
            <w:gridSpan w:val="2"/>
          </w:tcPr>
          <w:p>
            <w:pPr>
              <w:pStyle w:val="TableParagraph"/>
              <w:spacing w:line="178" w:lineRule="exact"/>
              <w:ind w:left="520"/>
              <w:jc w:val="left"/>
              <w:rPr>
                <w:sz w:val="16"/>
              </w:rPr>
            </w:pPr>
            <w:r>
              <w:rPr>
                <w:color w:val="231F20"/>
                <w:sz w:val="16"/>
              </w:rPr>
              <w:t>1,428</w:t>
            </w:r>
          </w:p>
        </w:tc>
      </w:tr>
      <w:tr>
        <w:trPr>
          <w:trHeight w:val="180" w:hRule="exact"/>
        </w:trPr>
        <w:tc>
          <w:tcPr>
            <w:tcW w:w="4990" w:type="dxa"/>
            <w:gridSpan w:val="3"/>
          </w:tcPr>
          <w:p>
            <w:pPr>
              <w:pStyle w:val="TableParagraph"/>
              <w:tabs>
                <w:tab w:pos="4349" w:val="left" w:leader="none"/>
              </w:tabs>
              <w:spacing w:line="178" w:lineRule="exact"/>
              <w:ind w:left="210"/>
              <w:jc w:val="left"/>
              <w:rPr>
                <w:sz w:val="16"/>
              </w:rPr>
            </w:pPr>
            <w:r>
              <w:rPr>
                <w:color w:val="231F20"/>
                <w:sz w:val="16"/>
              </w:rPr>
              <w:t>Active fulltime equivalent Employees  . . . . . . . . . . . .</w:t>
            </w:r>
            <w:r>
              <w:rPr>
                <w:color w:val="231F20"/>
                <w:spacing w:val="8"/>
                <w:sz w:val="16"/>
              </w:rPr>
              <w:t> </w:t>
            </w:r>
            <w:r>
              <w:rPr>
                <w:color w:val="231F20"/>
                <w:sz w:val="16"/>
              </w:rPr>
              <w:t>. .</w:t>
              <w:tab/>
              <w:t>44,831</w:t>
            </w:r>
          </w:p>
        </w:tc>
        <w:tc>
          <w:tcPr>
            <w:tcW w:w="1080" w:type="dxa"/>
            <w:gridSpan w:val="2"/>
          </w:tcPr>
          <w:p>
            <w:pPr>
              <w:pStyle w:val="TableParagraph"/>
              <w:spacing w:line="178" w:lineRule="exact"/>
              <w:ind w:left="440"/>
              <w:jc w:val="left"/>
              <w:rPr>
                <w:sz w:val="16"/>
              </w:rPr>
            </w:pPr>
            <w:r>
              <w:rPr>
                <w:color w:val="231F20"/>
                <w:sz w:val="16"/>
              </w:rPr>
              <w:t>45,861</w:t>
            </w:r>
          </w:p>
        </w:tc>
        <w:tc>
          <w:tcPr>
            <w:tcW w:w="1080" w:type="dxa"/>
            <w:gridSpan w:val="2"/>
          </w:tcPr>
          <w:p>
            <w:pPr>
              <w:pStyle w:val="TableParagraph"/>
              <w:spacing w:line="178" w:lineRule="exact"/>
              <w:ind w:left="440"/>
              <w:jc w:val="left"/>
              <w:rPr>
                <w:sz w:val="16"/>
              </w:rPr>
            </w:pPr>
            <w:r>
              <w:rPr>
                <w:color w:val="231F20"/>
                <w:sz w:val="16"/>
              </w:rPr>
              <w:t>45,392</w:t>
            </w:r>
          </w:p>
        </w:tc>
        <w:tc>
          <w:tcPr>
            <w:tcW w:w="1080" w:type="dxa"/>
            <w:gridSpan w:val="2"/>
          </w:tcPr>
          <w:p>
            <w:pPr>
              <w:pStyle w:val="TableParagraph"/>
              <w:spacing w:line="178" w:lineRule="exact"/>
              <w:ind w:left="440"/>
              <w:jc w:val="left"/>
              <w:rPr>
                <w:sz w:val="16"/>
              </w:rPr>
            </w:pPr>
            <w:r>
              <w:rPr>
                <w:color w:val="231F20"/>
                <w:sz w:val="16"/>
              </w:rPr>
              <w:t>34,901</w:t>
            </w:r>
          </w:p>
        </w:tc>
        <w:tc>
          <w:tcPr>
            <w:tcW w:w="1063" w:type="dxa"/>
            <w:gridSpan w:val="2"/>
          </w:tcPr>
          <w:p>
            <w:pPr>
              <w:pStyle w:val="TableParagraph"/>
              <w:spacing w:line="178" w:lineRule="exact"/>
              <w:ind w:left="440"/>
              <w:jc w:val="left"/>
              <w:rPr>
                <w:sz w:val="16"/>
              </w:rPr>
            </w:pPr>
            <w:r>
              <w:rPr>
                <w:color w:val="231F20"/>
                <w:sz w:val="16"/>
              </w:rPr>
              <w:t>34,726</w:t>
            </w:r>
          </w:p>
        </w:tc>
      </w:tr>
      <w:tr>
        <w:trPr>
          <w:trHeight w:val="298"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Aircraft in service at period-end (8)  . . . . . . . . . . . . . .</w:t>
            </w:r>
            <w:r>
              <w:rPr>
                <w:color w:val="231F20"/>
                <w:spacing w:val="-3"/>
                <w:sz w:val="16"/>
              </w:rPr>
              <w:t> </w:t>
            </w:r>
            <w:r>
              <w:rPr>
                <w:color w:val="231F20"/>
                <w:sz w:val="16"/>
              </w:rPr>
              <w:t>. .</w:t>
              <w:tab/>
              <w:t>680</w:t>
            </w:r>
          </w:p>
        </w:tc>
        <w:tc>
          <w:tcPr>
            <w:tcW w:w="1080" w:type="dxa"/>
            <w:gridSpan w:val="2"/>
          </w:tcPr>
          <w:p>
            <w:pPr>
              <w:pStyle w:val="TableParagraph"/>
              <w:spacing w:line="178" w:lineRule="exact"/>
              <w:ind w:left="640"/>
              <w:jc w:val="left"/>
              <w:rPr>
                <w:sz w:val="16"/>
              </w:rPr>
            </w:pPr>
            <w:r>
              <w:rPr>
                <w:color w:val="231F20"/>
                <w:sz w:val="16"/>
              </w:rPr>
              <w:t>694</w:t>
            </w:r>
          </w:p>
        </w:tc>
        <w:tc>
          <w:tcPr>
            <w:tcW w:w="1080" w:type="dxa"/>
            <w:gridSpan w:val="2"/>
          </w:tcPr>
          <w:p>
            <w:pPr>
              <w:pStyle w:val="TableParagraph"/>
              <w:spacing w:line="178" w:lineRule="exact"/>
              <w:ind w:left="640"/>
              <w:jc w:val="left"/>
              <w:rPr>
                <w:sz w:val="16"/>
              </w:rPr>
            </w:pPr>
            <w:r>
              <w:rPr>
                <w:color w:val="231F20"/>
                <w:sz w:val="16"/>
              </w:rPr>
              <w:t>698</w:t>
            </w:r>
          </w:p>
        </w:tc>
        <w:tc>
          <w:tcPr>
            <w:tcW w:w="1080" w:type="dxa"/>
            <w:gridSpan w:val="2"/>
          </w:tcPr>
          <w:p>
            <w:pPr>
              <w:pStyle w:val="TableParagraph"/>
              <w:spacing w:line="178" w:lineRule="exact"/>
              <w:ind w:left="640"/>
              <w:jc w:val="left"/>
              <w:rPr>
                <w:sz w:val="16"/>
              </w:rPr>
            </w:pPr>
            <w:r>
              <w:rPr>
                <w:color w:val="231F20"/>
                <w:sz w:val="16"/>
              </w:rPr>
              <w:t>548</w:t>
            </w:r>
          </w:p>
        </w:tc>
        <w:tc>
          <w:tcPr>
            <w:tcW w:w="1063" w:type="dxa"/>
            <w:gridSpan w:val="2"/>
          </w:tcPr>
          <w:p>
            <w:pPr>
              <w:pStyle w:val="TableParagraph"/>
              <w:spacing w:line="178" w:lineRule="exact"/>
              <w:ind w:left="640"/>
              <w:jc w:val="left"/>
              <w:rPr>
                <w:sz w:val="16"/>
              </w:rPr>
            </w:pPr>
            <w:r>
              <w:rPr>
                <w:color w:val="231F20"/>
                <w:sz w:val="16"/>
              </w:rPr>
              <w:t>537</w:t>
            </w:r>
          </w:p>
        </w:tc>
      </w:tr>
    </w:tbl>
    <w:p>
      <w:pPr>
        <w:pStyle w:val="ListParagraph"/>
        <w:numPr>
          <w:ilvl w:val="0"/>
          <w:numId w:val="6"/>
        </w:numPr>
        <w:tabs>
          <w:tab w:pos="480" w:val="left" w:leader="none"/>
        </w:tabs>
        <w:spacing w:line="180" w:lineRule="exact" w:before="31" w:after="0"/>
        <w:ind w:left="480" w:right="623" w:hanging="320"/>
        <w:jc w:val="left"/>
        <w:rPr>
          <w:sz w:val="16"/>
        </w:rPr>
      </w:pPr>
      <w:r>
        <w:rPr>
          <w:color w:val="231F20"/>
          <w:sz w:val="16"/>
        </w:rPr>
        <w:t>A revenue passenger mile is one paying passenger flown one mile. Also referred to as “traffic,” which is a measure of demand for</w:t>
      </w:r>
      <w:r>
        <w:rPr>
          <w:color w:val="231F20"/>
          <w:spacing w:val="-23"/>
          <w:sz w:val="16"/>
        </w:rPr>
        <w:t> </w:t>
      </w:r>
      <w:r>
        <w:rPr>
          <w:color w:val="231F20"/>
          <w:sz w:val="16"/>
        </w:rPr>
        <w:t>a given</w:t>
      </w:r>
      <w:r>
        <w:rPr>
          <w:color w:val="231F20"/>
          <w:spacing w:val="-1"/>
          <w:sz w:val="16"/>
        </w:rPr>
        <w:t> </w:t>
      </w:r>
      <w:r>
        <w:rPr>
          <w:color w:val="231F20"/>
          <w:sz w:val="16"/>
        </w:rPr>
        <w:t>period.</w:t>
      </w:r>
    </w:p>
    <w:p>
      <w:pPr>
        <w:pStyle w:val="ListParagraph"/>
        <w:numPr>
          <w:ilvl w:val="0"/>
          <w:numId w:val="6"/>
        </w:numPr>
        <w:tabs>
          <w:tab w:pos="480" w:val="left" w:leader="none"/>
        </w:tabs>
        <w:spacing w:line="180" w:lineRule="exact" w:before="0" w:after="0"/>
        <w:ind w:left="480" w:right="842" w:hanging="320"/>
        <w:jc w:val="left"/>
        <w:rPr>
          <w:sz w:val="16"/>
        </w:rPr>
      </w:pPr>
      <w:r>
        <w:rPr>
          <w:color w:val="231F20"/>
          <w:sz w:val="16"/>
        </w:rPr>
        <w:t>An available seat mile is one seat (empty or full) flown one mile. Also referred to as “capacity,” which is a measure of the</w:t>
      </w:r>
      <w:r>
        <w:rPr>
          <w:color w:val="231F20"/>
          <w:spacing w:val="-26"/>
          <w:sz w:val="16"/>
        </w:rPr>
        <w:t> </w:t>
      </w:r>
      <w:r>
        <w:rPr>
          <w:color w:val="231F20"/>
          <w:sz w:val="16"/>
        </w:rPr>
        <w:t>space available to carry passengers in a given</w:t>
      </w:r>
      <w:r>
        <w:rPr>
          <w:color w:val="231F20"/>
          <w:spacing w:val="-8"/>
          <w:sz w:val="16"/>
        </w:rPr>
        <w:t> </w:t>
      </w:r>
      <w:r>
        <w:rPr>
          <w:color w:val="231F20"/>
          <w:sz w:val="16"/>
        </w:rPr>
        <w:t>period.</w:t>
      </w:r>
    </w:p>
    <w:p>
      <w:pPr>
        <w:pStyle w:val="ListParagraph"/>
        <w:numPr>
          <w:ilvl w:val="0"/>
          <w:numId w:val="6"/>
        </w:numPr>
        <w:tabs>
          <w:tab w:pos="480" w:val="left" w:leader="none"/>
        </w:tabs>
        <w:spacing w:line="177" w:lineRule="exact" w:before="0" w:after="0"/>
        <w:ind w:left="48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0"/>
          <w:numId w:val="6"/>
        </w:numPr>
        <w:tabs>
          <w:tab w:pos="480" w:val="left" w:leader="none"/>
        </w:tabs>
        <w:spacing w:line="180" w:lineRule="exact" w:before="3" w:after="0"/>
        <w:ind w:left="480" w:right="254" w:hanging="320"/>
        <w:jc w:val="left"/>
        <w:rPr>
          <w:sz w:val="16"/>
        </w:rPr>
      </w:pPr>
      <w:r>
        <w:rPr>
          <w:color w:val="231F20"/>
          <w:sz w:val="16"/>
        </w:rPr>
        <w:t>Calculated as passenger revenue divided by revenue passenger miles. Also referred to as “yield,” this is the average cost paid by a</w:t>
      </w:r>
      <w:r>
        <w:rPr>
          <w:color w:val="231F20"/>
          <w:spacing w:val="-23"/>
          <w:sz w:val="16"/>
        </w:rPr>
        <w:t> </w:t>
      </w:r>
      <w:r>
        <w:rPr>
          <w:color w:val="231F20"/>
          <w:sz w:val="16"/>
        </w:rPr>
        <w:t>paying passenger to fly one mile, which is a measure of revenue production and</w:t>
      </w:r>
      <w:r>
        <w:rPr>
          <w:color w:val="231F20"/>
          <w:spacing w:val="-12"/>
          <w:sz w:val="16"/>
        </w:rPr>
        <w:t> </w:t>
      </w:r>
      <w:r>
        <w:rPr>
          <w:color w:val="231F20"/>
          <w:sz w:val="16"/>
        </w:rPr>
        <w:t>fares.</w:t>
      </w:r>
    </w:p>
    <w:p>
      <w:pPr>
        <w:pStyle w:val="ListParagraph"/>
        <w:numPr>
          <w:ilvl w:val="0"/>
          <w:numId w:val="6"/>
        </w:numPr>
        <w:tabs>
          <w:tab w:pos="480" w:val="left" w:leader="none"/>
        </w:tabs>
        <w:spacing w:line="180" w:lineRule="exact" w:before="0" w:after="0"/>
        <w:ind w:left="480" w:right="727" w:hanging="320"/>
        <w:jc w:val="left"/>
        <w:rPr>
          <w:sz w:val="16"/>
        </w:rPr>
      </w:pPr>
      <w:r>
        <w:rPr>
          <w:color w:val="231F20"/>
          <w:sz w:val="16"/>
        </w:rPr>
        <w:t>Calculated as operating revenue divided by available seat miles. Also referred to as “operating unit revenues,” this is a measure</w:t>
      </w:r>
      <w:r>
        <w:rPr>
          <w:color w:val="231F20"/>
          <w:spacing w:val="-25"/>
          <w:sz w:val="16"/>
        </w:rPr>
        <w:t> </w:t>
      </w:r>
      <w:r>
        <w:rPr>
          <w:color w:val="231F20"/>
          <w:sz w:val="16"/>
        </w:rPr>
        <w:t>of operating revenue production based on the total available seat miles flown during a particular</w:t>
      </w:r>
      <w:r>
        <w:rPr>
          <w:color w:val="231F20"/>
          <w:spacing w:val="-18"/>
          <w:sz w:val="16"/>
        </w:rPr>
        <w:t> </w:t>
      </w:r>
      <w:r>
        <w:rPr>
          <w:color w:val="231F20"/>
          <w:sz w:val="16"/>
        </w:rPr>
        <w:t>period.</w:t>
      </w:r>
    </w:p>
    <w:p>
      <w:pPr>
        <w:pStyle w:val="ListParagraph"/>
        <w:numPr>
          <w:ilvl w:val="0"/>
          <w:numId w:val="6"/>
        </w:numPr>
        <w:tabs>
          <w:tab w:pos="480" w:val="left" w:leader="none"/>
        </w:tabs>
        <w:spacing w:line="180" w:lineRule="exact" w:before="0" w:after="0"/>
        <w:ind w:left="480" w:right="675" w:hanging="320"/>
        <w:jc w:val="left"/>
        <w:rPr>
          <w:sz w:val="16"/>
        </w:rPr>
      </w:pPr>
      <w:r>
        <w:rPr>
          <w:color w:val="231F20"/>
          <w:sz w:val="16"/>
        </w:rPr>
        <w:t>Calculated as passenger revenue divided by available seat miles. Also referred to as “passenger unit revenues,” this is a measure</w:t>
      </w:r>
      <w:r>
        <w:rPr>
          <w:color w:val="231F20"/>
          <w:spacing w:val="-23"/>
          <w:sz w:val="16"/>
        </w:rPr>
        <w:t> </w:t>
      </w:r>
      <w:r>
        <w:rPr>
          <w:color w:val="231F20"/>
          <w:sz w:val="16"/>
        </w:rPr>
        <w:t>of passenger revenue production based on the total available seat miles flown during a particular</w:t>
      </w:r>
      <w:r>
        <w:rPr>
          <w:color w:val="231F20"/>
          <w:spacing w:val="-18"/>
          <w:sz w:val="16"/>
        </w:rPr>
        <w:t> </w:t>
      </w:r>
      <w:r>
        <w:rPr>
          <w:color w:val="231F20"/>
          <w:sz w:val="16"/>
        </w:rPr>
        <w:t>period.</w:t>
      </w:r>
    </w:p>
    <w:p>
      <w:pPr>
        <w:pStyle w:val="ListParagraph"/>
        <w:numPr>
          <w:ilvl w:val="0"/>
          <w:numId w:val="6"/>
        </w:numPr>
        <w:tabs>
          <w:tab w:pos="480" w:val="left" w:leader="none"/>
        </w:tabs>
        <w:spacing w:line="180" w:lineRule="exact" w:before="0" w:after="0"/>
        <w:ind w:left="480" w:right="321" w:hanging="320"/>
        <w:jc w:val="left"/>
        <w:rPr>
          <w:sz w:val="16"/>
        </w:rPr>
      </w:pPr>
      <w:r>
        <w:rPr>
          <w:color w:val="231F20"/>
          <w:sz w:val="16"/>
        </w:rPr>
        <w:t>Calculated</w:t>
      </w:r>
      <w:r>
        <w:rPr>
          <w:color w:val="231F20"/>
          <w:spacing w:val="-2"/>
          <w:sz w:val="16"/>
        </w:rPr>
        <w:t> </w:t>
      </w:r>
      <w:r>
        <w:rPr>
          <w:color w:val="231F20"/>
          <w:sz w:val="16"/>
        </w:rPr>
        <w:t>as</w:t>
      </w:r>
      <w:r>
        <w:rPr>
          <w:color w:val="231F20"/>
          <w:spacing w:val="-1"/>
          <w:sz w:val="16"/>
        </w:rPr>
        <w:t> </w:t>
      </w:r>
      <w:r>
        <w:rPr>
          <w:color w:val="231F20"/>
          <w:sz w:val="16"/>
        </w:rPr>
        <w:t>operating</w:t>
      </w:r>
      <w:r>
        <w:rPr>
          <w:color w:val="231F20"/>
          <w:spacing w:val="-2"/>
          <w:sz w:val="16"/>
        </w:rPr>
        <w:t> </w:t>
      </w:r>
      <w:r>
        <w:rPr>
          <w:color w:val="231F20"/>
          <w:sz w:val="16"/>
        </w:rPr>
        <w:t>expenses</w:t>
      </w:r>
      <w:r>
        <w:rPr>
          <w:color w:val="231F20"/>
          <w:spacing w:val="-1"/>
          <w:sz w:val="16"/>
        </w:rPr>
        <w:t> </w:t>
      </w:r>
      <w:r>
        <w:rPr>
          <w:color w:val="231F20"/>
          <w:sz w:val="16"/>
        </w:rPr>
        <w:t>divided</w:t>
      </w:r>
      <w:r>
        <w:rPr>
          <w:color w:val="231F20"/>
          <w:spacing w:val="-1"/>
          <w:sz w:val="16"/>
        </w:rPr>
        <w:t> </w:t>
      </w:r>
      <w:r>
        <w:rPr>
          <w:color w:val="231F20"/>
          <w:sz w:val="16"/>
        </w:rPr>
        <w:t>by available</w:t>
      </w:r>
      <w:r>
        <w:rPr>
          <w:color w:val="231F20"/>
          <w:spacing w:val="-2"/>
          <w:sz w:val="16"/>
        </w:rPr>
        <w:t> </w:t>
      </w:r>
      <w:r>
        <w:rPr>
          <w:color w:val="231F20"/>
          <w:sz w:val="16"/>
        </w:rPr>
        <w:t>seat</w:t>
      </w:r>
      <w:r>
        <w:rPr>
          <w:color w:val="231F20"/>
          <w:spacing w:val="-1"/>
          <w:sz w:val="16"/>
        </w:rPr>
        <w:t> </w:t>
      </w:r>
      <w:r>
        <w:rPr>
          <w:color w:val="231F20"/>
          <w:sz w:val="16"/>
        </w:rPr>
        <w:t>miles.</w:t>
      </w:r>
      <w:r>
        <w:rPr>
          <w:color w:val="231F20"/>
          <w:spacing w:val="-2"/>
          <w:sz w:val="16"/>
        </w:rPr>
        <w:t> </w:t>
      </w:r>
      <w:r>
        <w:rPr>
          <w:color w:val="231F20"/>
          <w:sz w:val="16"/>
        </w:rPr>
        <w:t>Also</w:t>
      </w:r>
      <w:r>
        <w:rPr>
          <w:color w:val="231F20"/>
          <w:spacing w:val="-1"/>
          <w:sz w:val="16"/>
        </w:rPr>
        <w:t> </w:t>
      </w:r>
      <w:r>
        <w:rPr>
          <w:color w:val="231F20"/>
          <w:sz w:val="16"/>
        </w:rPr>
        <w:t>referred</w:t>
      </w:r>
      <w:r>
        <w:rPr>
          <w:color w:val="231F20"/>
          <w:spacing w:val="-2"/>
          <w:sz w:val="16"/>
        </w:rPr>
        <w:t> </w:t>
      </w:r>
      <w:r>
        <w:rPr>
          <w:color w:val="231F20"/>
          <w:sz w:val="16"/>
        </w:rPr>
        <w:t>to</w:t>
      </w:r>
      <w:r>
        <w:rPr>
          <w:color w:val="231F20"/>
          <w:spacing w:val="-1"/>
          <w:sz w:val="16"/>
        </w:rPr>
        <w:t> </w:t>
      </w:r>
      <w:r>
        <w:rPr>
          <w:color w:val="231F20"/>
          <w:sz w:val="16"/>
        </w:rPr>
        <w:t>as</w:t>
      </w:r>
      <w:r>
        <w:rPr>
          <w:color w:val="231F20"/>
          <w:spacing w:val="-1"/>
          <w:sz w:val="16"/>
        </w:rPr>
        <w:t> </w:t>
      </w:r>
      <w:r>
        <w:rPr>
          <w:color w:val="231F20"/>
          <w:sz w:val="16"/>
        </w:rPr>
        <w:t>“unit</w:t>
      </w:r>
      <w:r>
        <w:rPr>
          <w:color w:val="231F20"/>
          <w:spacing w:val="-1"/>
          <w:sz w:val="16"/>
        </w:rPr>
        <w:t> </w:t>
      </w:r>
      <w:r>
        <w:rPr>
          <w:color w:val="231F20"/>
          <w:sz w:val="16"/>
        </w:rPr>
        <w:t>costs”</w:t>
      </w:r>
      <w:r>
        <w:rPr>
          <w:color w:val="231F20"/>
          <w:spacing w:val="-2"/>
          <w:sz w:val="16"/>
        </w:rPr>
        <w:t> </w:t>
      </w:r>
      <w:r>
        <w:rPr>
          <w:color w:val="231F20"/>
          <w:sz w:val="16"/>
        </w:rPr>
        <w:t>or</w:t>
      </w:r>
      <w:r>
        <w:rPr>
          <w:color w:val="231F20"/>
          <w:spacing w:val="-1"/>
          <w:sz w:val="16"/>
        </w:rPr>
        <w:t> </w:t>
      </w:r>
      <w:r>
        <w:rPr>
          <w:color w:val="231F20"/>
          <w:sz w:val="16"/>
        </w:rPr>
        <w:t>“cost</w:t>
      </w:r>
      <w:r>
        <w:rPr>
          <w:color w:val="231F20"/>
          <w:spacing w:val="-1"/>
          <w:sz w:val="16"/>
        </w:rPr>
        <w:t> </w:t>
      </w:r>
      <w:r>
        <w:rPr>
          <w:color w:val="231F20"/>
          <w:sz w:val="16"/>
        </w:rPr>
        <w:t>per</w:t>
      </w:r>
      <w:r>
        <w:rPr>
          <w:color w:val="231F20"/>
          <w:spacing w:val="-1"/>
          <w:sz w:val="16"/>
        </w:rPr>
        <w:t> </w:t>
      </w:r>
      <w:r>
        <w:rPr>
          <w:color w:val="231F20"/>
          <w:sz w:val="16"/>
        </w:rPr>
        <w:t>available</w:t>
      </w:r>
      <w:r>
        <w:rPr>
          <w:color w:val="231F20"/>
          <w:spacing w:val="-2"/>
          <w:sz w:val="16"/>
        </w:rPr>
        <w:t> </w:t>
      </w:r>
      <w:r>
        <w:rPr>
          <w:color w:val="231F20"/>
          <w:sz w:val="16"/>
        </w:rPr>
        <w:t>seat</w:t>
      </w:r>
      <w:r>
        <w:rPr>
          <w:color w:val="231F20"/>
          <w:spacing w:val="-1"/>
          <w:sz w:val="16"/>
        </w:rPr>
        <w:t> </w:t>
      </w:r>
      <w:r>
        <w:rPr>
          <w:color w:val="231F20"/>
          <w:sz w:val="16"/>
        </w:rPr>
        <w:t>mile,”</w:t>
      </w:r>
      <w:r>
        <w:rPr>
          <w:color w:val="231F20"/>
          <w:spacing w:val="-2"/>
          <w:sz w:val="16"/>
        </w:rPr>
        <w:t> </w:t>
      </w:r>
      <w:r>
        <w:rPr>
          <w:color w:val="231F20"/>
          <w:sz w:val="16"/>
        </w:rPr>
        <w:t>this</w:t>
      </w:r>
      <w:r>
        <w:rPr>
          <w:color w:val="231F20"/>
          <w:spacing w:val="-2"/>
          <w:sz w:val="16"/>
        </w:rPr>
        <w:t> </w:t>
      </w:r>
      <w:r>
        <w:rPr>
          <w:color w:val="231F20"/>
          <w:sz w:val="16"/>
        </w:rPr>
        <w:t>is the average cost to fly an aircraft seat (empty or full) one mile, which is a measure of cost</w:t>
      </w:r>
      <w:r>
        <w:rPr>
          <w:color w:val="231F20"/>
          <w:spacing w:val="-19"/>
          <w:sz w:val="16"/>
        </w:rPr>
        <w:t> </w:t>
      </w:r>
      <w:r>
        <w:rPr>
          <w:color w:val="231F20"/>
          <w:sz w:val="16"/>
        </w:rPr>
        <w:t>efficiencies.</w:t>
      </w:r>
    </w:p>
    <w:p>
      <w:pPr>
        <w:pStyle w:val="ListParagraph"/>
        <w:numPr>
          <w:ilvl w:val="0"/>
          <w:numId w:val="6"/>
        </w:numPr>
        <w:tabs>
          <w:tab w:pos="480" w:val="left" w:leader="none"/>
        </w:tabs>
        <w:spacing w:line="179" w:lineRule="exact" w:before="0" w:after="0"/>
        <w:ind w:left="479" w:right="0" w:hanging="319"/>
        <w:jc w:val="left"/>
        <w:rPr>
          <w:sz w:val="16"/>
        </w:rPr>
      </w:pPr>
      <w:r>
        <w:rPr>
          <w:color w:val="231F20"/>
          <w:sz w:val="16"/>
        </w:rPr>
        <w:t>Includes</w:t>
      </w:r>
      <w:r>
        <w:rPr>
          <w:color w:val="231F20"/>
          <w:spacing w:val="-7"/>
          <w:sz w:val="16"/>
        </w:rPr>
        <w:t> </w:t>
      </w:r>
      <w:r>
        <w:rPr>
          <w:color w:val="231F20"/>
          <w:sz w:val="16"/>
        </w:rPr>
        <w:t>leased</w:t>
      </w:r>
      <w:r>
        <w:rPr>
          <w:color w:val="231F20"/>
          <w:spacing w:val="-7"/>
          <w:sz w:val="16"/>
        </w:rPr>
        <w:t> </w:t>
      </w:r>
      <w:r>
        <w:rPr>
          <w:color w:val="231F20"/>
          <w:sz w:val="16"/>
        </w:rPr>
        <w:t>aircraft</w:t>
      </w:r>
      <w:r>
        <w:rPr>
          <w:color w:val="231F20"/>
          <w:spacing w:val="-7"/>
          <w:sz w:val="16"/>
        </w:rPr>
        <w:t> </w:t>
      </w:r>
      <w:r>
        <w:rPr>
          <w:color w:val="231F20"/>
          <w:sz w:val="16"/>
        </w:rPr>
        <w:t>and</w:t>
      </w:r>
      <w:r>
        <w:rPr>
          <w:color w:val="231F20"/>
          <w:spacing w:val="-9"/>
          <w:sz w:val="16"/>
        </w:rPr>
        <w:t> </w:t>
      </w:r>
      <w:r>
        <w:rPr>
          <w:color w:val="231F20"/>
          <w:sz w:val="16"/>
        </w:rPr>
        <w:t>excludes</w:t>
      </w:r>
      <w:r>
        <w:rPr>
          <w:color w:val="231F20"/>
          <w:spacing w:val="-7"/>
          <w:sz w:val="16"/>
        </w:rPr>
        <w:t> </w:t>
      </w:r>
      <w:r>
        <w:rPr>
          <w:color w:val="231F20"/>
          <w:sz w:val="16"/>
        </w:rPr>
        <w:t>aircraft</w:t>
      </w:r>
      <w:r>
        <w:rPr>
          <w:color w:val="231F20"/>
          <w:spacing w:val="-7"/>
          <w:sz w:val="16"/>
        </w:rPr>
        <w:t> </w:t>
      </w:r>
      <w:r>
        <w:rPr>
          <w:color w:val="231F20"/>
          <w:sz w:val="16"/>
        </w:rPr>
        <w:t>that</w:t>
      </w:r>
      <w:r>
        <w:rPr>
          <w:color w:val="231F20"/>
          <w:spacing w:val="-7"/>
          <w:sz w:val="16"/>
        </w:rPr>
        <w:t> </w:t>
      </w:r>
      <w:r>
        <w:rPr>
          <w:color w:val="231F20"/>
          <w:sz w:val="16"/>
        </w:rPr>
        <w:t>are</w:t>
      </w:r>
      <w:r>
        <w:rPr>
          <w:color w:val="231F20"/>
          <w:spacing w:val="-8"/>
          <w:sz w:val="16"/>
        </w:rPr>
        <w:t> </w:t>
      </w:r>
      <w:r>
        <w:rPr>
          <w:color w:val="231F20"/>
          <w:sz w:val="16"/>
        </w:rPr>
        <w:t>not</w:t>
      </w:r>
      <w:r>
        <w:rPr>
          <w:color w:val="231F20"/>
          <w:spacing w:val="-9"/>
          <w:sz w:val="16"/>
        </w:rPr>
        <w:t> </w:t>
      </w:r>
      <w:r>
        <w:rPr>
          <w:color w:val="231F20"/>
          <w:sz w:val="16"/>
        </w:rPr>
        <w:t>available</w:t>
      </w:r>
      <w:r>
        <w:rPr>
          <w:color w:val="231F20"/>
          <w:spacing w:val="-6"/>
          <w:sz w:val="16"/>
        </w:rPr>
        <w:t> </w:t>
      </w:r>
      <w:r>
        <w:rPr>
          <w:color w:val="231F20"/>
          <w:sz w:val="16"/>
        </w:rPr>
        <w:t>for</w:t>
      </w:r>
      <w:r>
        <w:rPr>
          <w:color w:val="231F20"/>
          <w:spacing w:val="-9"/>
          <w:sz w:val="16"/>
        </w:rPr>
        <w:t> </w:t>
      </w:r>
      <w:r>
        <w:rPr>
          <w:color w:val="231F20"/>
          <w:sz w:val="16"/>
        </w:rPr>
        <w:t>service</w:t>
      </w:r>
      <w:r>
        <w:rPr>
          <w:color w:val="231F20"/>
          <w:spacing w:val="-7"/>
          <w:sz w:val="16"/>
        </w:rPr>
        <w:t> </w:t>
      </w:r>
      <w:r>
        <w:rPr>
          <w:color w:val="231F20"/>
          <w:sz w:val="16"/>
        </w:rPr>
        <w:t>or</w:t>
      </w:r>
      <w:r>
        <w:rPr>
          <w:color w:val="231F20"/>
          <w:spacing w:val="-9"/>
          <w:sz w:val="16"/>
        </w:rPr>
        <w:t> </w:t>
      </w:r>
      <w:r>
        <w:rPr>
          <w:color w:val="231F20"/>
          <w:sz w:val="16"/>
        </w:rPr>
        <w:t>are</w:t>
      </w:r>
      <w:r>
        <w:rPr>
          <w:color w:val="231F20"/>
          <w:spacing w:val="-8"/>
          <w:sz w:val="16"/>
        </w:rPr>
        <w:t> </w:t>
      </w:r>
      <w:r>
        <w:rPr>
          <w:color w:val="231F20"/>
          <w:sz w:val="16"/>
        </w:rPr>
        <w:t>in</w:t>
      </w:r>
      <w:r>
        <w:rPr>
          <w:color w:val="231F20"/>
          <w:spacing w:val="-9"/>
          <w:sz w:val="16"/>
        </w:rPr>
        <w:t> </w:t>
      </w:r>
      <w:r>
        <w:rPr>
          <w:color w:val="231F20"/>
          <w:sz w:val="16"/>
        </w:rPr>
        <w:t>storage,</w:t>
      </w:r>
      <w:r>
        <w:rPr>
          <w:color w:val="231F20"/>
          <w:spacing w:val="-7"/>
          <w:sz w:val="16"/>
        </w:rPr>
        <w:t> </w:t>
      </w:r>
      <w:r>
        <w:rPr>
          <w:color w:val="231F20"/>
          <w:sz w:val="16"/>
        </w:rPr>
        <w:t>held</w:t>
      </w:r>
      <w:r>
        <w:rPr>
          <w:color w:val="231F20"/>
          <w:spacing w:val="-8"/>
          <w:sz w:val="16"/>
        </w:rPr>
        <w:t> </w:t>
      </w:r>
      <w:r>
        <w:rPr>
          <w:color w:val="231F20"/>
          <w:sz w:val="16"/>
        </w:rPr>
        <w:t>for</w:t>
      </w:r>
      <w:r>
        <w:rPr>
          <w:color w:val="231F20"/>
          <w:spacing w:val="-9"/>
          <w:sz w:val="16"/>
        </w:rPr>
        <w:t> </w:t>
      </w:r>
      <w:r>
        <w:rPr>
          <w:color w:val="231F20"/>
          <w:sz w:val="16"/>
        </w:rPr>
        <w:t>sale,</w:t>
      </w:r>
      <w:r>
        <w:rPr>
          <w:color w:val="231F20"/>
          <w:spacing w:val="-7"/>
          <w:sz w:val="16"/>
        </w:rPr>
        <w:t> </w:t>
      </w:r>
      <w:r>
        <w:rPr>
          <w:color w:val="231F20"/>
          <w:sz w:val="16"/>
        </w:rPr>
        <w:t>or</w:t>
      </w:r>
      <w:r>
        <w:rPr>
          <w:color w:val="231F20"/>
          <w:spacing w:val="-9"/>
          <w:sz w:val="16"/>
        </w:rPr>
        <w:t> </w:t>
      </w:r>
      <w:r>
        <w:rPr>
          <w:color w:val="231F20"/>
          <w:sz w:val="16"/>
        </w:rPr>
        <w:t>held</w:t>
      </w:r>
      <w:r>
        <w:rPr>
          <w:color w:val="231F20"/>
          <w:spacing w:val="-8"/>
          <w:sz w:val="16"/>
        </w:rPr>
        <w:t> </w:t>
      </w:r>
      <w:r>
        <w:rPr>
          <w:color w:val="231F20"/>
          <w:sz w:val="16"/>
        </w:rPr>
        <w:t>for</w:t>
      </w:r>
      <w:r>
        <w:rPr>
          <w:color w:val="231F20"/>
          <w:spacing w:val="-9"/>
          <w:sz w:val="16"/>
        </w:rPr>
        <w:t> </w:t>
      </w:r>
      <w:r>
        <w:rPr>
          <w:color w:val="231F20"/>
          <w:sz w:val="16"/>
        </w:rPr>
        <w:t>return</w:t>
      </w:r>
      <w:r>
        <w:rPr>
          <w:color w:val="231F20"/>
          <w:spacing w:val="-8"/>
          <w:sz w:val="16"/>
        </w:rPr>
        <w:t> </w:t>
      </w:r>
      <w:r>
        <w:rPr>
          <w:color w:val="231F20"/>
          <w:sz w:val="16"/>
        </w:rPr>
        <w:t>to</w:t>
      </w:r>
      <w:r>
        <w:rPr>
          <w:color w:val="231F20"/>
          <w:spacing w:val="-9"/>
          <w:sz w:val="16"/>
        </w:rPr>
        <w:t> </w:t>
      </w:r>
      <w:r>
        <w:rPr>
          <w:color w:val="231F20"/>
          <w:sz w:val="16"/>
        </w:rPr>
        <w:t>the</w:t>
      </w:r>
      <w:r>
        <w:rPr>
          <w:color w:val="231F20"/>
          <w:spacing w:val="-8"/>
          <w:sz w:val="16"/>
        </w:rPr>
        <w:t> </w:t>
      </w:r>
      <w:r>
        <w:rPr>
          <w:color w:val="231F20"/>
          <w:sz w:val="16"/>
        </w:rPr>
        <w:t>lessor.</w:t>
      </w:r>
    </w:p>
    <w:p>
      <w:pPr>
        <w:spacing w:after="0" w:line="179" w:lineRule="exact"/>
        <w:jc w:val="left"/>
        <w:rPr>
          <w:sz w:val="16"/>
        </w:rPr>
        <w:sectPr>
          <w:pgSz w:w="11880" w:h="15480"/>
          <w:pgMar w:header="0" w:footer="1253" w:top="1240" w:bottom="1440" w:left="1220" w:right="1140"/>
        </w:sectPr>
      </w:pPr>
    </w:p>
    <w:p>
      <w:pPr>
        <w:pStyle w:val="Heading4"/>
        <w:tabs>
          <w:tab w:pos="1239" w:val="left" w:leader="none"/>
        </w:tabs>
        <w:spacing w:before="73"/>
        <w:ind w:left="160"/>
        <w:rPr>
          <w:i/>
        </w:rPr>
      </w:pPr>
      <w:bookmarkStart w:name="_TOC_250013" w:id="14"/>
      <w:bookmarkStart w:name="Item 7.   Management's Discussion and An" w:id="15"/>
      <w:r>
        <w:rPr>
          <w:b w:val="0"/>
          <w:i w:val="0"/>
        </w:rPr>
      </w:r>
      <w:r>
        <w:rPr>
          <w:i w:val="0"/>
          <w:color w:val="231F20"/>
        </w:rPr>
        <w:t>Item</w:t>
      </w:r>
      <w:r>
        <w:rPr>
          <w:i w:val="0"/>
          <w:color w:val="231F20"/>
          <w:spacing w:val="1"/>
        </w:rPr>
        <w:t> </w:t>
      </w:r>
      <w:r>
        <w:rPr>
          <w:i w:val="0"/>
          <w:color w:val="231F20"/>
        </w:rPr>
        <w:t>7.</w:t>
        <w:tab/>
      </w:r>
      <w:r>
        <w:rPr>
          <w:i/>
          <w:color w:val="231F20"/>
        </w:rPr>
        <w:t>Management’s Discussion and Analysis of Financial Condition and Results of</w:t>
      </w:r>
      <w:r>
        <w:rPr>
          <w:i/>
          <w:color w:val="231F20"/>
          <w:spacing w:val="-1"/>
        </w:rPr>
        <w:t> </w:t>
      </w:r>
      <w:bookmarkEnd w:id="14"/>
      <w:r>
        <w:rPr>
          <w:i/>
          <w:color w:val="231F20"/>
        </w:rPr>
        <w:t>Operations</w:t>
      </w:r>
    </w:p>
    <w:p>
      <w:pPr>
        <w:spacing w:line="249" w:lineRule="auto" w:before="189"/>
        <w:ind w:left="160" w:right="94" w:firstLine="0"/>
        <w:jc w:val="left"/>
        <w:rPr>
          <w:b/>
          <w:sz w:val="20"/>
        </w:rPr>
      </w:pPr>
      <w:r>
        <w:rPr>
          <w:b/>
          <w:color w:val="231F20"/>
          <w:sz w:val="20"/>
        </w:rPr>
        <w:t>Reconciliation of Reported Amounts to non-GAAP Financial Measures (unaudited) (in millions, except per share and per ASM amounts)</w:t>
      </w:r>
    </w:p>
    <w:p>
      <w:pPr>
        <w:spacing w:before="177"/>
        <w:ind w:left="0" w:right="1823" w:firstLine="0"/>
        <w:jc w:val="right"/>
        <w:rPr>
          <w:b/>
          <w:sz w:val="16"/>
        </w:rPr>
      </w:pPr>
      <w:r>
        <w:rPr>
          <w:b/>
          <w:color w:val="231F20"/>
          <w:sz w:val="16"/>
        </w:rPr>
        <w:t>Year ended</w:t>
      </w:r>
    </w:p>
    <w:p>
      <w:pPr>
        <w:tabs>
          <w:tab w:pos="1899" w:val="left" w:leader="none"/>
        </w:tabs>
        <w:spacing w:before="15"/>
        <w:ind w:left="0" w:right="258" w:firstLine="0"/>
        <w:jc w:val="right"/>
        <w:rPr>
          <w:b/>
          <w:sz w:val="16"/>
        </w:rPr>
      </w:pPr>
      <w:r>
        <w:rPr/>
        <w:pict>
          <v:shape style="position:absolute;margin-left:66.475998pt;margin-top:11.71875pt;width:458.55pt;height:499.75pt;mso-position-horizontal-relative:page;mso-position-vertical-relative:paragraph;z-index:26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96"/>
                    <w:gridCol w:w="1057"/>
                    <w:gridCol w:w="193"/>
                    <w:gridCol w:w="980"/>
                    <w:gridCol w:w="200"/>
                    <w:gridCol w:w="845"/>
                  </w:tblGrid>
                  <w:tr>
                    <w:trPr>
                      <w:trHeight w:val="280" w:hRule="exact"/>
                    </w:trPr>
                    <w:tc>
                      <w:tcPr>
                        <w:tcW w:w="5896" w:type="dxa"/>
                      </w:tcPr>
                      <w:p>
                        <w:pPr/>
                      </w:p>
                    </w:tc>
                    <w:tc>
                      <w:tcPr>
                        <w:tcW w:w="1057" w:type="dxa"/>
                        <w:tcBorders>
                          <w:top w:val="single" w:sz="8" w:space="0" w:color="231F20"/>
                          <w:bottom w:val="single" w:sz="8" w:space="0" w:color="231F20"/>
                        </w:tcBorders>
                      </w:tcPr>
                      <w:p>
                        <w:pPr>
                          <w:pStyle w:val="TableParagraph"/>
                          <w:spacing w:before="50"/>
                          <w:ind w:left="409"/>
                          <w:jc w:val="left"/>
                          <w:rPr>
                            <w:b/>
                            <w:sz w:val="16"/>
                          </w:rPr>
                        </w:pPr>
                        <w:r>
                          <w:rPr>
                            <w:b/>
                            <w:color w:val="231F20"/>
                            <w:sz w:val="16"/>
                          </w:rPr>
                          <w:t>2013</w:t>
                        </w:r>
                      </w:p>
                    </w:tc>
                    <w:tc>
                      <w:tcPr>
                        <w:tcW w:w="193" w:type="dxa"/>
                        <w:tcBorders>
                          <w:top w:val="single" w:sz="8" w:space="0" w:color="231F20"/>
                        </w:tcBorders>
                      </w:tcPr>
                      <w:p>
                        <w:pPr/>
                      </w:p>
                    </w:tc>
                    <w:tc>
                      <w:tcPr>
                        <w:tcW w:w="980" w:type="dxa"/>
                        <w:tcBorders>
                          <w:top w:val="single" w:sz="8" w:space="0" w:color="231F20"/>
                          <w:bottom w:val="single" w:sz="8" w:space="0" w:color="231F20"/>
                        </w:tcBorders>
                      </w:tcPr>
                      <w:p>
                        <w:pPr>
                          <w:pStyle w:val="TableParagraph"/>
                          <w:spacing w:before="50"/>
                          <w:ind w:left="313" w:right="307"/>
                          <w:jc w:val="center"/>
                          <w:rPr>
                            <w:b/>
                            <w:sz w:val="16"/>
                          </w:rPr>
                        </w:pPr>
                        <w:r>
                          <w:rPr>
                            <w:b/>
                            <w:color w:val="231F20"/>
                            <w:sz w:val="16"/>
                          </w:rPr>
                          <w:t>2012</w:t>
                        </w:r>
                      </w:p>
                    </w:tc>
                    <w:tc>
                      <w:tcPr>
                        <w:tcW w:w="200" w:type="dxa"/>
                      </w:tcPr>
                      <w:p>
                        <w:pPr/>
                      </w:p>
                    </w:tc>
                    <w:tc>
                      <w:tcPr>
                        <w:tcW w:w="845" w:type="dxa"/>
                        <w:tcBorders>
                          <w:bottom w:val="single" w:sz="8" w:space="0" w:color="231F20"/>
                        </w:tcBorders>
                      </w:tcPr>
                      <w:p>
                        <w:pPr>
                          <w:pStyle w:val="TableParagraph"/>
                          <w:spacing w:before="60"/>
                          <w:ind w:left="160"/>
                          <w:jc w:val="left"/>
                          <w:rPr>
                            <w:b/>
                            <w:sz w:val="16"/>
                          </w:rPr>
                        </w:pPr>
                        <w:r>
                          <w:rPr>
                            <w:b/>
                            <w:color w:val="231F20"/>
                            <w:sz w:val="16"/>
                          </w:rPr>
                          <w:t>Change</w:t>
                        </w:r>
                      </w:p>
                    </w:tc>
                  </w:tr>
                  <w:tr>
                    <w:trPr>
                      <w:trHeight w:val="288" w:hRule="exact"/>
                    </w:trPr>
                    <w:tc>
                      <w:tcPr>
                        <w:tcW w:w="5896" w:type="dxa"/>
                      </w:tcPr>
                      <w:p>
                        <w:pPr>
                          <w:pStyle w:val="TableParagraph"/>
                          <w:spacing w:before="80"/>
                          <w:ind w:left="50"/>
                          <w:jc w:val="left"/>
                          <w:rPr>
                            <w:sz w:val="16"/>
                          </w:rPr>
                        </w:pPr>
                        <w:r>
                          <w:rPr>
                            <w:b/>
                            <w:color w:val="231F20"/>
                            <w:sz w:val="16"/>
                          </w:rPr>
                          <w:t>Fuel and oil expense, unhedged </w:t>
                        </w:r>
                        <w:r>
                          <w:rPr>
                            <w:color w:val="231F20"/>
                            <w:sz w:val="16"/>
                          </w:rPr>
                          <w:t>. . . . . . . . . . . . . . . . . . . . . . . . . . . . . . . . . . . . . . . . . . . . . </w:t>
                        </w:r>
                      </w:p>
                    </w:tc>
                    <w:tc>
                      <w:tcPr>
                        <w:tcW w:w="1057" w:type="dxa"/>
                        <w:tcBorders>
                          <w:top w:val="single" w:sz="8" w:space="0" w:color="231F20"/>
                        </w:tcBorders>
                      </w:tcPr>
                      <w:p>
                        <w:pPr>
                          <w:pStyle w:val="TableParagraph"/>
                          <w:tabs>
                            <w:tab w:pos="636" w:val="left" w:leader="none"/>
                          </w:tabs>
                          <w:spacing w:before="70"/>
                          <w:ind w:left="76"/>
                          <w:jc w:val="left"/>
                          <w:rPr>
                            <w:sz w:val="16"/>
                          </w:rPr>
                        </w:pPr>
                        <w:r>
                          <w:rPr>
                            <w:color w:val="231F20"/>
                            <w:sz w:val="16"/>
                          </w:rPr>
                          <w:t>$</w:t>
                          <w:tab/>
                          <w:t>5,645</w:t>
                        </w:r>
                      </w:p>
                    </w:tc>
                    <w:tc>
                      <w:tcPr>
                        <w:tcW w:w="193" w:type="dxa"/>
                      </w:tcPr>
                      <w:p>
                        <w:pPr/>
                      </w:p>
                    </w:tc>
                    <w:tc>
                      <w:tcPr>
                        <w:tcW w:w="980" w:type="dxa"/>
                        <w:tcBorders>
                          <w:top w:val="single" w:sz="8" w:space="0" w:color="231F20"/>
                        </w:tcBorders>
                      </w:tcPr>
                      <w:p>
                        <w:pPr>
                          <w:pStyle w:val="TableParagraph"/>
                          <w:tabs>
                            <w:tab w:pos="560" w:val="left" w:leader="none"/>
                          </w:tabs>
                          <w:spacing w:before="70"/>
                          <w:jc w:val="left"/>
                          <w:rPr>
                            <w:sz w:val="16"/>
                          </w:rPr>
                        </w:pPr>
                        <w:r>
                          <w:rPr>
                            <w:color w:val="231F20"/>
                            <w:sz w:val="16"/>
                          </w:rPr>
                          <w:t>$</w:t>
                          <w:tab/>
                          <w:t>5,963</w:t>
                        </w:r>
                      </w:p>
                    </w:tc>
                    <w:tc>
                      <w:tcPr>
                        <w:tcW w:w="200" w:type="dxa"/>
                      </w:tcPr>
                      <w:p>
                        <w:pPr/>
                      </w:p>
                    </w:tc>
                    <w:tc>
                      <w:tcPr>
                        <w:tcW w:w="845" w:type="dxa"/>
                        <w:tcBorders>
                          <w:top w:val="single" w:sz="8" w:space="0" w:color="231F20"/>
                        </w:tcBorders>
                      </w:tcPr>
                      <w:p>
                        <w:pPr/>
                      </w:p>
                    </w:tc>
                  </w:tr>
                  <w:tr>
                    <w:trPr>
                      <w:trHeight w:val="237" w:hRule="exact"/>
                    </w:trPr>
                    <w:tc>
                      <w:tcPr>
                        <w:tcW w:w="5896" w:type="dxa"/>
                      </w:tcPr>
                      <w:p>
                        <w:pPr>
                          <w:pStyle w:val="TableParagraph"/>
                          <w:spacing w:before="13"/>
                          <w:ind w:left="50"/>
                          <w:jc w:val="left"/>
                          <w:rPr>
                            <w:sz w:val="16"/>
                          </w:rPr>
                        </w:pPr>
                        <w:r>
                          <w:rPr>
                            <w:color w:val="231F20"/>
                            <w:sz w:val="16"/>
                          </w:rPr>
                          <w:t>Add: Fuel hedge losses included in Fuel and oil expense  . . . . . . . . . . . . . . . . . . . . . . . . . . </w:t>
                        </w:r>
                      </w:p>
                    </w:tc>
                    <w:tc>
                      <w:tcPr>
                        <w:tcW w:w="1057" w:type="dxa"/>
                        <w:tcBorders>
                          <w:bottom w:val="single" w:sz="4" w:space="0" w:color="231F20"/>
                        </w:tcBorders>
                      </w:tcPr>
                      <w:p>
                        <w:pPr>
                          <w:pStyle w:val="TableParagraph"/>
                          <w:spacing w:before="13"/>
                          <w:ind w:right="58"/>
                          <w:rPr>
                            <w:sz w:val="16"/>
                          </w:rPr>
                        </w:pPr>
                        <w:r>
                          <w:rPr>
                            <w:color w:val="231F20"/>
                            <w:sz w:val="16"/>
                          </w:rPr>
                          <w:t>118</w:t>
                        </w:r>
                      </w:p>
                    </w:tc>
                    <w:tc>
                      <w:tcPr>
                        <w:tcW w:w="193" w:type="dxa"/>
                      </w:tcPr>
                      <w:p>
                        <w:pPr/>
                      </w:p>
                    </w:tc>
                    <w:tc>
                      <w:tcPr>
                        <w:tcW w:w="980" w:type="dxa"/>
                        <w:tcBorders>
                          <w:bottom w:val="single" w:sz="4" w:space="0" w:color="231F20"/>
                        </w:tcBorders>
                      </w:tcPr>
                      <w:p>
                        <w:pPr>
                          <w:pStyle w:val="TableParagraph"/>
                          <w:spacing w:before="13"/>
                          <w:ind w:right="58"/>
                          <w:rPr>
                            <w:sz w:val="16"/>
                          </w:rPr>
                        </w:pPr>
                        <w:r>
                          <w:rPr>
                            <w:color w:val="231F20"/>
                            <w:sz w:val="16"/>
                          </w:rPr>
                          <w:t>157</w:t>
                        </w:r>
                      </w:p>
                    </w:tc>
                    <w:tc>
                      <w:tcPr>
                        <w:tcW w:w="200" w:type="dxa"/>
                      </w:tcPr>
                      <w:p>
                        <w:pPr/>
                      </w:p>
                    </w:tc>
                    <w:tc>
                      <w:tcPr>
                        <w:tcW w:w="845" w:type="dxa"/>
                      </w:tcPr>
                      <w:p>
                        <w:pPr/>
                      </w:p>
                    </w:tc>
                  </w:tr>
                  <w:tr>
                    <w:trPr>
                      <w:trHeight w:val="283" w:hRule="exact"/>
                    </w:trPr>
                    <w:tc>
                      <w:tcPr>
                        <w:tcW w:w="5896" w:type="dxa"/>
                      </w:tcPr>
                      <w:p>
                        <w:pPr>
                          <w:pStyle w:val="TableParagraph"/>
                          <w:spacing w:before="75"/>
                          <w:ind w:left="50"/>
                          <w:jc w:val="left"/>
                          <w:rPr>
                            <w:sz w:val="16"/>
                          </w:rPr>
                        </w:pPr>
                        <w:r>
                          <w:rPr>
                            <w:b/>
                            <w:color w:val="231F20"/>
                            <w:sz w:val="16"/>
                          </w:rPr>
                          <w:t>Fuel and oil expense, as reported  </w:t>
                        </w:r>
                        <w:r>
                          <w:rPr>
                            <w:color w:val="231F20"/>
                            <w:sz w:val="16"/>
                          </w:rPr>
                          <w:t>. . . . . . . . . . . . . . . . . . . . . . . . . . . . . . . . . . . . . . . . . . . </w:t>
                        </w:r>
                      </w:p>
                    </w:tc>
                    <w:tc>
                      <w:tcPr>
                        <w:tcW w:w="1057" w:type="dxa"/>
                        <w:tcBorders>
                          <w:top w:val="single" w:sz="4" w:space="0" w:color="231F20"/>
                        </w:tcBorders>
                      </w:tcPr>
                      <w:p>
                        <w:pPr>
                          <w:pStyle w:val="TableParagraph"/>
                          <w:tabs>
                            <w:tab w:pos="636" w:val="left" w:leader="none"/>
                          </w:tabs>
                          <w:spacing w:before="70"/>
                          <w:ind w:left="76"/>
                          <w:jc w:val="left"/>
                          <w:rPr>
                            <w:sz w:val="16"/>
                          </w:rPr>
                        </w:pPr>
                        <w:r>
                          <w:rPr>
                            <w:color w:val="231F20"/>
                            <w:sz w:val="16"/>
                          </w:rPr>
                          <w:t>$</w:t>
                          <w:tab/>
                          <w:t>5,763</w:t>
                        </w:r>
                      </w:p>
                    </w:tc>
                    <w:tc>
                      <w:tcPr>
                        <w:tcW w:w="193" w:type="dxa"/>
                      </w:tcPr>
                      <w:p>
                        <w:pPr/>
                      </w:p>
                    </w:tc>
                    <w:tc>
                      <w:tcPr>
                        <w:tcW w:w="980" w:type="dxa"/>
                        <w:tcBorders>
                          <w:top w:val="single" w:sz="4" w:space="0" w:color="231F20"/>
                        </w:tcBorders>
                      </w:tcPr>
                      <w:p>
                        <w:pPr>
                          <w:pStyle w:val="TableParagraph"/>
                          <w:tabs>
                            <w:tab w:pos="560" w:val="left" w:leader="none"/>
                          </w:tabs>
                          <w:spacing w:before="70"/>
                          <w:jc w:val="left"/>
                          <w:rPr>
                            <w:sz w:val="16"/>
                          </w:rPr>
                        </w:pPr>
                        <w:r>
                          <w:rPr>
                            <w:color w:val="231F20"/>
                            <w:sz w:val="16"/>
                          </w:rPr>
                          <w:t>$</w:t>
                          <w:tab/>
                          <w:t>6,120</w:t>
                        </w:r>
                      </w:p>
                    </w:tc>
                    <w:tc>
                      <w:tcPr>
                        <w:tcW w:w="200" w:type="dxa"/>
                      </w:tcPr>
                      <w:p>
                        <w:pPr/>
                      </w:p>
                    </w:tc>
                    <w:tc>
                      <w:tcPr>
                        <w:tcW w:w="845" w:type="dxa"/>
                      </w:tcPr>
                      <w:p>
                        <w:pPr/>
                      </w:p>
                    </w:tc>
                  </w:tr>
                  <w:tr>
                    <w:trPr>
                      <w:trHeight w:val="237" w:hRule="exact"/>
                    </w:trPr>
                    <w:tc>
                      <w:tcPr>
                        <w:tcW w:w="5896" w:type="dxa"/>
                      </w:tcPr>
                      <w:p>
                        <w:pPr>
                          <w:pStyle w:val="TableParagraph"/>
                          <w:spacing w:before="13"/>
                          <w:ind w:left="50"/>
                          <w:jc w:val="left"/>
                          <w:rPr>
                            <w:sz w:val="16"/>
                          </w:rPr>
                        </w:pPr>
                        <w:r>
                          <w:rPr>
                            <w:color w:val="231F20"/>
                            <w:sz w:val="16"/>
                          </w:rPr>
                          <w:t>Deduct: Net impact from fuel contracts  . . . . . . . . . . . . . . . . . . . . . . . . . . . . . . . . . . . . . . . . </w:t>
                        </w:r>
                      </w:p>
                    </w:tc>
                    <w:tc>
                      <w:tcPr>
                        <w:tcW w:w="1057" w:type="dxa"/>
                        <w:tcBorders>
                          <w:bottom w:val="single" w:sz="4" w:space="0" w:color="231F20"/>
                        </w:tcBorders>
                      </w:tcPr>
                      <w:p>
                        <w:pPr>
                          <w:pStyle w:val="TableParagraph"/>
                          <w:spacing w:before="13"/>
                          <w:ind w:right="4"/>
                          <w:rPr>
                            <w:sz w:val="16"/>
                          </w:rPr>
                        </w:pPr>
                        <w:r>
                          <w:rPr>
                            <w:color w:val="231F20"/>
                            <w:sz w:val="16"/>
                          </w:rPr>
                          <w:t>(84)</w:t>
                        </w:r>
                      </w:p>
                    </w:tc>
                    <w:tc>
                      <w:tcPr>
                        <w:tcW w:w="193" w:type="dxa"/>
                      </w:tcPr>
                      <w:p>
                        <w:pPr/>
                      </w:p>
                    </w:tc>
                    <w:tc>
                      <w:tcPr>
                        <w:tcW w:w="980" w:type="dxa"/>
                        <w:tcBorders>
                          <w:bottom w:val="single" w:sz="4" w:space="0" w:color="231F20"/>
                        </w:tcBorders>
                      </w:tcPr>
                      <w:p>
                        <w:pPr>
                          <w:pStyle w:val="TableParagraph"/>
                          <w:spacing w:before="13"/>
                          <w:ind w:right="4"/>
                          <w:rPr>
                            <w:sz w:val="16"/>
                          </w:rPr>
                        </w:pPr>
                        <w:r>
                          <w:rPr>
                            <w:color w:val="231F20"/>
                            <w:sz w:val="16"/>
                          </w:rPr>
                          <w:t>(32)</w:t>
                        </w:r>
                      </w:p>
                    </w:tc>
                    <w:tc>
                      <w:tcPr>
                        <w:tcW w:w="200" w:type="dxa"/>
                      </w:tcPr>
                      <w:p>
                        <w:pPr/>
                      </w:p>
                    </w:tc>
                    <w:tc>
                      <w:tcPr>
                        <w:tcW w:w="845" w:type="dxa"/>
                      </w:tcPr>
                      <w:p>
                        <w:pPr/>
                      </w:p>
                    </w:tc>
                  </w:tr>
                  <w:tr>
                    <w:trPr>
                      <w:trHeight w:val="340" w:hRule="exact"/>
                    </w:trPr>
                    <w:tc>
                      <w:tcPr>
                        <w:tcW w:w="5896" w:type="dxa"/>
                      </w:tcPr>
                      <w:p>
                        <w:pPr>
                          <w:pStyle w:val="TableParagraph"/>
                          <w:spacing w:before="75"/>
                          <w:ind w:left="50"/>
                          <w:jc w:val="left"/>
                          <w:rPr>
                            <w:sz w:val="16"/>
                          </w:rPr>
                        </w:pPr>
                        <w:r>
                          <w:rPr>
                            <w:b/>
                            <w:color w:val="231F20"/>
                            <w:sz w:val="16"/>
                          </w:rPr>
                          <w:t>Fuel and oil expense, non-GAAP   </w:t>
                        </w:r>
                        <w:r>
                          <w:rPr>
                            <w:color w:val="231F20"/>
                            <w:sz w:val="16"/>
                          </w:rPr>
                          <w:t>. . . . . . . . . . . . . . . . . . . . . . . . . . . . . . . . . . . . . . . . . . . </w:t>
                        </w:r>
                      </w:p>
                    </w:tc>
                    <w:tc>
                      <w:tcPr>
                        <w:tcW w:w="1057" w:type="dxa"/>
                        <w:tcBorders>
                          <w:top w:val="single" w:sz="4" w:space="0" w:color="231F20"/>
                          <w:bottom w:val="single" w:sz="4" w:space="0" w:color="231F20"/>
                        </w:tcBorders>
                      </w:tcPr>
                      <w:p>
                        <w:pPr>
                          <w:pStyle w:val="TableParagraph"/>
                          <w:tabs>
                            <w:tab w:pos="636" w:val="left" w:leader="none"/>
                          </w:tabs>
                          <w:spacing w:before="70"/>
                          <w:ind w:left="76"/>
                          <w:jc w:val="left"/>
                          <w:rPr>
                            <w:sz w:val="16"/>
                          </w:rPr>
                        </w:pPr>
                        <w:r>
                          <w:rPr>
                            <w:color w:val="231F20"/>
                            <w:sz w:val="16"/>
                          </w:rPr>
                          <w:t>$</w:t>
                          <w:tab/>
                          <w:t>5,679</w:t>
                        </w:r>
                      </w:p>
                    </w:tc>
                    <w:tc>
                      <w:tcPr>
                        <w:tcW w:w="193" w:type="dxa"/>
                      </w:tcPr>
                      <w:p>
                        <w:pPr/>
                      </w:p>
                    </w:tc>
                    <w:tc>
                      <w:tcPr>
                        <w:tcW w:w="980" w:type="dxa"/>
                        <w:tcBorders>
                          <w:top w:val="single" w:sz="4" w:space="0" w:color="231F20"/>
                          <w:bottom w:val="single" w:sz="4" w:space="0" w:color="231F20"/>
                        </w:tcBorders>
                      </w:tcPr>
                      <w:p>
                        <w:pPr>
                          <w:pStyle w:val="TableParagraph"/>
                          <w:tabs>
                            <w:tab w:pos="560" w:val="left" w:leader="none"/>
                          </w:tabs>
                          <w:spacing w:before="70"/>
                          <w:jc w:val="left"/>
                          <w:rPr>
                            <w:sz w:val="16"/>
                          </w:rPr>
                        </w:pPr>
                        <w:r>
                          <w:rPr>
                            <w:color w:val="231F20"/>
                            <w:sz w:val="16"/>
                          </w:rPr>
                          <w:t>$</w:t>
                          <w:tab/>
                          <w:t>6,088</w:t>
                        </w:r>
                      </w:p>
                    </w:tc>
                    <w:tc>
                      <w:tcPr>
                        <w:tcW w:w="200" w:type="dxa"/>
                      </w:tcPr>
                      <w:p>
                        <w:pPr/>
                      </w:p>
                    </w:tc>
                    <w:tc>
                      <w:tcPr>
                        <w:tcW w:w="845" w:type="dxa"/>
                      </w:tcPr>
                      <w:p>
                        <w:pPr>
                          <w:pStyle w:val="TableParagraph"/>
                          <w:spacing w:before="75"/>
                          <w:ind w:right="83"/>
                          <w:rPr>
                            <w:sz w:val="16"/>
                          </w:rPr>
                        </w:pPr>
                        <w:r>
                          <w:rPr>
                            <w:color w:val="231F20"/>
                            <w:sz w:val="16"/>
                          </w:rPr>
                          <w:t>(6.7)%</w:t>
                        </w:r>
                      </w:p>
                    </w:tc>
                  </w:tr>
                  <w:tr>
                    <w:trPr>
                      <w:trHeight w:val="343" w:hRule="exact"/>
                    </w:trPr>
                    <w:tc>
                      <w:tcPr>
                        <w:tcW w:w="5896" w:type="dxa"/>
                      </w:tcPr>
                      <w:p>
                        <w:pPr>
                          <w:pStyle w:val="TableParagraph"/>
                          <w:spacing w:before="135"/>
                          <w:ind w:left="50"/>
                          <w:jc w:val="left"/>
                          <w:rPr>
                            <w:sz w:val="16"/>
                          </w:rPr>
                        </w:pPr>
                        <w:r>
                          <w:rPr>
                            <w:b/>
                            <w:color w:val="231F20"/>
                            <w:sz w:val="16"/>
                          </w:rPr>
                          <w:t>Total operating expenses, as reported  </w:t>
                        </w:r>
                        <w:r>
                          <w:rPr>
                            <w:color w:val="231F20"/>
                            <w:sz w:val="16"/>
                          </w:rPr>
                          <w:t>. . . . . . . . . . . . . . . . . . . . . . . . . . . . . . . . . . . . . . . </w:t>
                        </w:r>
                      </w:p>
                    </w:tc>
                    <w:tc>
                      <w:tcPr>
                        <w:tcW w:w="1057" w:type="dxa"/>
                        <w:tcBorders>
                          <w:top w:val="single" w:sz="4" w:space="0" w:color="231F20"/>
                        </w:tcBorders>
                      </w:tcPr>
                      <w:p>
                        <w:pPr>
                          <w:pStyle w:val="TableParagraph"/>
                          <w:tabs>
                            <w:tab w:pos="556" w:val="left" w:leader="none"/>
                          </w:tabs>
                          <w:spacing w:before="130"/>
                          <w:ind w:left="76"/>
                          <w:jc w:val="left"/>
                          <w:rPr>
                            <w:sz w:val="16"/>
                          </w:rPr>
                        </w:pPr>
                        <w:r>
                          <w:rPr>
                            <w:color w:val="231F20"/>
                            <w:sz w:val="16"/>
                          </w:rPr>
                          <w:t>$</w:t>
                          <w:tab/>
                          <w:t>16,421</w:t>
                        </w:r>
                      </w:p>
                    </w:tc>
                    <w:tc>
                      <w:tcPr>
                        <w:tcW w:w="193" w:type="dxa"/>
                      </w:tcPr>
                      <w:p>
                        <w:pPr/>
                      </w:p>
                    </w:tc>
                    <w:tc>
                      <w:tcPr>
                        <w:tcW w:w="980" w:type="dxa"/>
                        <w:tcBorders>
                          <w:top w:val="single" w:sz="4" w:space="0" w:color="231F20"/>
                        </w:tcBorders>
                      </w:tcPr>
                      <w:p>
                        <w:pPr>
                          <w:pStyle w:val="TableParagraph"/>
                          <w:tabs>
                            <w:tab w:pos="480" w:val="left" w:leader="none"/>
                          </w:tabs>
                          <w:spacing w:before="130"/>
                          <w:jc w:val="left"/>
                          <w:rPr>
                            <w:sz w:val="16"/>
                          </w:rPr>
                        </w:pPr>
                        <w:r>
                          <w:rPr>
                            <w:color w:val="231F20"/>
                            <w:sz w:val="16"/>
                          </w:rPr>
                          <w:t>$</w:t>
                          <w:tab/>
                          <w:t>16,465</w:t>
                        </w:r>
                      </w:p>
                    </w:tc>
                    <w:tc>
                      <w:tcPr>
                        <w:tcW w:w="200" w:type="dxa"/>
                      </w:tcPr>
                      <w:p>
                        <w:pPr/>
                      </w:p>
                    </w:tc>
                    <w:tc>
                      <w:tcPr>
                        <w:tcW w:w="845" w:type="dxa"/>
                      </w:tcPr>
                      <w:p>
                        <w:pPr/>
                      </w:p>
                    </w:tc>
                  </w:tr>
                  <w:tr>
                    <w:trPr>
                      <w:trHeight w:val="419" w:hRule="exact"/>
                    </w:trPr>
                    <w:tc>
                      <w:tcPr>
                        <w:tcW w:w="5896" w:type="dxa"/>
                      </w:tcPr>
                      <w:p>
                        <w:pPr>
                          <w:pStyle w:val="TableParagraph"/>
                          <w:spacing w:line="261" w:lineRule="auto" w:before="13"/>
                          <w:ind w:left="210" w:hanging="160"/>
                          <w:jc w:val="left"/>
                          <w:rPr>
                            <w:sz w:val="16"/>
                          </w:rPr>
                        </w:pPr>
                        <w:r>
                          <w:rPr>
                            <w:color w:val="231F20"/>
                            <w:sz w:val="16"/>
                          </w:rPr>
                          <w:t>Add (Deduct): Reclassification between Fuel and oil and Other (gains) losses, net, associated with current period settled contracts . . . . . . . . . . . . . . . . . . . . . . . . . . . . . . . . </w:t>
                        </w:r>
                      </w:p>
                    </w:tc>
                    <w:tc>
                      <w:tcPr>
                        <w:tcW w:w="1057" w:type="dxa"/>
                      </w:tcPr>
                      <w:p>
                        <w:pPr>
                          <w:pStyle w:val="TableParagraph"/>
                          <w:spacing w:before="5"/>
                          <w:jc w:val="left"/>
                          <w:rPr>
                            <w:sz w:val="18"/>
                          </w:rPr>
                        </w:pPr>
                      </w:p>
                      <w:p>
                        <w:pPr>
                          <w:pStyle w:val="TableParagraph"/>
                          <w:spacing w:before="1"/>
                          <w:ind w:right="58"/>
                          <w:rPr>
                            <w:sz w:val="16"/>
                          </w:rPr>
                        </w:pPr>
                        <w:r>
                          <w:rPr>
                            <w:color w:val="231F20"/>
                            <w:sz w:val="16"/>
                          </w:rPr>
                          <w:t>3</w:t>
                        </w:r>
                      </w:p>
                    </w:tc>
                    <w:tc>
                      <w:tcPr>
                        <w:tcW w:w="193" w:type="dxa"/>
                      </w:tcPr>
                      <w:p>
                        <w:pPr/>
                      </w:p>
                    </w:tc>
                    <w:tc>
                      <w:tcPr>
                        <w:tcW w:w="980" w:type="dxa"/>
                      </w:tcPr>
                      <w:p>
                        <w:pPr>
                          <w:pStyle w:val="TableParagraph"/>
                          <w:spacing w:before="5"/>
                          <w:jc w:val="left"/>
                          <w:rPr>
                            <w:sz w:val="18"/>
                          </w:rPr>
                        </w:pPr>
                      </w:p>
                      <w:p>
                        <w:pPr>
                          <w:pStyle w:val="TableParagraph"/>
                          <w:spacing w:before="1"/>
                          <w:ind w:right="4"/>
                          <w:rPr>
                            <w:sz w:val="16"/>
                          </w:rPr>
                        </w:pPr>
                        <w:r>
                          <w:rPr>
                            <w:color w:val="231F20"/>
                            <w:sz w:val="16"/>
                          </w:rPr>
                          <w:t>(42)</w:t>
                        </w:r>
                      </w:p>
                    </w:tc>
                    <w:tc>
                      <w:tcPr>
                        <w:tcW w:w="200" w:type="dxa"/>
                      </w:tcPr>
                      <w:p>
                        <w:pPr/>
                      </w:p>
                    </w:tc>
                    <w:tc>
                      <w:tcPr>
                        <w:tcW w:w="845" w:type="dxa"/>
                      </w:tcPr>
                      <w:p>
                        <w:pPr/>
                      </w:p>
                    </w:tc>
                  </w:tr>
                  <w:tr>
                    <w:trPr>
                      <w:trHeight w:val="420" w:hRule="exact"/>
                    </w:trPr>
                    <w:tc>
                      <w:tcPr>
                        <w:tcW w:w="5896" w:type="dxa"/>
                      </w:tcPr>
                      <w:p>
                        <w:pPr>
                          <w:pStyle w:val="TableParagraph"/>
                          <w:spacing w:line="261" w:lineRule="auto" w:before="13"/>
                          <w:ind w:left="210" w:hanging="160"/>
                          <w:jc w:val="left"/>
                          <w:rPr>
                            <w:sz w:val="16"/>
                          </w:rPr>
                        </w:pPr>
                        <w:r>
                          <w:rPr>
                            <w:color w:val="231F20"/>
                            <w:sz w:val="16"/>
                          </w:rPr>
                          <w:t>Add (Deduct): Contracts settling in the current period, but for which gains and/or (losses) have been recognized in a prior period*   . . . . . . . . . . . . . . . . . . . . . . . . . . . . . . . . . . . . . </w:t>
                        </w:r>
                      </w:p>
                    </w:tc>
                    <w:tc>
                      <w:tcPr>
                        <w:tcW w:w="1057" w:type="dxa"/>
                      </w:tcPr>
                      <w:p>
                        <w:pPr>
                          <w:pStyle w:val="TableParagraph"/>
                          <w:spacing w:before="6"/>
                          <w:jc w:val="left"/>
                          <w:rPr>
                            <w:sz w:val="18"/>
                          </w:rPr>
                        </w:pPr>
                      </w:p>
                      <w:p>
                        <w:pPr>
                          <w:pStyle w:val="TableParagraph"/>
                          <w:ind w:right="4"/>
                          <w:rPr>
                            <w:sz w:val="16"/>
                          </w:rPr>
                        </w:pPr>
                        <w:r>
                          <w:rPr>
                            <w:color w:val="231F20"/>
                            <w:sz w:val="16"/>
                          </w:rPr>
                          <w:t>(87)</w:t>
                        </w:r>
                      </w:p>
                    </w:tc>
                    <w:tc>
                      <w:tcPr>
                        <w:tcW w:w="193" w:type="dxa"/>
                      </w:tcPr>
                      <w:p>
                        <w:pPr/>
                      </w:p>
                    </w:tc>
                    <w:tc>
                      <w:tcPr>
                        <w:tcW w:w="980" w:type="dxa"/>
                      </w:tcPr>
                      <w:p>
                        <w:pPr>
                          <w:pStyle w:val="TableParagraph"/>
                          <w:spacing w:before="6"/>
                          <w:jc w:val="left"/>
                          <w:rPr>
                            <w:sz w:val="18"/>
                          </w:rPr>
                        </w:pPr>
                      </w:p>
                      <w:p>
                        <w:pPr>
                          <w:pStyle w:val="TableParagraph"/>
                          <w:ind w:right="58"/>
                          <w:rPr>
                            <w:sz w:val="16"/>
                          </w:rPr>
                        </w:pPr>
                        <w:r>
                          <w:rPr>
                            <w:color w:val="231F20"/>
                            <w:sz w:val="16"/>
                          </w:rPr>
                          <w:t>10</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Deduct: Charge for Acquisition and integration costs, net   . . . . . . . . . . . . . . . . . . . . . . . . . </w:t>
                        </w:r>
                      </w:p>
                    </w:tc>
                    <w:tc>
                      <w:tcPr>
                        <w:tcW w:w="1057" w:type="dxa"/>
                        <w:tcBorders>
                          <w:bottom w:val="single" w:sz="4" w:space="0" w:color="231F20"/>
                        </w:tcBorders>
                      </w:tcPr>
                      <w:p>
                        <w:pPr>
                          <w:pStyle w:val="TableParagraph"/>
                          <w:spacing w:before="13"/>
                          <w:ind w:right="4"/>
                          <w:rPr>
                            <w:sz w:val="16"/>
                          </w:rPr>
                        </w:pPr>
                        <w:r>
                          <w:rPr>
                            <w:color w:val="231F20"/>
                            <w:sz w:val="16"/>
                          </w:rPr>
                          <w:t>(86)</w:t>
                        </w:r>
                      </w:p>
                    </w:tc>
                    <w:tc>
                      <w:tcPr>
                        <w:tcW w:w="193" w:type="dxa"/>
                      </w:tcPr>
                      <w:p>
                        <w:pPr/>
                      </w:p>
                    </w:tc>
                    <w:tc>
                      <w:tcPr>
                        <w:tcW w:w="980" w:type="dxa"/>
                        <w:tcBorders>
                          <w:bottom w:val="single" w:sz="4" w:space="0" w:color="231F20"/>
                        </w:tcBorders>
                      </w:tcPr>
                      <w:p>
                        <w:pPr>
                          <w:pStyle w:val="TableParagraph"/>
                          <w:spacing w:before="13"/>
                          <w:ind w:right="6"/>
                          <w:rPr>
                            <w:sz w:val="16"/>
                          </w:rPr>
                        </w:pPr>
                        <w:r>
                          <w:rPr>
                            <w:color w:val="231F20"/>
                            <w:sz w:val="16"/>
                          </w:rPr>
                          <w:t>(183)</w:t>
                        </w:r>
                      </w:p>
                    </w:tc>
                    <w:tc>
                      <w:tcPr>
                        <w:tcW w:w="200" w:type="dxa"/>
                      </w:tcPr>
                      <w:p>
                        <w:pPr/>
                      </w:p>
                    </w:tc>
                    <w:tc>
                      <w:tcPr>
                        <w:tcW w:w="845" w:type="dxa"/>
                      </w:tcPr>
                      <w:p>
                        <w:pPr/>
                      </w:p>
                    </w:tc>
                  </w:tr>
                  <w:tr>
                    <w:trPr>
                      <w:trHeight w:val="320" w:hRule="exact"/>
                    </w:trPr>
                    <w:tc>
                      <w:tcPr>
                        <w:tcW w:w="5896" w:type="dxa"/>
                      </w:tcPr>
                      <w:p>
                        <w:pPr>
                          <w:pStyle w:val="TableParagraph"/>
                          <w:spacing w:before="55"/>
                          <w:ind w:left="50"/>
                          <w:jc w:val="left"/>
                          <w:rPr>
                            <w:sz w:val="16"/>
                          </w:rPr>
                        </w:pPr>
                        <w:r>
                          <w:rPr>
                            <w:b/>
                            <w:color w:val="231F20"/>
                            <w:sz w:val="16"/>
                          </w:rPr>
                          <w:t>Total operating expenses, non-GAAP   </w:t>
                        </w:r>
                        <w:r>
                          <w:rPr>
                            <w:color w:val="231F20"/>
                            <w:sz w:val="16"/>
                          </w:rPr>
                          <w:t>. . . . . . . . . . . . . . . . . . . . . . . . . . . . . . . . . . . . . . . </w:t>
                        </w:r>
                      </w:p>
                    </w:tc>
                    <w:tc>
                      <w:tcPr>
                        <w:tcW w:w="1057" w:type="dxa"/>
                        <w:tcBorders>
                          <w:top w:val="single" w:sz="4" w:space="0" w:color="231F20"/>
                          <w:bottom w:val="single" w:sz="4" w:space="0" w:color="231F20"/>
                        </w:tcBorders>
                      </w:tcPr>
                      <w:p>
                        <w:pPr>
                          <w:pStyle w:val="TableParagraph"/>
                          <w:tabs>
                            <w:tab w:pos="556" w:val="left" w:leader="none"/>
                          </w:tabs>
                          <w:spacing w:before="50"/>
                          <w:ind w:left="76"/>
                          <w:jc w:val="left"/>
                          <w:rPr>
                            <w:sz w:val="16"/>
                          </w:rPr>
                        </w:pPr>
                        <w:r>
                          <w:rPr>
                            <w:color w:val="231F20"/>
                            <w:sz w:val="16"/>
                          </w:rPr>
                          <w:t>$</w:t>
                          <w:tab/>
                          <w:t>16,251</w:t>
                        </w:r>
                      </w:p>
                    </w:tc>
                    <w:tc>
                      <w:tcPr>
                        <w:tcW w:w="193" w:type="dxa"/>
                      </w:tcPr>
                      <w:p>
                        <w:pPr/>
                      </w:p>
                    </w:tc>
                    <w:tc>
                      <w:tcPr>
                        <w:tcW w:w="980" w:type="dxa"/>
                        <w:tcBorders>
                          <w:top w:val="single" w:sz="4" w:space="0" w:color="231F20"/>
                          <w:bottom w:val="single" w:sz="4" w:space="0" w:color="231F20"/>
                        </w:tcBorders>
                      </w:tcPr>
                      <w:p>
                        <w:pPr>
                          <w:pStyle w:val="TableParagraph"/>
                          <w:tabs>
                            <w:tab w:pos="480" w:val="left" w:leader="none"/>
                          </w:tabs>
                          <w:spacing w:before="50"/>
                          <w:jc w:val="left"/>
                          <w:rPr>
                            <w:sz w:val="16"/>
                          </w:rPr>
                        </w:pPr>
                        <w:r>
                          <w:rPr>
                            <w:color w:val="231F20"/>
                            <w:sz w:val="16"/>
                          </w:rPr>
                          <w:t>$</w:t>
                          <w:tab/>
                          <w:t>16,250</w:t>
                        </w:r>
                      </w:p>
                    </w:tc>
                    <w:tc>
                      <w:tcPr>
                        <w:tcW w:w="200" w:type="dxa"/>
                      </w:tcPr>
                      <w:p>
                        <w:pPr/>
                      </w:p>
                    </w:tc>
                    <w:tc>
                      <w:tcPr>
                        <w:tcW w:w="845" w:type="dxa"/>
                      </w:tcPr>
                      <w:p>
                        <w:pPr>
                          <w:pStyle w:val="TableParagraph"/>
                          <w:spacing w:before="55"/>
                          <w:ind w:right="136"/>
                          <w:rPr>
                            <w:sz w:val="16"/>
                          </w:rPr>
                        </w:pPr>
                        <w:r>
                          <w:rPr>
                            <w:color w:val="231F20"/>
                            <w:sz w:val="16"/>
                          </w:rPr>
                          <w:t>—  %</w:t>
                        </w:r>
                      </w:p>
                    </w:tc>
                  </w:tr>
                  <w:tr>
                    <w:trPr>
                      <w:trHeight w:val="343" w:hRule="exact"/>
                    </w:trPr>
                    <w:tc>
                      <w:tcPr>
                        <w:tcW w:w="5896" w:type="dxa"/>
                      </w:tcPr>
                      <w:p>
                        <w:pPr>
                          <w:pStyle w:val="TableParagraph"/>
                          <w:spacing w:before="135"/>
                          <w:ind w:left="50"/>
                          <w:jc w:val="left"/>
                          <w:rPr>
                            <w:sz w:val="16"/>
                          </w:rPr>
                        </w:pPr>
                        <w:r>
                          <w:rPr>
                            <w:b/>
                            <w:color w:val="231F20"/>
                            <w:sz w:val="16"/>
                          </w:rPr>
                          <w:t>Operating income, as reported  </w:t>
                        </w:r>
                        <w:r>
                          <w:rPr>
                            <w:color w:val="231F20"/>
                            <w:sz w:val="16"/>
                          </w:rPr>
                          <w:t>. . . . . . . . . . . . . . . . . . . . . . . . . . . . . . . . . . . . . . . . . . . . . </w:t>
                        </w:r>
                      </w:p>
                    </w:tc>
                    <w:tc>
                      <w:tcPr>
                        <w:tcW w:w="1057" w:type="dxa"/>
                        <w:tcBorders>
                          <w:top w:val="single" w:sz="4" w:space="0" w:color="231F20"/>
                        </w:tcBorders>
                      </w:tcPr>
                      <w:p>
                        <w:pPr>
                          <w:pStyle w:val="TableParagraph"/>
                          <w:spacing w:before="130"/>
                          <w:ind w:right="58"/>
                          <w:rPr>
                            <w:sz w:val="16"/>
                          </w:rPr>
                        </w:pPr>
                        <w:r>
                          <w:rPr>
                            <w:color w:val="231F20"/>
                            <w:sz w:val="16"/>
                          </w:rPr>
                          <w:t>1,278</w:t>
                        </w:r>
                      </w:p>
                    </w:tc>
                    <w:tc>
                      <w:tcPr>
                        <w:tcW w:w="193" w:type="dxa"/>
                      </w:tcPr>
                      <w:p>
                        <w:pPr/>
                      </w:p>
                    </w:tc>
                    <w:tc>
                      <w:tcPr>
                        <w:tcW w:w="980" w:type="dxa"/>
                        <w:tcBorders>
                          <w:top w:val="single" w:sz="4" w:space="0" w:color="231F20"/>
                        </w:tcBorders>
                      </w:tcPr>
                      <w:p>
                        <w:pPr>
                          <w:pStyle w:val="TableParagraph"/>
                          <w:spacing w:before="130"/>
                          <w:ind w:right="58"/>
                          <w:rPr>
                            <w:sz w:val="16"/>
                          </w:rPr>
                        </w:pPr>
                        <w:r>
                          <w:rPr>
                            <w:color w:val="231F20"/>
                            <w:sz w:val="16"/>
                          </w:rPr>
                          <w:t>623</w:t>
                        </w:r>
                      </w:p>
                    </w:tc>
                    <w:tc>
                      <w:tcPr>
                        <w:tcW w:w="200" w:type="dxa"/>
                      </w:tcPr>
                      <w:p>
                        <w:pPr/>
                      </w:p>
                    </w:tc>
                    <w:tc>
                      <w:tcPr>
                        <w:tcW w:w="845" w:type="dxa"/>
                      </w:tcPr>
                      <w:p>
                        <w:pPr/>
                      </w:p>
                    </w:tc>
                  </w:tr>
                  <w:tr>
                    <w:trPr>
                      <w:trHeight w:val="419" w:hRule="exact"/>
                    </w:trPr>
                    <w:tc>
                      <w:tcPr>
                        <w:tcW w:w="5896" w:type="dxa"/>
                      </w:tcPr>
                      <w:p>
                        <w:pPr>
                          <w:pStyle w:val="TableParagraph"/>
                          <w:spacing w:line="261" w:lineRule="auto" w:before="13"/>
                          <w:ind w:left="210" w:hanging="160"/>
                          <w:jc w:val="left"/>
                          <w:rPr>
                            <w:sz w:val="16"/>
                          </w:rPr>
                        </w:pPr>
                        <w:r>
                          <w:rPr>
                            <w:color w:val="231F20"/>
                            <w:sz w:val="16"/>
                          </w:rPr>
                          <w:t>Add (Deduct): Reclassification between Fuel and oil and Other (gains) losses, net, associated with current period settled contracts . . . . . . . . . . . . . . . . . . . . . . . . . . . . . . . . </w:t>
                        </w:r>
                      </w:p>
                    </w:tc>
                    <w:tc>
                      <w:tcPr>
                        <w:tcW w:w="1057" w:type="dxa"/>
                      </w:tcPr>
                      <w:p>
                        <w:pPr>
                          <w:pStyle w:val="TableParagraph"/>
                          <w:spacing w:before="5"/>
                          <w:jc w:val="left"/>
                          <w:rPr>
                            <w:sz w:val="18"/>
                          </w:rPr>
                        </w:pPr>
                      </w:p>
                      <w:p>
                        <w:pPr>
                          <w:pStyle w:val="TableParagraph"/>
                          <w:spacing w:before="1"/>
                          <w:ind w:right="4"/>
                          <w:rPr>
                            <w:sz w:val="16"/>
                          </w:rPr>
                        </w:pPr>
                        <w:r>
                          <w:rPr>
                            <w:color w:val="231F20"/>
                            <w:sz w:val="16"/>
                          </w:rPr>
                          <w:t>(3)</w:t>
                        </w:r>
                      </w:p>
                    </w:tc>
                    <w:tc>
                      <w:tcPr>
                        <w:tcW w:w="193" w:type="dxa"/>
                      </w:tcPr>
                      <w:p>
                        <w:pPr/>
                      </w:p>
                    </w:tc>
                    <w:tc>
                      <w:tcPr>
                        <w:tcW w:w="980" w:type="dxa"/>
                      </w:tcPr>
                      <w:p>
                        <w:pPr>
                          <w:pStyle w:val="TableParagraph"/>
                          <w:spacing w:before="5"/>
                          <w:jc w:val="left"/>
                          <w:rPr>
                            <w:sz w:val="18"/>
                          </w:rPr>
                        </w:pPr>
                      </w:p>
                      <w:p>
                        <w:pPr>
                          <w:pStyle w:val="TableParagraph"/>
                          <w:spacing w:before="1"/>
                          <w:ind w:right="58"/>
                          <w:rPr>
                            <w:sz w:val="16"/>
                          </w:rPr>
                        </w:pPr>
                        <w:r>
                          <w:rPr>
                            <w:color w:val="231F20"/>
                            <w:sz w:val="16"/>
                          </w:rPr>
                          <w:t>42</w:t>
                        </w:r>
                      </w:p>
                    </w:tc>
                    <w:tc>
                      <w:tcPr>
                        <w:tcW w:w="200" w:type="dxa"/>
                      </w:tcPr>
                      <w:p>
                        <w:pPr/>
                      </w:p>
                    </w:tc>
                    <w:tc>
                      <w:tcPr>
                        <w:tcW w:w="845" w:type="dxa"/>
                      </w:tcPr>
                      <w:p>
                        <w:pPr/>
                      </w:p>
                    </w:tc>
                  </w:tr>
                  <w:tr>
                    <w:trPr>
                      <w:trHeight w:val="420" w:hRule="exact"/>
                    </w:trPr>
                    <w:tc>
                      <w:tcPr>
                        <w:tcW w:w="5896" w:type="dxa"/>
                      </w:tcPr>
                      <w:p>
                        <w:pPr>
                          <w:pStyle w:val="TableParagraph"/>
                          <w:spacing w:line="261" w:lineRule="auto" w:before="13"/>
                          <w:ind w:left="210" w:hanging="160"/>
                          <w:jc w:val="left"/>
                          <w:rPr>
                            <w:sz w:val="16"/>
                          </w:rPr>
                        </w:pPr>
                        <w:r>
                          <w:rPr>
                            <w:color w:val="231F20"/>
                            <w:sz w:val="16"/>
                          </w:rPr>
                          <w:t>Add (Deduct): Contracts settling in the current period, but for which gains and/or (losses) have been recognized in a prior period*   . . . . . . . . . . . . . . . . . . . . . . . . . . . . . . . . . . . . . </w:t>
                        </w:r>
                      </w:p>
                    </w:tc>
                    <w:tc>
                      <w:tcPr>
                        <w:tcW w:w="1057" w:type="dxa"/>
                      </w:tcPr>
                      <w:p>
                        <w:pPr>
                          <w:pStyle w:val="TableParagraph"/>
                          <w:spacing w:before="6"/>
                          <w:jc w:val="left"/>
                          <w:rPr>
                            <w:sz w:val="18"/>
                          </w:rPr>
                        </w:pPr>
                      </w:p>
                      <w:p>
                        <w:pPr>
                          <w:pStyle w:val="TableParagraph"/>
                          <w:ind w:right="58"/>
                          <w:rPr>
                            <w:sz w:val="16"/>
                          </w:rPr>
                        </w:pPr>
                        <w:r>
                          <w:rPr>
                            <w:color w:val="231F20"/>
                            <w:sz w:val="16"/>
                          </w:rPr>
                          <w:t>87</w:t>
                        </w:r>
                      </w:p>
                    </w:tc>
                    <w:tc>
                      <w:tcPr>
                        <w:tcW w:w="193" w:type="dxa"/>
                      </w:tcPr>
                      <w:p>
                        <w:pPr/>
                      </w:p>
                    </w:tc>
                    <w:tc>
                      <w:tcPr>
                        <w:tcW w:w="980" w:type="dxa"/>
                      </w:tcPr>
                      <w:p>
                        <w:pPr>
                          <w:pStyle w:val="TableParagraph"/>
                          <w:spacing w:before="6"/>
                          <w:jc w:val="left"/>
                          <w:rPr>
                            <w:sz w:val="18"/>
                          </w:rPr>
                        </w:pPr>
                      </w:p>
                      <w:p>
                        <w:pPr>
                          <w:pStyle w:val="TableParagraph"/>
                          <w:ind w:right="4"/>
                          <w:rPr>
                            <w:sz w:val="16"/>
                          </w:rPr>
                        </w:pPr>
                        <w:r>
                          <w:rPr>
                            <w:color w:val="231F20"/>
                            <w:sz w:val="16"/>
                          </w:rPr>
                          <w:t>(10)</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Add: Charge for Acquisition and integration costs, net . . . . . . . . . . . . . . . . . . . . . . . . . . . . </w:t>
                        </w:r>
                      </w:p>
                    </w:tc>
                    <w:tc>
                      <w:tcPr>
                        <w:tcW w:w="1057" w:type="dxa"/>
                        <w:tcBorders>
                          <w:bottom w:val="single" w:sz="4" w:space="0" w:color="231F20"/>
                        </w:tcBorders>
                      </w:tcPr>
                      <w:p>
                        <w:pPr>
                          <w:pStyle w:val="TableParagraph"/>
                          <w:tabs>
                            <w:tab w:pos="836" w:val="left" w:leader="none"/>
                          </w:tabs>
                          <w:spacing w:before="13"/>
                          <w:ind w:left="76"/>
                          <w:jc w:val="left"/>
                          <w:rPr>
                            <w:sz w:val="16"/>
                          </w:rPr>
                        </w:pPr>
                        <w:r>
                          <w:rPr>
                            <w:color w:val="231F20"/>
                            <w:sz w:val="16"/>
                          </w:rPr>
                          <w:t>$</w:t>
                          <w:tab/>
                          <w:t>86</w:t>
                        </w:r>
                      </w:p>
                    </w:tc>
                    <w:tc>
                      <w:tcPr>
                        <w:tcW w:w="193" w:type="dxa"/>
                      </w:tcPr>
                      <w:p>
                        <w:pPr/>
                      </w:p>
                    </w:tc>
                    <w:tc>
                      <w:tcPr>
                        <w:tcW w:w="980" w:type="dxa"/>
                        <w:tcBorders>
                          <w:bottom w:val="single" w:sz="4" w:space="0" w:color="231F20"/>
                        </w:tcBorders>
                      </w:tcPr>
                      <w:p>
                        <w:pPr>
                          <w:pStyle w:val="TableParagraph"/>
                          <w:tabs>
                            <w:tab w:pos="679" w:val="left" w:leader="none"/>
                          </w:tabs>
                          <w:spacing w:before="13"/>
                          <w:jc w:val="left"/>
                          <w:rPr>
                            <w:sz w:val="16"/>
                          </w:rPr>
                        </w:pPr>
                        <w:r>
                          <w:rPr>
                            <w:color w:val="231F20"/>
                            <w:sz w:val="16"/>
                          </w:rPr>
                          <w:t>$</w:t>
                          <w:tab/>
                          <w:t>183</w:t>
                        </w:r>
                      </w:p>
                    </w:tc>
                    <w:tc>
                      <w:tcPr>
                        <w:tcW w:w="200" w:type="dxa"/>
                      </w:tcPr>
                      <w:p>
                        <w:pPr/>
                      </w:p>
                    </w:tc>
                    <w:tc>
                      <w:tcPr>
                        <w:tcW w:w="845" w:type="dxa"/>
                      </w:tcPr>
                      <w:p>
                        <w:pPr/>
                      </w:p>
                    </w:tc>
                  </w:tr>
                  <w:tr>
                    <w:trPr>
                      <w:trHeight w:val="320" w:hRule="exact"/>
                    </w:trPr>
                    <w:tc>
                      <w:tcPr>
                        <w:tcW w:w="5896" w:type="dxa"/>
                      </w:tcPr>
                      <w:p>
                        <w:pPr>
                          <w:pStyle w:val="TableParagraph"/>
                          <w:spacing w:before="55"/>
                          <w:ind w:left="50"/>
                          <w:jc w:val="left"/>
                          <w:rPr>
                            <w:sz w:val="16"/>
                          </w:rPr>
                        </w:pPr>
                        <w:r>
                          <w:rPr>
                            <w:b/>
                            <w:color w:val="231F20"/>
                            <w:sz w:val="16"/>
                          </w:rPr>
                          <w:t>Operating income, non-GAAP  </w:t>
                        </w:r>
                        <w:r>
                          <w:rPr>
                            <w:color w:val="231F20"/>
                            <w:sz w:val="16"/>
                          </w:rPr>
                          <w:t>. . . . . . . . . . . . . . . . . . . . . . . . . . . . . . . . . . . . . . . . . . . . . </w:t>
                        </w:r>
                      </w:p>
                    </w:tc>
                    <w:tc>
                      <w:tcPr>
                        <w:tcW w:w="1057" w:type="dxa"/>
                        <w:tcBorders>
                          <w:top w:val="single" w:sz="4" w:space="0" w:color="231F20"/>
                          <w:bottom w:val="single" w:sz="4" w:space="0" w:color="231F20"/>
                        </w:tcBorders>
                      </w:tcPr>
                      <w:p>
                        <w:pPr>
                          <w:pStyle w:val="TableParagraph"/>
                          <w:tabs>
                            <w:tab w:pos="636" w:val="left" w:leader="none"/>
                          </w:tabs>
                          <w:spacing w:before="50"/>
                          <w:ind w:left="76"/>
                          <w:jc w:val="left"/>
                          <w:rPr>
                            <w:sz w:val="16"/>
                          </w:rPr>
                        </w:pPr>
                        <w:r>
                          <w:rPr>
                            <w:color w:val="231F20"/>
                            <w:sz w:val="16"/>
                          </w:rPr>
                          <w:t>$</w:t>
                          <w:tab/>
                          <w:t>1,448</w:t>
                        </w:r>
                      </w:p>
                    </w:tc>
                    <w:tc>
                      <w:tcPr>
                        <w:tcW w:w="193" w:type="dxa"/>
                      </w:tcPr>
                      <w:p>
                        <w:pPr/>
                      </w:p>
                    </w:tc>
                    <w:tc>
                      <w:tcPr>
                        <w:tcW w:w="980" w:type="dxa"/>
                        <w:tcBorders>
                          <w:top w:val="single" w:sz="4" w:space="0" w:color="231F20"/>
                          <w:bottom w:val="single" w:sz="4" w:space="0" w:color="231F20"/>
                        </w:tcBorders>
                      </w:tcPr>
                      <w:p>
                        <w:pPr>
                          <w:pStyle w:val="TableParagraph"/>
                          <w:tabs>
                            <w:tab w:pos="680" w:val="left" w:leader="none"/>
                          </w:tabs>
                          <w:spacing w:before="50"/>
                          <w:jc w:val="left"/>
                          <w:rPr>
                            <w:sz w:val="16"/>
                          </w:rPr>
                        </w:pPr>
                        <w:r>
                          <w:rPr>
                            <w:color w:val="231F20"/>
                            <w:sz w:val="16"/>
                          </w:rPr>
                          <w:t>$</w:t>
                          <w:tab/>
                          <w:t>838</w:t>
                        </w:r>
                      </w:p>
                    </w:tc>
                    <w:tc>
                      <w:tcPr>
                        <w:tcW w:w="200" w:type="dxa"/>
                      </w:tcPr>
                      <w:p>
                        <w:pPr/>
                      </w:p>
                    </w:tc>
                    <w:tc>
                      <w:tcPr>
                        <w:tcW w:w="845" w:type="dxa"/>
                      </w:tcPr>
                      <w:p>
                        <w:pPr>
                          <w:pStyle w:val="TableParagraph"/>
                          <w:spacing w:before="55"/>
                          <w:ind w:right="136"/>
                          <w:rPr>
                            <w:sz w:val="16"/>
                          </w:rPr>
                        </w:pPr>
                        <w:r>
                          <w:rPr>
                            <w:color w:val="231F20"/>
                            <w:sz w:val="16"/>
                          </w:rPr>
                          <w:t>72.8%</w:t>
                        </w:r>
                      </w:p>
                    </w:tc>
                  </w:tr>
                  <w:tr>
                    <w:trPr>
                      <w:trHeight w:val="343" w:hRule="exact"/>
                    </w:trPr>
                    <w:tc>
                      <w:tcPr>
                        <w:tcW w:w="5896" w:type="dxa"/>
                      </w:tcPr>
                      <w:p>
                        <w:pPr>
                          <w:pStyle w:val="TableParagraph"/>
                          <w:spacing w:before="135"/>
                          <w:ind w:left="50"/>
                          <w:jc w:val="left"/>
                          <w:rPr>
                            <w:sz w:val="16"/>
                          </w:rPr>
                        </w:pPr>
                        <w:r>
                          <w:rPr>
                            <w:b/>
                            <w:color w:val="231F20"/>
                            <w:sz w:val="16"/>
                          </w:rPr>
                          <w:t>Net income, as reported  </w:t>
                        </w:r>
                        <w:r>
                          <w:rPr>
                            <w:color w:val="231F20"/>
                            <w:sz w:val="16"/>
                          </w:rPr>
                          <w:t>. . . . . . . . . . . . . . . . . . . . . . . . . . . . . . . . . . . . . . . . . . . . . . . . . . . </w:t>
                        </w:r>
                      </w:p>
                    </w:tc>
                    <w:tc>
                      <w:tcPr>
                        <w:tcW w:w="1057" w:type="dxa"/>
                        <w:tcBorders>
                          <w:top w:val="single" w:sz="4" w:space="0" w:color="231F20"/>
                        </w:tcBorders>
                      </w:tcPr>
                      <w:p>
                        <w:pPr>
                          <w:pStyle w:val="TableParagraph"/>
                          <w:spacing w:before="130"/>
                          <w:ind w:right="58"/>
                          <w:rPr>
                            <w:sz w:val="16"/>
                          </w:rPr>
                        </w:pPr>
                        <w:r>
                          <w:rPr>
                            <w:color w:val="231F20"/>
                            <w:sz w:val="16"/>
                          </w:rPr>
                          <w:t>754</w:t>
                        </w:r>
                      </w:p>
                    </w:tc>
                    <w:tc>
                      <w:tcPr>
                        <w:tcW w:w="193" w:type="dxa"/>
                      </w:tcPr>
                      <w:p>
                        <w:pPr/>
                      </w:p>
                    </w:tc>
                    <w:tc>
                      <w:tcPr>
                        <w:tcW w:w="980" w:type="dxa"/>
                        <w:tcBorders>
                          <w:top w:val="single" w:sz="4" w:space="0" w:color="231F20"/>
                        </w:tcBorders>
                      </w:tcPr>
                      <w:p>
                        <w:pPr>
                          <w:pStyle w:val="TableParagraph"/>
                          <w:spacing w:before="130"/>
                          <w:ind w:right="58"/>
                          <w:rPr>
                            <w:sz w:val="16"/>
                          </w:rPr>
                        </w:pPr>
                        <w:r>
                          <w:rPr>
                            <w:color w:val="231F20"/>
                            <w:sz w:val="16"/>
                          </w:rPr>
                          <w:t>421</w:t>
                        </w:r>
                      </w:p>
                    </w:tc>
                    <w:tc>
                      <w:tcPr>
                        <w:tcW w:w="200" w:type="dxa"/>
                      </w:tcPr>
                      <w:p>
                        <w:pPr/>
                      </w:p>
                    </w:tc>
                    <w:tc>
                      <w:tcPr>
                        <w:tcW w:w="845" w:type="dxa"/>
                      </w:tcPr>
                      <w:p>
                        <w:pPr/>
                      </w:p>
                    </w:tc>
                  </w:tr>
                  <w:tr>
                    <w:trPr>
                      <w:trHeight w:val="219" w:hRule="exact"/>
                    </w:trPr>
                    <w:tc>
                      <w:tcPr>
                        <w:tcW w:w="5896" w:type="dxa"/>
                      </w:tcPr>
                      <w:p>
                        <w:pPr>
                          <w:pStyle w:val="TableParagraph"/>
                          <w:spacing w:before="13"/>
                          <w:ind w:left="50"/>
                          <w:jc w:val="left"/>
                          <w:rPr>
                            <w:sz w:val="16"/>
                          </w:rPr>
                        </w:pPr>
                        <w:r>
                          <w:rPr>
                            <w:color w:val="231F20"/>
                            <w:sz w:val="16"/>
                          </w:rPr>
                          <w:t>Deduct: Mark-to-market impact from fuel contracts settling in future periods  . . . . . . . . . . </w:t>
                        </w:r>
                      </w:p>
                    </w:tc>
                    <w:tc>
                      <w:tcPr>
                        <w:tcW w:w="1057" w:type="dxa"/>
                      </w:tcPr>
                      <w:p>
                        <w:pPr>
                          <w:pStyle w:val="TableParagraph"/>
                          <w:spacing w:before="13"/>
                          <w:ind w:right="4"/>
                          <w:rPr>
                            <w:sz w:val="16"/>
                          </w:rPr>
                        </w:pPr>
                        <w:r>
                          <w:rPr>
                            <w:color w:val="231F20"/>
                            <w:sz w:val="16"/>
                          </w:rPr>
                          <w:t>(103)</w:t>
                        </w:r>
                      </w:p>
                    </w:tc>
                    <w:tc>
                      <w:tcPr>
                        <w:tcW w:w="193" w:type="dxa"/>
                      </w:tcPr>
                      <w:p>
                        <w:pPr/>
                      </w:p>
                    </w:tc>
                    <w:tc>
                      <w:tcPr>
                        <w:tcW w:w="980" w:type="dxa"/>
                      </w:tcPr>
                      <w:p>
                        <w:pPr>
                          <w:pStyle w:val="TableParagraph"/>
                          <w:spacing w:before="13"/>
                          <w:ind w:right="4"/>
                          <w:rPr>
                            <w:sz w:val="16"/>
                          </w:rPr>
                        </w:pPr>
                        <w:r>
                          <w:rPr>
                            <w:color w:val="231F20"/>
                            <w:sz w:val="16"/>
                          </w:rPr>
                          <w:t>(221)</w:t>
                        </w:r>
                      </w:p>
                    </w:tc>
                    <w:tc>
                      <w:tcPr>
                        <w:tcW w:w="200" w:type="dxa"/>
                      </w:tcPr>
                      <w:p>
                        <w:pPr/>
                      </w:p>
                    </w:tc>
                    <w:tc>
                      <w:tcPr>
                        <w:tcW w:w="845" w:type="dxa"/>
                      </w:tcPr>
                      <w:p>
                        <w:pPr/>
                      </w:p>
                    </w:tc>
                  </w:tr>
                  <w:tr>
                    <w:trPr>
                      <w:trHeight w:val="220" w:hRule="exact"/>
                    </w:trPr>
                    <w:tc>
                      <w:tcPr>
                        <w:tcW w:w="5896" w:type="dxa"/>
                      </w:tcPr>
                      <w:p>
                        <w:pPr>
                          <w:pStyle w:val="TableParagraph"/>
                          <w:spacing w:before="13"/>
                          <w:ind w:left="50"/>
                          <w:jc w:val="left"/>
                          <w:rPr>
                            <w:sz w:val="16"/>
                          </w:rPr>
                        </w:pPr>
                        <w:r>
                          <w:rPr>
                            <w:color w:val="231F20"/>
                            <w:sz w:val="16"/>
                          </w:rPr>
                          <w:t>Add: Ineffectiveness from fuel hedges settling in future periods   . . . . . . . . . . . . . . . . . . . . </w:t>
                        </w:r>
                      </w:p>
                    </w:tc>
                    <w:tc>
                      <w:tcPr>
                        <w:tcW w:w="1057" w:type="dxa"/>
                      </w:tcPr>
                      <w:p>
                        <w:pPr>
                          <w:pStyle w:val="TableParagraph"/>
                          <w:spacing w:before="13"/>
                          <w:ind w:right="58"/>
                          <w:rPr>
                            <w:sz w:val="16"/>
                          </w:rPr>
                        </w:pPr>
                        <w:r>
                          <w:rPr>
                            <w:color w:val="231F20"/>
                            <w:sz w:val="16"/>
                          </w:rPr>
                          <w:t>11</w:t>
                        </w:r>
                      </w:p>
                    </w:tc>
                    <w:tc>
                      <w:tcPr>
                        <w:tcW w:w="193" w:type="dxa"/>
                      </w:tcPr>
                      <w:p>
                        <w:pPr/>
                      </w:p>
                    </w:tc>
                    <w:tc>
                      <w:tcPr>
                        <w:tcW w:w="980" w:type="dxa"/>
                      </w:tcPr>
                      <w:p>
                        <w:pPr>
                          <w:pStyle w:val="TableParagraph"/>
                          <w:spacing w:before="13"/>
                          <w:ind w:right="58"/>
                          <w:rPr>
                            <w:sz w:val="16"/>
                          </w:rPr>
                        </w:pPr>
                        <w:r>
                          <w:rPr>
                            <w:color w:val="231F20"/>
                            <w:sz w:val="16"/>
                          </w:rPr>
                          <w:t>42</w:t>
                        </w:r>
                      </w:p>
                    </w:tc>
                    <w:tc>
                      <w:tcPr>
                        <w:tcW w:w="200" w:type="dxa"/>
                      </w:tcPr>
                      <w:p>
                        <w:pPr/>
                      </w:p>
                    </w:tc>
                    <w:tc>
                      <w:tcPr>
                        <w:tcW w:w="845" w:type="dxa"/>
                      </w:tcPr>
                      <w:p>
                        <w:pPr/>
                      </w:p>
                    </w:tc>
                  </w:tr>
                  <w:tr>
                    <w:trPr>
                      <w:trHeight w:val="420" w:hRule="exact"/>
                    </w:trPr>
                    <w:tc>
                      <w:tcPr>
                        <w:tcW w:w="5896" w:type="dxa"/>
                      </w:tcPr>
                      <w:p>
                        <w:pPr>
                          <w:pStyle w:val="TableParagraph"/>
                          <w:spacing w:line="261" w:lineRule="auto" w:before="13"/>
                          <w:ind w:left="210" w:hanging="160"/>
                          <w:jc w:val="left"/>
                          <w:rPr>
                            <w:sz w:val="16"/>
                          </w:rPr>
                        </w:pPr>
                        <w:r>
                          <w:rPr>
                            <w:color w:val="231F20"/>
                            <w:sz w:val="16"/>
                          </w:rPr>
                          <w:t>Add (Deduct): Other net impact of fuel contracts settling in the current or a prior period (excluding reclassifications) . . . . . . . . . . . . . . . . . . . . . . . . . . . . . . . . . . . . . . . . . . . . . . . </w:t>
                        </w:r>
                      </w:p>
                    </w:tc>
                    <w:tc>
                      <w:tcPr>
                        <w:tcW w:w="1057" w:type="dxa"/>
                      </w:tcPr>
                      <w:p>
                        <w:pPr>
                          <w:pStyle w:val="TableParagraph"/>
                          <w:spacing w:before="6"/>
                          <w:jc w:val="left"/>
                          <w:rPr>
                            <w:sz w:val="18"/>
                          </w:rPr>
                        </w:pPr>
                      </w:p>
                      <w:p>
                        <w:pPr>
                          <w:pStyle w:val="TableParagraph"/>
                          <w:ind w:right="58"/>
                          <w:rPr>
                            <w:sz w:val="16"/>
                          </w:rPr>
                        </w:pPr>
                        <w:r>
                          <w:rPr>
                            <w:color w:val="231F20"/>
                            <w:sz w:val="16"/>
                          </w:rPr>
                          <w:t>87</w:t>
                        </w:r>
                      </w:p>
                    </w:tc>
                    <w:tc>
                      <w:tcPr>
                        <w:tcW w:w="193" w:type="dxa"/>
                      </w:tcPr>
                      <w:p>
                        <w:pPr/>
                      </w:p>
                    </w:tc>
                    <w:tc>
                      <w:tcPr>
                        <w:tcW w:w="980" w:type="dxa"/>
                      </w:tcPr>
                      <w:p>
                        <w:pPr>
                          <w:pStyle w:val="TableParagraph"/>
                          <w:spacing w:before="6"/>
                          <w:jc w:val="left"/>
                          <w:rPr>
                            <w:sz w:val="18"/>
                          </w:rPr>
                        </w:pPr>
                      </w:p>
                      <w:p>
                        <w:pPr>
                          <w:pStyle w:val="TableParagraph"/>
                          <w:ind w:right="4"/>
                          <w:rPr>
                            <w:sz w:val="16"/>
                          </w:rPr>
                        </w:pPr>
                        <w:r>
                          <w:rPr>
                            <w:color w:val="231F20"/>
                            <w:sz w:val="16"/>
                          </w:rPr>
                          <w:t>(10)</w:t>
                        </w:r>
                      </w:p>
                    </w:tc>
                    <w:tc>
                      <w:tcPr>
                        <w:tcW w:w="200" w:type="dxa"/>
                      </w:tcPr>
                      <w:p>
                        <w:pPr/>
                      </w:p>
                    </w:tc>
                    <w:tc>
                      <w:tcPr>
                        <w:tcW w:w="845" w:type="dxa"/>
                      </w:tcPr>
                      <w:p>
                        <w:pPr/>
                      </w:p>
                    </w:tc>
                  </w:tr>
                  <w:tr>
                    <w:trPr>
                      <w:trHeight w:val="220" w:hRule="exact"/>
                    </w:trPr>
                    <w:tc>
                      <w:tcPr>
                        <w:tcW w:w="5896" w:type="dxa"/>
                      </w:tcPr>
                      <w:p>
                        <w:pPr>
                          <w:pStyle w:val="TableParagraph"/>
                          <w:spacing w:before="13"/>
                          <w:ind w:left="50"/>
                          <w:jc w:val="left"/>
                          <w:rPr>
                            <w:sz w:val="16"/>
                          </w:rPr>
                        </w:pPr>
                        <w:r>
                          <w:rPr>
                            <w:color w:val="231F20"/>
                            <w:sz w:val="16"/>
                          </w:rPr>
                          <w:t>Income tax impact of fuel contracts  . . . . . . . . . . . . . . . . . . . . . . . . . . . . . . . . . . . . . . . . . . . </w:t>
                        </w:r>
                      </w:p>
                    </w:tc>
                    <w:tc>
                      <w:tcPr>
                        <w:tcW w:w="1057" w:type="dxa"/>
                      </w:tcPr>
                      <w:p>
                        <w:pPr>
                          <w:pStyle w:val="TableParagraph"/>
                          <w:spacing w:before="13"/>
                          <w:ind w:right="58"/>
                          <w:rPr>
                            <w:sz w:val="16"/>
                          </w:rPr>
                        </w:pPr>
                        <w:r>
                          <w:rPr>
                            <w:color w:val="231F20"/>
                            <w:sz w:val="16"/>
                          </w:rPr>
                          <w:t>2</w:t>
                        </w:r>
                      </w:p>
                    </w:tc>
                    <w:tc>
                      <w:tcPr>
                        <w:tcW w:w="193" w:type="dxa"/>
                      </w:tcPr>
                      <w:p>
                        <w:pPr/>
                      </w:p>
                    </w:tc>
                    <w:tc>
                      <w:tcPr>
                        <w:tcW w:w="980" w:type="dxa"/>
                      </w:tcPr>
                      <w:p>
                        <w:pPr>
                          <w:pStyle w:val="TableParagraph"/>
                          <w:spacing w:before="13"/>
                          <w:ind w:right="58"/>
                          <w:rPr>
                            <w:sz w:val="16"/>
                          </w:rPr>
                        </w:pPr>
                        <w:r>
                          <w:rPr>
                            <w:color w:val="231F20"/>
                            <w:sz w:val="16"/>
                          </w:rPr>
                          <w:t>73</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Add: Charge for Acquisition and integration costs, net (a)  . . . . . . . . . . . . . . . . . . . . . . . . . </w:t>
                        </w:r>
                      </w:p>
                    </w:tc>
                    <w:tc>
                      <w:tcPr>
                        <w:tcW w:w="1057" w:type="dxa"/>
                        <w:tcBorders>
                          <w:bottom w:val="single" w:sz="4" w:space="0" w:color="231F20"/>
                        </w:tcBorders>
                      </w:tcPr>
                      <w:p>
                        <w:pPr>
                          <w:pStyle w:val="TableParagraph"/>
                          <w:tabs>
                            <w:tab w:pos="836" w:val="left" w:leader="none"/>
                          </w:tabs>
                          <w:spacing w:before="13"/>
                          <w:ind w:left="76"/>
                          <w:jc w:val="left"/>
                          <w:rPr>
                            <w:sz w:val="16"/>
                          </w:rPr>
                        </w:pPr>
                        <w:r>
                          <w:rPr>
                            <w:color w:val="231F20"/>
                            <w:sz w:val="16"/>
                          </w:rPr>
                          <w:t>$</w:t>
                          <w:tab/>
                          <w:t>54</w:t>
                        </w:r>
                      </w:p>
                    </w:tc>
                    <w:tc>
                      <w:tcPr>
                        <w:tcW w:w="193" w:type="dxa"/>
                      </w:tcPr>
                      <w:p>
                        <w:pPr/>
                      </w:p>
                    </w:tc>
                    <w:tc>
                      <w:tcPr>
                        <w:tcW w:w="980" w:type="dxa"/>
                        <w:tcBorders>
                          <w:bottom w:val="single" w:sz="4" w:space="0" w:color="231F20"/>
                        </w:tcBorders>
                      </w:tcPr>
                      <w:p>
                        <w:pPr>
                          <w:pStyle w:val="TableParagraph"/>
                          <w:tabs>
                            <w:tab w:pos="679" w:val="left" w:leader="none"/>
                          </w:tabs>
                          <w:spacing w:before="13"/>
                          <w:jc w:val="left"/>
                          <w:rPr>
                            <w:sz w:val="16"/>
                          </w:rPr>
                        </w:pPr>
                        <w:r>
                          <w:rPr>
                            <w:color w:val="231F20"/>
                            <w:sz w:val="16"/>
                          </w:rPr>
                          <w:t>$</w:t>
                          <w:tab/>
                          <w:t>112</w:t>
                        </w:r>
                      </w:p>
                    </w:tc>
                    <w:tc>
                      <w:tcPr>
                        <w:tcW w:w="200" w:type="dxa"/>
                      </w:tcPr>
                      <w:p>
                        <w:pPr/>
                      </w:p>
                    </w:tc>
                    <w:tc>
                      <w:tcPr>
                        <w:tcW w:w="845" w:type="dxa"/>
                      </w:tcPr>
                      <w:p>
                        <w:pPr/>
                      </w:p>
                    </w:tc>
                  </w:tr>
                  <w:tr>
                    <w:trPr>
                      <w:trHeight w:val="340" w:hRule="exact"/>
                    </w:trPr>
                    <w:tc>
                      <w:tcPr>
                        <w:tcW w:w="5896" w:type="dxa"/>
                      </w:tcPr>
                      <w:p>
                        <w:pPr>
                          <w:pStyle w:val="TableParagraph"/>
                          <w:spacing w:before="75"/>
                          <w:ind w:left="50"/>
                          <w:jc w:val="left"/>
                          <w:rPr>
                            <w:sz w:val="16"/>
                          </w:rPr>
                        </w:pPr>
                        <w:r>
                          <w:rPr>
                            <w:b/>
                            <w:color w:val="231F20"/>
                            <w:sz w:val="16"/>
                          </w:rPr>
                          <w:t>Net income, non-GAAP  </w:t>
                        </w:r>
                        <w:r>
                          <w:rPr>
                            <w:color w:val="231F20"/>
                            <w:sz w:val="16"/>
                          </w:rPr>
                          <w:t>. . . . . . . . . . . . . . . . . . . . . . . . . . . . . . . . . . . . . . . . . . . . . . . . . . . </w:t>
                        </w:r>
                      </w:p>
                    </w:tc>
                    <w:tc>
                      <w:tcPr>
                        <w:tcW w:w="1057" w:type="dxa"/>
                        <w:tcBorders>
                          <w:top w:val="single" w:sz="4" w:space="0" w:color="231F20"/>
                          <w:bottom w:val="single" w:sz="4" w:space="0" w:color="231F20"/>
                        </w:tcBorders>
                      </w:tcPr>
                      <w:p>
                        <w:pPr>
                          <w:pStyle w:val="TableParagraph"/>
                          <w:tabs>
                            <w:tab w:pos="756" w:val="left" w:leader="none"/>
                          </w:tabs>
                          <w:spacing w:before="70"/>
                          <w:ind w:left="76"/>
                          <w:jc w:val="left"/>
                          <w:rPr>
                            <w:sz w:val="16"/>
                          </w:rPr>
                        </w:pPr>
                        <w:r>
                          <w:rPr>
                            <w:color w:val="231F20"/>
                            <w:sz w:val="16"/>
                          </w:rPr>
                          <w:t>$</w:t>
                          <w:tab/>
                          <w:t>805</w:t>
                        </w:r>
                      </w:p>
                    </w:tc>
                    <w:tc>
                      <w:tcPr>
                        <w:tcW w:w="193" w:type="dxa"/>
                      </w:tcPr>
                      <w:p>
                        <w:pPr/>
                      </w:p>
                    </w:tc>
                    <w:tc>
                      <w:tcPr>
                        <w:tcW w:w="980" w:type="dxa"/>
                        <w:tcBorders>
                          <w:top w:val="single" w:sz="4" w:space="0" w:color="231F20"/>
                          <w:bottom w:val="single" w:sz="4" w:space="0" w:color="231F20"/>
                        </w:tcBorders>
                      </w:tcPr>
                      <w:p>
                        <w:pPr>
                          <w:pStyle w:val="TableParagraph"/>
                          <w:tabs>
                            <w:tab w:pos="680" w:val="left" w:leader="none"/>
                          </w:tabs>
                          <w:spacing w:before="70"/>
                          <w:jc w:val="left"/>
                          <w:rPr>
                            <w:sz w:val="16"/>
                          </w:rPr>
                        </w:pPr>
                        <w:r>
                          <w:rPr>
                            <w:color w:val="231F20"/>
                            <w:sz w:val="16"/>
                          </w:rPr>
                          <w:t>$</w:t>
                          <w:tab/>
                          <w:t>417</w:t>
                        </w:r>
                      </w:p>
                    </w:tc>
                    <w:tc>
                      <w:tcPr>
                        <w:tcW w:w="200" w:type="dxa"/>
                      </w:tcPr>
                      <w:p>
                        <w:pPr/>
                      </w:p>
                    </w:tc>
                    <w:tc>
                      <w:tcPr>
                        <w:tcW w:w="845" w:type="dxa"/>
                      </w:tcPr>
                      <w:p>
                        <w:pPr>
                          <w:pStyle w:val="TableParagraph"/>
                          <w:spacing w:before="75"/>
                          <w:ind w:right="136"/>
                          <w:rPr>
                            <w:sz w:val="16"/>
                          </w:rPr>
                        </w:pPr>
                        <w:r>
                          <w:rPr>
                            <w:color w:val="231F20"/>
                            <w:sz w:val="16"/>
                          </w:rPr>
                          <w:t>93.0%</w:t>
                        </w:r>
                      </w:p>
                    </w:tc>
                  </w:tr>
                  <w:tr>
                    <w:trPr>
                      <w:trHeight w:val="343" w:hRule="exact"/>
                    </w:trPr>
                    <w:tc>
                      <w:tcPr>
                        <w:tcW w:w="5896" w:type="dxa"/>
                      </w:tcPr>
                      <w:p>
                        <w:pPr>
                          <w:pStyle w:val="TableParagraph"/>
                          <w:spacing w:before="135"/>
                          <w:ind w:left="50"/>
                          <w:jc w:val="left"/>
                          <w:rPr>
                            <w:sz w:val="16"/>
                          </w:rPr>
                        </w:pPr>
                        <w:r>
                          <w:rPr>
                            <w:b/>
                            <w:color w:val="231F20"/>
                            <w:sz w:val="16"/>
                          </w:rPr>
                          <w:t>Net income per share, diluted, as reported   </w:t>
                        </w:r>
                        <w:r>
                          <w:rPr>
                            <w:color w:val="231F20"/>
                            <w:sz w:val="16"/>
                          </w:rPr>
                          <w:t>. . . . . . . . . . . . . . . . . . . . . . . . . . . . . . . . . . . </w:t>
                        </w:r>
                      </w:p>
                    </w:tc>
                    <w:tc>
                      <w:tcPr>
                        <w:tcW w:w="1057" w:type="dxa"/>
                        <w:tcBorders>
                          <w:top w:val="single" w:sz="4" w:space="0" w:color="231F20"/>
                        </w:tcBorders>
                      </w:tcPr>
                      <w:p>
                        <w:pPr>
                          <w:pStyle w:val="TableParagraph"/>
                          <w:tabs>
                            <w:tab w:pos="716" w:val="left" w:leader="none"/>
                          </w:tabs>
                          <w:spacing w:before="130"/>
                          <w:ind w:left="76"/>
                          <w:jc w:val="left"/>
                          <w:rPr>
                            <w:sz w:val="16"/>
                          </w:rPr>
                        </w:pPr>
                        <w:r>
                          <w:rPr>
                            <w:color w:val="231F20"/>
                            <w:sz w:val="16"/>
                          </w:rPr>
                          <w:t>$</w:t>
                          <w:tab/>
                          <w:t>1.05</w:t>
                        </w:r>
                      </w:p>
                    </w:tc>
                    <w:tc>
                      <w:tcPr>
                        <w:tcW w:w="193" w:type="dxa"/>
                      </w:tcPr>
                      <w:p>
                        <w:pPr/>
                      </w:p>
                    </w:tc>
                    <w:tc>
                      <w:tcPr>
                        <w:tcW w:w="980" w:type="dxa"/>
                        <w:tcBorders>
                          <w:top w:val="single" w:sz="4" w:space="0" w:color="231F20"/>
                        </w:tcBorders>
                      </w:tcPr>
                      <w:p>
                        <w:pPr>
                          <w:pStyle w:val="TableParagraph"/>
                          <w:tabs>
                            <w:tab w:pos="640" w:val="left" w:leader="none"/>
                          </w:tabs>
                          <w:spacing w:before="130"/>
                          <w:jc w:val="left"/>
                          <w:rPr>
                            <w:sz w:val="16"/>
                          </w:rPr>
                        </w:pPr>
                        <w:r>
                          <w:rPr>
                            <w:color w:val="231F20"/>
                            <w:sz w:val="16"/>
                          </w:rPr>
                          <w:t>$</w:t>
                          <w:tab/>
                          <w:t>0.56</w:t>
                        </w:r>
                      </w:p>
                    </w:tc>
                    <w:tc>
                      <w:tcPr>
                        <w:tcW w:w="200" w:type="dxa"/>
                      </w:tcPr>
                      <w:p>
                        <w:pPr/>
                      </w:p>
                    </w:tc>
                    <w:tc>
                      <w:tcPr>
                        <w:tcW w:w="845" w:type="dxa"/>
                      </w:tcPr>
                      <w:p>
                        <w:pPr/>
                      </w:p>
                    </w:tc>
                  </w:tr>
                  <w:tr>
                    <w:trPr>
                      <w:trHeight w:val="419" w:hRule="exact"/>
                    </w:trPr>
                    <w:tc>
                      <w:tcPr>
                        <w:tcW w:w="5896" w:type="dxa"/>
                      </w:tcPr>
                      <w:p>
                        <w:pPr>
                          <w:pStyle w:val="TableParagraph"/>
                          <w:spacing w:before="13"/>
                          <w:ind w:left="50"/>
                          <w:jc w:val="left"/>
                          <w:rPr>
                            <w:sz w:val="16"/>
                          </w:rPr>
                        </w:pPr>
                        <w:r>
                          <w:rPr>
                            <w:color w:val="231F20"/>
                            <w:sz w:val="16"/>
                          </w:rPr>
                          <w:t>Deduct: Net impact to net income above from fuel contracts divided by dilutive</w:t>
                        </w:r>
                      </w:p>
                      <w:p>
                        <w:pPr>
                          <w:pStyle w:val="TableParagraph"/>
                          <w:spacing w:before="16"/>
                          <w:ind w:left="210"/>
                          <w:jc w:val="left"/>
                          <w:rPr>
                            <w:sz w:val="16"/>
                          </w:rPr>
                        </w:pPr>
                        <w:r>
                          <w:rPr>
                            <w:color w:val="231F20"/>
                            <w:sz w:val="16"/>
                          </w:rPr>
                          <w:t>shares (a)   . . . . . . . . . . . . . . . . . . . . . . . . . . . . . . . . . . . . . . . . . . . . . . . . . . . . . . . . . . . . . </w:t>
                        </w:r>
                      </w:p>
                    </w:tc>
                    <w:tc>
                      <w:tcPr>
                        <w:tcW w:w="1057" w:type="dxa"/>
                      </w:tcPr>
                      <w:p>
                        <w:pPr>
                          <w:pStyle w:val="TableParagraph"/>
                          <w:spacing w:before="5"/>
                          <w:jc w:val="left"/>
                          <w:rPr>
                            <w:sz w:val="18"/>
                          </w:rPr>
                        </w:pPr>
                      </w:p>
                      <w:p>
                        <w:pPr>
                          <w:pStyle w:val="TableParagraph"/>
                          <w:tabs>
                            <w:tab w:pos="756" w:val="left" w:leader="none"/>
                          </w:tabs>
                          <w:spacing w:before="1"/>
                          <w:ind w:left="76"/>
                          <w:jc w:val="left"/>
                          <w:rPr>
                            <w:sz w:val="16"/>
                          </w:rPr>
                        </w:pPr>
                        <w:r>
                          <w:rPr>
                            <w:color w:val="231F20"/>
                            <w:sz w:val="16"/>
                          </w:rPr>
                          <w:t>$</w:t>
                          <w:tab/>
                          <w:t>—</w:t>
                        </w:r>
                      </w:p>
                    </w:tc>
                    <w:tc>
                      <w:tcPr>
                        <w:tcW w:w="193" w:type="dxa"/>
                      </w:tcPr>
                      <w:p>
                        <w:pPr/>
                      </w:p>
                    </w:tc>
                    <w:tc>
                      <w:tcPr>
                        <w:tcW w:w="980" w:type="dxa"/>
                      </w:tcPr>
                      <w:p>
                        <w:pPr>
                          <w:pStyle w:val="TableParagraph"/>
                          <w:spacing w:before="5"/>
                          <w:jc w:val="left"/>
                          <w:rPr>
                            <w:sz w:val="18"/>
                          </w:rPr>
                        </w:pPr>
                      </w:p>
                      <w:p>
                        <w:pPr>
                          <w:pStyle w:val="TableParagraph"/>
                          <w:tabs>
                            <w:tab w:pos="587" w:val="left" w:leader="none"/>
                          </w:tabs>
                          <w:spacing w:before="1"/>
                          <w:jc w:val="left"/>
                          <w:rPr>
                            <w:sz w:val="16"/>
                          </w:rPr>
                        </w:pPr>
                        <w:r>
                          <w:rPr>
                            <w:color w:val="231F20"/>
                            <w:sz w:val="16"/>
                          </w:rPr>
                          <w:t>$</w:t>
                          <w:tab/>
                          <w:t>(0.15)</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Add: Impact of special items, net (a)  . . . . . . . . . . . . . . . . . . . . . . . . . . . . . . . . . . . . . . . . . . </w:t>
                        </w:r>
                      </w:p>
                    </w:tc>
                    <w:tc>
                      <w:tcPr>
                        <w:tcW w:w="1057" w:type="dxa"/>
                        <w:tcBorders>
                          <w:bottom w:val="single" w:sz="4" w:space="0" w:color="231F20"/>
                        </w:tcBorders>
                      </w:tcPr>
                      <w:p>
                        <w:pPr>
                          <w:pStyle w:val="TableParagraph"/>
                          <w:tabs>
                            <w:tab w:pos="716" w:val="left" w:leader="none"/>
                          </w:tabs>
                          <w:spacing w:before="13"/>
                          <w:ind w:left="76"/>
                          <w:jc w:val="left"/>
                          <w:rPr>
                            <w:sz w:val="16"/>
                          </w:rPr>
                        </w:pPr>
                        <w:r>
                          <w:rPr>
                            <w:color w:val="231F20"/>
                            <w:sz w:val="16"/>
                          </w:rPr>
                          <w:t>$</w:t>
                          <w:tab/>
                          <w:t>0.07</w:t>
                        </w:r>
                      </w:p>
                    </w:tc>
                    <w:tc>
                      <w:tcPr>
                        <w:tcW w:w="193" w:type="dxa"/>
                      </w:tcPr>
                      <w:p>
                        <w:pPr/>
                      </w:p>
                    </w:tc>
                    <w:tc>
                      <w:tcPr>
                        <w:tcW w:w="980" w:type="dxa"/>
                        <w:tcBorders>
                          <w:bottom w:val="single" w:sz="4" w:space="0" w:color="231F20"/>
                        </w:tcBorders>
                      </w:tcPr>
                      <w:p>
                        <w:pPr>
                          <w:pStyle w:val="TableParagraph"/>
                          <w:tabs>
                            <w:tab w:pos="639" w:val="left" w:leader="none"/>
                          </w:tabs>
                          <w:spacing w:before="13"/>
                          <w:jc w:val="left"/>
                          <w:rPr>
                            <w:sz w:val="16"/>
                          </w:rPr>
                        </w:pPr>
                        <w:r>
                          <w:rPr>
                            <w:color w:val="231F20"/>
                            <w:sz w:val="16"/>
                          </w:rPr>
                          <w:t>$</w:t>
                          <w:tab/>
                          <w:t>0.15</w:t>
                        </w:r>
                      </w:p>
                    </w:tc>
                    <w:tc>
                      <w:tcPr>
                        <w:tcW w:w="200" w:type="dxa"/>
                      </w:tcPr>
                      <w:p>
                        <w:pPr/>
                      </w:p>
                    </w:tc>
                    <w:tc>
                      <w:tcPr>
                        <w:tcW w:w="845" w:type="dxa"/>
                      </w:tcPr>
                      <w:p>
                        <w:pPr/>
                      </w:p>
                    </w:tc>
                  </w:tr>
                  <w:tr>
                    <w:trPr>
                      <w:trHeight w:val="340" w:hRule="exact"/>
                    </w:trPr>
                    <w:tc>
                      <w:tcPr>
                        <w:tcW w:w="5896" w:type="dxa"/>
                      </w:tcPr>
                      <w:p>
                        <w:pPr>
                          <w:pStyle w:val="TableParagraph"/>
                          <w:spacing w:before="75"/>
                          <w:ind w:left="50"/>
                          <w:jc w:val="left"/>
                          <w:rPr>
                            <w:sz w:val="16"/>
                          </w:rPr>
                        </w:pPr>
                        <w:r>
                          <w:rPr>
                            <w:b/>
                            <w:color w:val="231F20"/>
                            <w:sz w:val="16"/>
                          </w:rPr>
                          <w:t>Net income per share, diluted, non-GAAP   </w:t>
                        </w:r>
                        <w:r>
                          <w:rPr>
                            <w:color w:val="231F20"/>
                            <w:sz w:val="16"/>
                          </w:rPr>
                          <w:t>. . . . . . . . . . . . . . . . . . . . . . . . . . . . . . . . . . . </w:t>
                        </w:r>
                      </w:p>
                    </w:tc>
                    <w:tc>
                      <w:tcPr>
                        <w:tcW w:w="1057" w:type="dxa"/>
                        <w:tcBorders>
                          <w:top w:val="single" w:sz="4" w:space="0" w:color="231F20"/>
                          <w:bottom w:val="single" w:sz="4" w:space="0" w:color="231F20"/>
                        </w:tcBorders>
                      </w:tcPr>
                      <w:p>
                        <w:pPr>
                          <w:pStyle w:val="TableParagraph"/>
                          <w:tabs>
                            <w:tab w:pos="716" w:val="left" w:leader="none"/>
                          </w:tabs>
                          <w:spacing w:before="70"/>
                          <w:ind w:left="76"/>
                          <w:jc w:val="left"/>
                          <w:rPr>
                            <w:sz w:val="16"/>
                          </w:rPr>
                        </w:pPr>
                        <w:r>
                          <w:rPr>
                            <w:color w:val="231F20"/>
                            <w:sz w:val="16"/>
                          </w:rPr>
                          <w:t>$</w:t>
                          <w:tab/>
                          <w:t>1.12</w:t>
                        </w:r>
                      </w:p>
                    </w:tc>
                    <w:tc>
                      <w:tcPr>
                        <w:tcW w:w="193" w:type="dxa"/>
                      </w:tcPr>
                      <w:p>
                        <w:pPr/>
                      </w:p>
                    </w:tc>
                    <w:tc>
                      <w:tcPr>
                        <w:tcW w:w="980" w:type="dxa"/>
                        <w:tcBorders>
                          <w:top w:val="single" w:sz="4" w:space="0" w:color="231F20"/>
                          <w:bottom w:val="single" w:sz="4" w:space="0" w:color="231F20"/>
                        </w:tcBorders>
                      </w:tcPr>
                      <w:p>
                        <w:pPr>
                          <w:pStyle w:val="TableParagraph"/>
                          <w:tabs>
                            <w:tab w:pos="640" w:val="left" w:leader="none"/>
                          </w:tabs>
                          <w:spacing w:before="70"/>
                          <w:jc w:val="left"/>
                          <w:rPr>
                            <w:sz w:val="16"/>
                          </w:rPr>
                        </w:pPr>
                        <w:r>
                          <w:rPr>
                            <w:color w:val="231F20"/>
                            <w:sz w:val="16"/>
                          </w:rPr>
                          <w:t>$</w:t>
                          <w:tab/>
                          <w:t>0.56</w:t>
                        </w:r>
                      </w:p>
                    </w:tc>
                    <w:tc>
                      <w:tcPr>
                        <w:tcW w:w="200" w:type="dxa"/>
                      </w:tcPr>
                      <w:p>
                        <w:pPr/>
                      </w:p>
                    </w:tc>
                    <w:tc>
                      <w:tcPr>
                        <w:tcW w:w="845" w:type="dxa"/>
                      </w:tcPr>
                      <w:p>
                        <w:pPr>
                          <w:pStyle w:val="TableParagraph"/>
                          <w:spacing w:before="75"/>
                          <w:ind w:right="136"/>
                          <w:rPr>
                            <w:sz w:val="16"/>
                          </w:rPr>
                        </w:pPr>
                        <w:r>
                          <w:rPr>
                            <w:color w:val="231F20"/>
                            <w:sz w:val="16"/>
                          </w:rPr>
                          <w:t>100.0%</w:t>
                        </w:r>
                      </w:p>
                    </w:tc>
                  </w:tr>
                  <w:tr>
                    <w:trPr>
                      <w:trHeight w:val="343" w:hRule="exact"/>
                    </w:trPr>
                    <w:tc>
                      <w:tcPr>
                        <w:tcW w:w="5896" w:type="dxa"/>
                      </w:tcPr>
                      <w:p>
                        <w:pPr>
                          <w:pStyle w:val="TableParagraph"/>
                          <w:spacing w:before="135"/>
                          <w:ind w:left="50"/>
                          <w:jc w:val="left"/>
                          <w:rPr>
                            <w:sz w:val="16"/>
                          </w:rPr>
                        </w:pPr>
                        <w:r>
                          <w:rPr>
                            <w:b/>
                            <w:color w:val="231F20"/>
                            <w:sz w:val="16"/>
                          </w:rPr>
                          <w:t>Operating expenses per ASM (Cents)   </w:t>
                        </w:r>
                        <w:r>
                          <w:rPr>
                            <w:color w:val="231F20"/>
                            <w:sz w:val="16"/>
                          </w:rPr>
                          <w:t>. . . . . . . . . . . . . . . . . . . . . . . . . . . . . . . . . . . . . . . </w:t>
                        </w:r>
                      </w:p>
                    </w:tc>
                    <w:tc>
                      <w:tcPr>
                        <w:tcW w:w="1057" w:type="dxa"/>
                        <w:tcBorders>
                          <w:top w:val="single" w:sz="4" w:space="0" w:color="231F20"/>
                        </w:tcBorders>
                      </w:tcPr>
                      <w:p>
                        <w:pPr>
                          <w:pStyle w:val="TableParagraph"/>
                          <w:tabs>
                            <w:tab w:pos="636" w:val="left" w:leader="none"/>
                          </w:tabs>
                          <w:spacing w:before="130"/>
                          <w:ind w:left="76"/>
                          <w:jc w:val="left"/>
                          <w:rPr>
                            <w:sz w:val="16"/>
                          </w:rPr>
                        </w:pPr>
                        <w:r>
                          <w:rPr>
                            <w:color w:val="231F20"/>
                            <w:sz w:val="16"/>
                          </w:rPr>
                          <w:t>$</w:t>
                          <w:tab/>
                          <w:t>12.60</w:t>
                        </w:r>
                      </w:p>
                    </w:tc>
                    <w:tc>
                      <w:tcPr>
                        <w:tcW w:w="193" w:type="dxa"/>
                      </w:tcPr>
                      <w:p>
                        <w:pPr/>
                      </w:p>
                    </w:tc>
                    <w:tc>
                      <w:tcPr>
                        <w:tcW w:w="980" w:type="dxa"/>
                        <w:tcBorders>
                          <w:top w:val="single" w:sz="4" w:space="0" w:color="231F20"/>
                        </w:tcBorders>
                      </w:tcPr>
                      <w:p>
                        <w:pPr>
                          <w:pStyle w:val="TableParagraph"/>
                          <w:tabs>
                            <w:tab w:pos="560" w:val="left" w:leader="none"/>
                          </w:tabs>
                          <w:spacing w:before="130"/>
                          <w:jc w:val="left"/>
                          <w:rPr>
                            <w:sz w:val="16"/>
                          </w:rPr>
                        </w:pPr>
                        <w:r>
                          <w:rPr>
                            <w:color w:val="231F20"/>
                            <w:sz w:val="16"/>
                          </w:rPr>
                          <w:t>$</w:t>
                          <w:tab/>
                          <w:t>12.85</w:t>
                        </w:r>
                      </w:p>
                    </w:tc>
                    <w:tc>
                      <w:tcPr>
                        <w:tcW w:w="200" w:type="dxa"/>
                      </w:tcPr>
                      <w:p>
                        <w:pPr/>
                      </w:p>
                    </w:tc>
                    <w:tc>
                      <w:tcPr>
                        <w:tcW w:w="845" w:type="dxa"/>
                      </w:tcPr>
                      <w:p>
                        <w:pPr/>
                      </w:p>
                    </w:tc>
                  </w:tr>
                  <w:tr>
                    <w:trPr>
                      <w:trHeight w:val="219" w:hRule="exact"/>
                    </w:trPr>
                    <w:tc>
                      <w:tcPr>
                        <w:tcW w:w="5896" w:type="dxa"/>
                      </w:tcPr>
                      <w:p>
                        <w:pPr>
                          <w:pStyle w:val="TableParagraph"/>
                          <w:spacing w:before="13"/>
                          <w:ind w:left="50"/>
                          <w:jc w:val="left"/>
                          <w:rPr>
                            <w:sz w:val="16"/>
                          </w:rPr>
                        </w:pPr>
                        <w:r>
                          <w:rPr>
                            <w:color w:val="231F20"/>
                            <w:sz w:val="16"/>
                          </w:rPr>
                          <w:t>Deduct: Fuel expense divided by ASMs  . . . . . . . . . . . . . . . . . . . . . . . . . . . . . . . . . . . . . . . </w:t>
                        </w:r>
                      </w:p>
                    </w:tc>
                    <w:tc>
                      <w:tcPr>
                        <w:tcW w:w="1057" w:type="dxa"/>
                      </w:tcPr>
                      <w:p>
                        <w:pPr>
                          <w:pStyle w:val="TableParagraph"/>
                          <w:tabs>
                            <w:tab w:pos="663" w:val="left" w:leader="none"/>
                          </w:tabs>
                          <w:spacing w:before="13"/>
                          <w:ind w:left="76"/>
                          <w:jc w:val="left"/>
                          <w:rPr>
                            <w:sz w:val="16"/>
                          </w:rPr>
                        </w:pPr>
                        <w:r>
                          <w:rPr>
                            <w:color w:val="231F20"/>
                            <w:sz w:val="16"/>
                          </w:rPr>
                          <w:t>$</w:t>
                          <w:tab/>
                          <w:t>(4.42)</w:t>
                        </w:r>
                      </w:p>
                    </w:tc>
                    <w:tc>
                      <w:tcPr>
                        <w:tcW w:w="193" w:type="dxa"/>
                      </w:tcPr>
                      <w:p>
                        <w:pPr/>
                      </w:p>
                    </w:tc>
                    <w:tc>
                      <w:tcPr>
                        <w:tcW w:w="980" w:type="dxa"/>
                      </w:tcPr>
                      <w:p>
                        <w:pPr>
                          <w:pStyle w:val="TableParagraph"/>
                          <w:tabs>
                            <w:tab w:pos="587" w:val="left" w:leader="none"/>
                          </w:tabs>
                          <w:spacing w:before="13"/>
                          <w:jc w:val="left"/>
                          <w:rPr>
                            <w:sz w:val="16"/>
                          </w:rPr>
                        </w:pPr>
                        <w:r>
                          <w:rPr>
                            <w:color w:val="231F20"/>
                            <w:sz w:val="16"/>
                          </w:rPr>
                          <w:t>$</w:t>
                          <w:tab/>
                          <w:t>(4.78)</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Deduct: Impact of special items . . . . . . . . . . . . . . . . . . . . . . . . . . . . . . . . . . . . . . . . . . . . . . </w:t>
                        </w:r>
                      </w:p>
                    </w:tc>
                    <w:tc>
                      <w:tcPr>
                        <w:tcW w:w="1057" w:type="dxa"/>
                        <w:tcBorders>
                          <w:bottom w:val="single" w:sz="4" w:space="0" w:color="231F20"/>
                        </w:tcBorders>
                      </w:tcPr>
                      <w:p>
                        <w:pPr>
                          <w:pStyle w:val="TableParagraph"/>
                          <w:tabs>
                            <w:tab w:pos="663" w:val="left" w:leader="none"/>
                          </w:tabs>
                          <w:spacing w:before="13"/>
                          <w:ind w:left="76"/>
                          <w:jc w:val="left"/>
                          <w:rPr>
                            <w:sz w:val="16"/>
                          </w:rPr>
                        </w:pPr>
                        <w:r>
                          <w:rPr>
                            <w:color w:val="231F20"/>
                            <w:sz w:val="16"/>
                          </w:rPr>
                          <w:t>$</w:t>
                          <w:tab/>
                          <w:t>(0.07)</w:t>
                        </w:r>
                      </w:p>
                    </w:tc>
                    <w:tc>
                      <w:tcPr>
                        <w:tcW w:w="193" w:type="dxa"/>
                      </w:tcPr>
                      <w:p>
                        <w:pPr/>
                      </w:p>
                    </w:tc>
                    <w:tc>
                      <w:tcPr>
                        <w:tcW w:w="980" w:type="dxa"/>
                        <w:tcBorders>
                          <w:bottom w:val="single" w:sz="4" w:space="0" w:color="231F20"/>
                        </w:tcBorders>
                      </w:tcPr>
                      <w:p>
                        <w:pPr>
                          <w:pStyle w:val="TableParagraph"/>
                          <w:tabs>
                            <w:tab w:pos="587" w:val="left" w:leader="none"/>
                          </w:tabs>
                          <w:spacing w:before="13"/>
                          <w:jc w:val="left"/>
                          <w:rPr>
                            <w:sz w:val="16"/>
                          </w:rPr>
                        </w:pPr>
                        <w:r>
                          <w:rPr>
                            <w:color w:val="231F20"/>
                            <w:sz w:val="16"/>
                          </w:rPr>
                          <w:t>$</w:t>
                          <w:tab/>
                          <w:t>(0.14)</w:t>
                        </w:r>
                      </w:p>
                    </w:tc>
                    <w:tc>
                      <w:tcPr>
                        <w:tcW w:w="200" w:type="dxa"/>
                      </w:tcPr>
                      <w:p>
                        <w:pPr/>
                      </w:p>
                    </w:tc>
                    <w:tc>
                      <w:tcPr>
                        <w:tcW w:w="845" w:type="dxa"/>
                      </w:tcPr>
                      <w:p>
                        <w:pPr/>
                      </w:p>
                    </w:tc>
                  </w:tr>
                  <w:tr>
                    <w:trPr>
                      <w:trHeight w:val="520" w:hRule="exact"/>
                    </w:trPr>
                    <w:tc>
                      <w:tcPr>
                        <w:tcW w:w="5896" w:type="dxa"/>
                      </w:tcPr>
                      <w:p>
                        <w:pPr>
                          <w:pStyle w:val="TableParagraph"/>
                          <w:spacing w:before="75"/>
                          <w:ind w:left="50"/>
                          <w:jc w:val="left"/>
                          <w:rPr>
                            <w:b/>
                            <w:sz w:val="16"/>
                          </w:rPr>
                        </w:pPr>
                        <w:r>
                          <w:rPr>
                            <w:b/>
                            <w:color w:val="231F20"/>
                            <w:sz w:val="16"/>
                          </w:rPr>
                          <w:t>Operating expenses per ASM, non-GAAP, excluding fuel and special items</w:t>
                        </w:r>
                      </w:p>
                      <w:p>
                        <w:pPr>
                          <w:pStyle w:val="TableParagraph"/>
                          <w:spacing w:before="15"/>
                          <w:ind w:left="210"/>
                          <w:jc w:val="left"/>
                          <w:rPr>
                            <w:sz w:val="16"/>
                          </w:rPr>
                        </w:pPr>
                        <w:r>
                          <w:rPr>
                            <w:b/>
                            <w:color w:val="231F20"/>
                            <w:sz w:val="16"/>
                          </w:rPr>
                          <w:t>(cents)   </w:t>
                        </w:r>
                        <w:r>
                          <w:rPr>
                            <w:color w:val="231F20"/>
                            <w:sz w:val="16"/>
                          </w:rPr>
                          <w:t>. . . . . . . . . . . . . . . . . . . . . . . . . . . . . . . . . . . . . . . . . . . . . . . . . . . . . . . . . . . . . . . </w:t>
                        </w:r>
                      </w:p>
                    </w:tc>
                    <w:tc>
                      <w:tcPr>
                        <w:tcW w:w="1057" w:type="dxa"/>
                        <w:tcBorders>
                          <w:top w:val="single" w:sz="4" w:space="0" w:color="231F20"/>
                        </w:tcBorders>
                      </w:tcPr>
                      <w:p>
                        <w:pPr>
                          <w:pStyle w:val="TableParagraph"/>
                          <w:spacing w:before="6"/>
                          <w:jc w:val="left"/>
                          <w:rPr>
                            <w:sz w:val="23"/>
                          </w:rPr>
                        </w:pPr>
                      </w:p>
                      <w:p>
                        <w:pPr>
                          <w:pStyle w:val="TableParagraph"/>
                          <w:tabs>
                            <w:tab w:pos="716" w:val="left" w:leader="none"/>
                          </w:tabs>
                          <w:ind w:left="76"/>
                          <w:jc w:val="left"/>
                          <w:rPr>
                            <w:sz w:val="16"/>
                          </w:rPr>
                        </w:pPr>
                        <w:r>
                          <w:rPr>
                            <w:color w:val="231F20"/>
                            <w:sz w:val="16"/>
                          </w:rPr>
                          <w:t>$</w:t>
                          <w:tab/>
                          <w:t>8.11</w:t>
                        </w:r>
                      </w:p>
                    </w:tc>
                    <w:tc>
                      <w:tcPr>
                        <w:tcW w:w="193" w:type="dxa"/>
                      </w:tcPr>
                      <w:p>
                        <w:pPr/>
                      </w:p>
                    </w:tc>
                    <w:tc>
                      <w:tcPr>
                        <w:tcW w:w="980" w:type="dxa"/>
                        <w:tcBorders>
                          <w:top w:val="single" w:sz="4" w:space="0" w:color="231F20"/>
                        </w:tcBorders>
                      </w:tcPr>
                      <w:p>
                        <w:pPr>
                          <w:pStyle w:val="TableParagraph"/>
                          <w:spacing w:before="6"/>
                          <w:jc w:val="left"/>
                          <w:rPr>
                            <w:sz w:val="23"/>
                          </w:rPr>
                        </w:pPr>
                      </w:p>
                      <w:p>
                        <w:pPr>
                          <w:pStyle w:val="TableParagraph"/>
                          <w:tabs>
                            <w:tab w:pos="640" w:val="left" w:leader="none"/>
                          </w:tabs>
                          <w:jc w:val="left"/>
                          <w:rPr>
                            <w:sz w:val="16"/>
                          </w:rPr>
                        </w:pPr>
                        <w:r>
                          <w:rPr>
                            <w:color w:val="231F20"/>
                            <w:sz w:val="16"/>
                          </w:rPr>
                          <w:t>$</w:t>
                          <w:tab/>
                          <w:t>7.93</w:t>
                        </w:r>
                      </w:p>
                    </w:tc>
                    <w:tc>
                      <w:tcPr>
                        <w:tcW w:w="200" w:type="dxa"/>
                      </w:tcPr>
                      <w:p>
                        <w:pPr/>
                      </w:p>
                    </w:tc>
                    <w:tc>
                      <w:tcPr>
                        <w:tcW w:w="845" w:type="dxa"/>
                      </w:tcPr>
                      <w:p>
                        <w:pPr>
                          <w:pStyle w:val="TableParagraph"/>
                          <w:spacing w:before="11"/>
                          <w:jc w:val="left"/>
                          <w:rPr>
                            <w:sz w:val="23"/>
                          </w:rPr>
                        </w:pPr>
                      </w:p>
                      <w:p>
                        <w:pPr>
                          <w:pStyle w:val="TableParagraph"/>
                          <w:ind w:right="136"/>
                          <w:rPr>
                            <w:sz w:val="16"/>
                          </w:rPr>
                        </w:pPr>
                        <w:r>
                          <w:rPr>
                            <w:color w:val="231F20"/>
                            <w:sz w:val="16"/>
                          </w:rPr>
                          <w:t>2.3%</w:t>
                        </w:r>
                      </w:p>
                    </w:tc>
                  </w:tr>
                  <w:tr>
                    <w:trPr>
                      <w:trHeight w:val="180" w:hRule="exact"/>
                    </w:trPr>
                    <w:tc>
                      <w:tcPr>
                        <w:tcW w:w="5896" w:type="dxa"/>
                      </w:tcPr>
                      <w:p>
                        <w:pPr/>
                      </w:p>
                    </w:tc>
                    <w:tc>
                      <w:tcPr>
                        <w:tcW w:w="1057" w:type="dxa"/>
                        <w:tcBorders>
                          <w:bottom w:val="single" w:sz="4" w:space="0" w:color="231F20"/>
                        </w:tcBorders>
                      </w:tcPr>
                      <w:p>
                        <w:pPr/>
                      </w:p>
                    </w:tc>
                    <w:tc>
                      <w:tcPr>
                        <w:tcW w:w="193" w:type="dxa"/>
                      </w:tcPr>
                      <w:p>
                        <w:pPr/>
                      </w:p>
                    </w:tc>
                    <w:tc>
                      <w:tcPr>
                        <w:tcW w:w="980" w:type="dxa"/>
                        <w:tcBorders>
                          <w:bottom w:val="single" w:sz="4" w:space="0" w:color="231F20"/>
                        </w:tcBorders>
                      </w:tcPr>
                      <w:p>
                        <w:pPr/>
                      </w:p>
                    </w:tc>
                    <w:tc>
                      <w:tcPr>
                        <w:tcW w:w="200" w:type="dxa"/>
                      </w:tcPr>
                      <w:p>
                        <w:pPr/>
                      </w:p>
                    </w:tc>
                    <w:tc>
                      <w:tcPr>
                        <w:tcW w:w="845" w:type="dxa"/>
                      </w:tcPr>
                      <w:p>
                        <w:pPr/>
                      </w:p>
                    </w:tc>
                  </w:tr>
                </w:tbl>
                <w:p>
                  <w:pPr>
                    <w:pStyle w:val="BodyText"/>
                  </w:pPr>
                </w:p>
              </w:txbxContent>
            </v:textbox>
            <w10:wrap type="none"/>
          </v:shape>
        </w:pict>
      </w:r>
      <w:r>
        <w:rPr>
          <w:b/>
          <w:color w:val="231F20"/>
          <w:sz w:val="16"/>
        </w:rPr>
        <w:t>December 31,</w:t>
        <w:tab/>
      </w:r>
      <w:r>
        <w:rPr>
          <w:b/>
          <w:color w:val="231F20"/>
          <w:position w:val="-7"/>
          <w:sz w:val="16"/>
        </w:rPr>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13"/>
        </w:rPr>
      </w:pPr>
      <w:r>
        <w:rPr/>
        <w:pict>
          <v:line style="position:absolute;mso-position-horizontal-relative:page;mso-position-vertical-relative:paragraph;z-index:2344;mso-wrap-distance-left:0;mso-wrap-distance-right:0" from="365.449982pt,10.012891pt" to="414.099982pt,10.012891pt" stroked="true" strokeweight=".5pt" strokecolor="#231f20">
            <v:stroke dashstyle="solid"/>
            <w10:wrap type="topAndBottom"/>
          </v:line>
        </w:pict>
      </w:r>
      <w:r>
        <w:rPr/>
        <w:pict>
          <v:line style="position:absolute;mso-position-horizontal-relative:page;mso-position-vertical-relative:paragraph;z-index:2368;mso-wrap-distance-left:0;mso-wrap-distance-right:0" from="424.100006pt,10.012891pt" to="472.750006pt,10.012891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4"/>
        </w:rPr>
      </w:pPr>
      <w:r>
        <w:rPr/>
        <w:pict>
          <v:line style="position:absolute;mso-position-horizontal-relative:page;mso-position-vertical-relative:paragraph;z-index:2392;mso-wrap-distance-left:0;mso-wrap-distance-right:0" from="365.449982pt,16.305859pt" to="414.099982pt,16.305859pt" stroked="true" strokeweight=".5pt" strokecolor="#231f20">
            <v:stroke dashstyle="solid"/>
            <w10:wrap type="topAndBottom"/>
          </v:line>
        </w:pict>
      </w:r>
      <w:r>
        <w:rPr/>
        <w:pict>
          <v:line style="position:absolute;mso-position-horizontal-relative:page;mso-position-vertical-relative:paragraph;z-index:2416;mso-wrap-distance-left:0;mso-wrap-distance-right:0" from="424.100006pt,16.305859pt" to="472.750006pt,16.305859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4"/>
        </w:rPr>
      </w:pPr>
      <w:r>
        <w:rPr/>
        <w:pict>
          <v:line style="position:absolute;mso-position-horizontal-relative:page;mso-position-vertical-relative:paragraph;z-index:2440;mso-wrap-distance-left:0;mso-wrap-distance-right:0" from="365.449982pt,16.305859pt" to="414.099982pt,16.305859pt" stroked="true" strokeweight=".5pt" strokecolor="#231f20">
            <v:stroke dashstyle="solid"/>
            <w10:wrap type="topAndBottom"/>
          </v:line>
        </w:pict>
      </w:r>
      <w:r>
        <w:rPr/>
        <w:pict>
          <v:line style="position:absolute;mso-position-horizontal-relative:page;mso-position-vertical-relative:paragraph;z-index:2464;mso-wrap-distance-left:0;mso-wrap-distance-right:0" from="424.100006pt,16.305859pt" to="472.750006pt,16.305859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7"/>
        </w:rPr>
      </w:pPr>
      <w:r>
        <w:rPr/>
        <w:pict>
          <v:line style="position:absolute;mso-position-horizontal-relative:page;mso-position-vertical-relative:paragraph;z-index:2488;mso-wrap-distance-left:0;mso-wrap-distance-right:0" from="365.449982pt,17.806835pt" to="414.099982pt,17.806835pt" stroked="true" strokeweight=".5pt" strokecolor="#231f20">
            <v:stroke dashstyle="solid"/>
            <w10:wrap type="topAndBottom"/>
          </v:line>
        </w:pict>
      </w:r>
      <w:r>
        <w:rPr/>
        <w:pict>
          <v:line style="position:absolute;mso-position-horizontal-relative:page;mso-position-vertical-relative:paragraph;z-index:2512;mso-wrap-distance-left:0;mso-wrap-distance-right:0" from="424.100006pt,17.806835pt" to="472.750006pt,17.806835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spacing w:before="8"/>
        <w:rPr>
          <w:b/>
          <w:sz w:val="29"/>
        </w:rPr>
      </w:pPr>
      <w:r>
        <w:rPr/>
        <w:pict>
          <v:line style="position:absolute;mso-position-horizontal-relative:page;mso-position-vertical-relative:paragraph;z-index:2536;mso-wrap-distance-left:0;mso-wrap-distance-right:0" from="365.449982pt,19.303905pt" to="414.099982pt,19.303905pt" stroked="true" strokeweight=".5pt" strokecolor="#231f20">
            <v:stroke dashstyle="solid"/>
            <w10:wrap type="topAndBottom"/>
          </v:line>
        </w:pict>
      </w:r>
      <w:r>
        <w:rPr/>
        <w:pict>
          <v:line style="position:absolute;mso-position-horizontal-relative:page;mso-position-vertical-relative:paragraph;z-index:2560;mso-wrap-distance-left:0;mso-wrap-distance-right:0" from="424.100006pt,19.303905pt" to="472.750006pt,19.303905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spacing w:before="8"/>
        <w:rPr>
          <w:b/>
          <w:sz w:val="29"/>
        </w:rPr>
      </w:pPr>
      <w:r>
        <w:rPr/>
        <w:pict>
          <v:line style="position:absolute;mso-position-horizontal-relative:page;mso-position-vertical-relative:paragraph;z-index:2584;mso-wrap-distance-left:0;mso-wrap-distance-right:0" from="365.449982pt,19.303905pt" to="414.099982pt,19.303905pt" stroked="true" strokeweight=".5pt" strokecolor="#231f20">
            <v:stroke dashstyle="solid"/>
            <w10:wrap type="topAndBottom"/>
          </v:line>
        </w:pict>
      </w:r>
      <w:r>
        <w:rPr/>
        <w:pict>
          <v:line style="position:absolute;mso-position-horizontal-relative:page;mso-position-vertical-relative:paragraph;z-index:2608;mso-wrap-distance-left:0;mso-wrap-distance-right:0" from="424.100006pt,19.303905pt" to="472.750006pt,19.303905pt" stroked="true" strokeweight=".5pt" strokecolor="#231f20">
            <v:stroke dashstyle="solid"/>
            <w10:wrap type="topAndBottom"/>
          </v:line>
        </w:pict>
      </w:r>
    </w:p>
    <w:p>
      <w:pPr>
        <w:tabs>
          <w:tab w:pos="479" w:val="left" w:leader="none"/>
        </w:tabs>
        <w:spacing w:before="221"/>
        <w:ind w:left="160" w:right="0" w:firstLine="0"/>
        <w:jc w:val="left"/>
        <w:rPr>
          <w:sz w:val="16"/>
        </w:rPr>
      </w:pPr>
      <w:r>
        <w:rPr>
          <w:color w:val="231F20"/>
          <w:sz w:val="16"/>
        </w:rPr>
        <w:t>*</w:t>
        <w:tab/>
        <w:t>As a result of prior hedge ineffectiveness and/or contracts marked to market through</w:t>
      </w:r>
      <w:r>
        <w:rPr>
          <w:color w:val="231F20"/>
          <w:spacing w:val="-17"/>
          <w:sz w:val="16"/>
        </w:rPr>
        <w:t> </w:t>
      </w:r>
      <w:r>
        <w:rPr>
          <w:color w:val="231F20"/>
          <w:sz w:val="16"/>
        </w:rPr>
        <w:t>earnings.</w:t>
      </w:r>
    </w:p>
    <w:p>
      <w:pPr>
        <w:pStyle w:val="ListParagraph"/>
        <w:numPr>
          <w:ilvl w:val="1"/>
          <w:numId w:val="6"/>
        </w:numPr>
        <w:tabs>
          <w:tab w:pos="480" w:val="left" w:leader="none"/>
        </w:tabs>
        <w:spacing w:line="240" w:lineRule="auto" w:before="15" w:after="0"/>
        <w:ind w:left="480" w:right="0" w:hanging="320"/>
        <w:jc w:val="left"/>
        <w:rPr>
          <w:sz w:val="16"/>
        </w:rPr>
      </w:pPr>
      <w:r>
        <w:rPr>
          <w:color w:val="231F20"/>
          <w:sz w:val="16"/>
        </w:rPr>
        <w:t>Amounts net of</w:t>
      </w:r>
      <w:r>
        <w:rPr>
          <w:color w:val="231F20"/>
          <w:spacing w:val="-3"/>
          <w:sz w:val="16"/>
        </w:rPr>
        <w:t> </w:t>
      </w:r>
      <w:r>
        <w:rPr>
          <w:color w:val="231F20"/>
          <w:sz w:val="16"/>
        </w:rPr>
        <w:t>tax.</w:t>
      </w:r>
    </w:p>
    <w:p>
      <w:pPr>
        <w:spacing w:after="0" w:line="240" w:lineRule="auto"/>
        <w:jc w:val="left"/>
        <w:rPr>
          <w:sz w:val="16"/>
        </w:rPr>
        <w:sectPr>
          <w:pgSz w:w="11880" w:h="15480"/>
          <w:pgMar w:header="0" w:footer="1253" w:top="1240" w:bottom="1440" w:left="1220" w:right="128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6"/>
        <w:gridCol w:w="200"/>
        <w:gridCol w:w="1717"/>
        <w:gridCol w:w="1767"/>
      </w:tblGrid>
      <w:tr>
        <w:trPr>
          <w:trHeight w:val="580" w:hRule="exact"/>
        </w:trPr>
        <w:tc>
          <w:tcPr>
            <w:tcW w:w="5536" w:type="dxa"/>
          </w:tcPr>
          <w:p>
            <w:pPr>
              <w:pStyle w:val="TableParagraph"/>
              <w:spacing w:line="221" w:lineRule="exact"/>
              <w:ind w:right="317"/>
              <w:rPr>
                <w:b/>
                <w:sz w:val="20"/>
              </w:rPr>
            </w:pPr>
            <w:r>
              <w:rPr>
                <w:b/>
                <w:color w:val="231F20"/>
                <w:sz w:val="20"/>
              </w:rPr>
              <w:t>Return on Invested Capital (ROIC) (in millions) (unaudited)</w:t>
            </w:r>
          </w:p>
          <w:p>
            <w:pPr>
              <w:pStyle w:val="TableParagraph"/>
              <w:spacing w:before="139"/>
              <w:ind w:right="292"/>
              <w:rPr>
                <w:b/>
                <w:sz w:val="20"/>
              </w:rPr>
            </w:pPr>
            <w:r>
              <w:rPr>
                <w:b/>
                <w:color w:val="231F20"/>
                <w:sz w:val="20"/>
              </w:rPr>
              <w:t>Year Ended</w:t>
            </w:r>
          </w:p>
        </w:tc>
        <w:tc>
          <w:tcPr>
            <w:tcW w:w="200" w:type="dxa"/>
          </w:tcPr>
          <w:p>
            <w:pPr/>
          </w:p>
        </w:tc>
        <w:tc>
          <w:tcPr>
            <w:tcW w:w="1717" w:type="dxa"/>
          </w:tcPr>
          <w:p>
            <w:pPr>
              <w:pStyle w:val="TableParagraph"/>
              <w:spacing w:before="3"/>
              <w:jc w:val="left"/>
              <w:rPr>
                <w:sz w:val="31"/>
              </w:rPr>
            </w:pPr>
          </w:p>
          <w:p>
            <w:pPr>
              <w:pStyle w:val="TableParagraph"/>
              <w:ind w:left="295"/>
              <w:jc w:val="left"/>
              <w:rPr>
                <w:b/>
                <w:sz w:val="20"/>
              </w:rPr>
            </w:pPr>
            <w:r>
              <w:rPr>
                <w:b/>
                <w:color w:val="231F20"/>
                <w:sz w:val="20"/>
              </w:rPr>
              <w:t>Year Ended</w:t>
            </w:r>
          </w:p>
        </w:tc>
        <w:tc>
          <w:tcPr>
            <w:tcW w:w="1767" w:type="dxa"/>
          </w:tcPr>
          <w:p>
            <w:pPr>
              <w:pStyle w:val="TableParagraph"/>
              <w:spacing w:before="3"/>
              <w:jc w:val="left"/>
              <w:rPr>
                <w:sz w:val="31"/>
              </w:rPr>
            </w:pPr>
          </w:p>
          <w:p>
            <w:pPr>
              <w:pStyle w:val="TableParagraph"/>
              <w:ind w:left="394"/>
              <w:jc w:val="left"/>
              <w:rPr>
                <w:b/>
                <w:sz w:val="20"/>
              </w:rPr>
            </w:pPr>
            <w:r>
              <w:rPr>
                <w:b/>
                <w:color w:val="231F20"/>
                <w:sz w:val="20"/>
              </w:rPr>
              <w:t>Year Ended</w:t>
            </w:r>
          </w:p>
        </w:tc>
      </w:tr>
      <w:tr>
        <w:trPr>
          <w:trHeight w:val="236" w:hRule="exact"/>
        </w:trPr>
        <w:tc>
          <w:tcPr>
            <w:tcW w:w="5536" w:type="dxa"/>
            <w:tcBorders>
              <w:bottom w:val="single" w:sz="8" w:space="0" w:color="231F20"/>
            </w:tcBorders>
          </w:tcPr>
          <w:p>
            <w:pPr>
              <w:pStyle w:val="TableParagraph"/>
              <w:spacing w:line="210" w:lineRule="exact"/>
              <w:rPr>
                <w:b/>
                <w:sz w:val="20"/>
              </w:rPr>
            </w:pPr>
            <w:r>
              <w:rPr>
                <w:b/>
                <w:color w:val="231F20"/>
                <w:sz w:val="20"/>
              </w:rPr>
              <w:t>December 31, 2013</w:t>
            </w:r>
          </w:p>
        </w:tc>
        <w:tc>
          <w:tcPr>
            <w:tcW w:w="200" w:type="dxa"/>
          </w:tcPr>
          <w:p>
            <w:pPr/>
          </w:p>
        </w:tc>
        <w:tc>
          <w:tcPr>
            <w:tcW w:w="1717" w:type="dxa"/>
            <w:tcBorders>
              <w:bottom w:val="single" w:sz="8" w:space="0" w:color="231F20"/>
            </w:tcBorders>
          </w:tcPr>
          <w:p>
            <w:pPr>
              <w:pStyle w:val="TableParagraph"/>
              <w:spacing w:line="210" w:lineRule="exact"/>
              <w:ind w:right="99"/>
              <w:rPr>
                <w:b/>
                <w:sz w:val="20"/>
              </w:rPr>
            </w:pPr>
            <w:r>
              <w:rPr>
                <w:b/>
                <w:color w:val="231F20"/>
                <w:sz w:val="20"/>
              </w:rPr>
              <w:t>December 31, 2012</w:t>
            </w:r>
          </w:p>
        </w:tc>
        <w:tc>
          <w:tcPr>
            <w:tcW w:w="1767" w:type="dxa"/>
            <w:tcBorders>
              <w:bottom w:val="single" w:sz="8" w:space="0" w:color="231F20"/>
            </w:tcBorders>
          </w:tcPr>
          <w:p>
            <w:pPr>
              <w:pStyle w:val="TableParagraph"/>
              <w:spacing w:line="210" w:lineRule="exact"/>
              <w:ind w:right="48"/>
              <w:rPr>
                <w:b/>
                <w:sz w:val="20"/>
              </w:rPr>
            </w:pPr>
            <w:r>
              <w:rPr>
                <w:b/>
                <w:color w:val="231F20"/>
                <w:sz w:val="20"/>
              </w:rPr>
              <w:t>December 31, 2011</w:t>
            </w:r>
          </w:p>
        </w:tc>
      </w:tr>
      <w:tr>
        <w:trPr>
          <w:trHeight w:val="305" w:hRule="exact"/>
        </w:trPr>
        <w:tc>
          <w:tcPr>
            <w:tcW w:w="5536" w:type="dxa"/>
            <w:tcBorders>
              <w:top w:val="single" w:sz="8" w:space="0" w:color="231F20"/>
            </w:tcBorders>
          </w:tcPr>
          <w:p>
            <w:pPr>
              <w:pStyle w:val="TableParagraph"/>
              <w:tabs>
                <w:tab w:pos="4067" w:val="left" w:leader="none"/>
                <w:tab w:pos="4867" w:val="left" w:leader="none"/>
              </w:tabs>
              <w:spacing w:before="53"/>
              <w:ind w:left="50"/>
              <w:jc w:val="left"/>
              <w:rPr>
                <w:sz w:val="20"/>
              </w:rPr>
            </w:pPr>
            <w:r>
              <w:rPr>
                <w:b/>
                <w:color w:val="231F20"/>
                <w:sz w:val="20"/>
              </w:rPr>
              <w:t>Operating Income, as reported  </w:t>
            </w:r>
            <w:r>
              <w:rPr>
                <w:color w:val="231F20"/>
                <w:sz w:val="20"/>
              </w:rPr>
              <w:t>. . . . . . . .</w:t>
            </w:r>
            <w:r>
              <w:rPr>
                <w:color w:val="231F20"/>
                <w:spacing w:val="-16"/>
                <w:sz w:val="20"/>
              </w:rPr>
              <w:t> </w:t>
            </w:r>
            <w:r>
              <w:rPr>
                <w:color w:val="231F20"/>
                <w:sz w:val="20"/>
              </w:rPr>
              <w:t>. .</w:t>
              <w:tab/>
              <w:t>$</w:t>
              <w:tab/>
              <w:t>1,278</w:t>
            </w:r>
          </w:p>
        </w:tc>
        <w:tc>
          <w:tcPr>
            <w:tcW w:w="200" w:type="dxa"/>
          </w:tcPr>
          <w:p>
            <w:pPr/>
          </w:p>
        </w:tc>
        <w:tc>
          <w:tcPr>
            <w:tcW w:w="1717" w:type="dxa"/>
            <w:tcBorders>
              <w:top w:val="single" w:sz="8" w:space="0" w:color="231F20"/>
            </w:tcBorders>
          </w:tcPr>
          <w:p>
            <w:pPr>
              <w:pStyle w:val="TableParagraph"/>
              <w:tabs>
                <w:tab w:pos="1098" w:val="left" w:leader="none"/>
              </w:tabs>
              <w:spacing w:before="53"/>
              <w:ind w:left="149"/>
              <w:jc w:val="left"/>
              <w:rPr>
                <w:sz w:val="20"/>
              </w:rPr>
            </w:pPr>
            <w:r>
              <w:rPr>
                <w:color w:val="231F20"/>
                <w:sz w:val="20"/>
              </w:rPr>
              <w:t>$</w:t>
              <w:tab/>
              <w:t>623</w:t>
            </w:r>
          </w:p>
        </w:tc>
        <w:tc>
          <w:tcPr>
            <w:tcW w:w="1767" w:type="dxa"/>
            <w:tcBorders>
              <w:top w:val="single" w:sz="8" w:space="0" w:color="231F20"/>
            </w:tcBorders>
          </w:tcPr>
          <w:p>
            <w:pPr>
              <w:pStyle w:val="TableParagraph"/>
              <w:tabs>
                <w:tab w:pos="1198" w:val="left" w:leader="none"/>
              </w:tabs>
              <w:spacing w:before="53"/>
              <w:ind w:left="249"/>
              <w:jc w:val="left"/>
              <w:rPr>
                <w:sz w:val="20"/>
              </w:rPr>
            </w:pPr>
            <w:r>
              <w:rPr>
                <w:color w:val="231F20"/>
                <w:sz w:val="20"/>
              </w:rPr>
              <w:t>$</w:t>
              <w:tab/>
              <w:t>693</w:t>
            </w:r>
          </w:p>
        </w:tc>
      </w:tr>
      <w:tr>
        <w:trPr>
          <w:trHeight w:val="239" w:hRule="exact"/>
        </w:trPr>
        <w:tc>
          <w:tcPr>
            <w:tcW w:w="5536" w:type="dxa"/>
          </w:tcPr>
          <w:p>
            <w:pPr>
              <w:pStyle w:val="TableParagraph"/>
              <w:tabs>
                <w:tab w:pos="5317" w:val="right" w:leader="none"/>
              </w:tabs>
              <w:spacing w:line="229" w:lineRule="exact"/>
              <w:ind w:left="50"/>
              <w:jc w:val="left"/>
              <w:rPr>
                <w:sz w:val="20"/>
              </w:rPr>
            </w:pPr>
            <w:r>
              <w:rPr>
                <w:color w:val="231F20"/>
                <w:sz w:val="20"/>
              </w:rPr>
              <w:t>Add: Net impact from fuel contracts  . . . . .</w:t>
            </w:r>
            <w:r>
              <w:rPr>
                <w:color w:val="231F20"/>
                <w:spacing w:val="13"/>
                <w:sz w:val="20"/>
              </w:rPr>
              <w:t> </w:t>
            </w:r>
            <w:r>
              <w:rPr>
                <w:color w:val="231F20"/>
                <w:sz w:val="20"/>
              </w:rPr>
              <w:t>. .</w:t>
              <w:tab/>
              <w:t>84</w:t>
            </w:r>
          </w:p>
        </w:tc>
        <w:tc>
          <w:tcPr>
            <w:tcW w:w="200" w:type="dxa"/>
          </w:tcPr>
          <w:p>
            <w:pPr/>
          </w:p>
        </w:tc>
        <w:tc>
          <w:tcPr>
            <w:tcW w:w="1717" w:type="dxa"/>
          </w:tcPr>
          <w:p>
            <w:pPr>
              <w:pStyle w:val="TableParagraph"/>
              <w:spacing w:line="229" w:lineRule="exact"/>
              <w:ind w:right="316"/>
              <w:rPr>
                <w:sz w:val="20"/>
              </w:rPr>
            </w:pPr>
            <w:r>
              <w:rPr>
                <w:color w:val="231F20"/>
                <w:sz w:val="20"/>
              </w:rPr>
              <w:t>32</w:t>
            </w:r>
          </w:p>
        </w:tc>
        <w:tc>
          <w:tcPr>
            <w:tcW w:w="1767" w:type="dxa"/>
          </w:tcPr>
          <w:p>
            <w:pPr>
              <w:pStyle w:val="TableParagraph"/>
              <w:spacing w:line="229" w:lineRule="exact"/>
              <w:ind w:right="366"/>
              <w:rPr>
                <w:sz w:val="20"/>
              </w:rPr>
            </w:pPr>
            <w:r>
              <w:rPr>
                <w:color w:val="231F20"/>
                <w:sz w:val="20"/>
              </w:rPr>
              <w:t>—</w:t>
            </w:r>
          </w:p>
        </w:tc>
      </w:tr>
      <w:tr>
        <w:trPr>
          <w:trHeight w:val="240" w:hRule="exact"/>
        </w:trPr>
        <w:tc>
          <w:tcPr>
            <w:tcW w:w="5536" w:type="dxa"/>
          </w:tcPr>
          <w:p>
            <w:pPr>
              <w:pStyle w:val="TableParagraph"/>
              <w:tabs>
                <w:tab w:pos="5317" w:val="right" w:leader="none"/>
              </w:tabs>
              <w:spacing w:line="229" w:lineRule="exact"/>
              <w:ind w:left="50"/>
              <w:jc w:val="left"/>
              <w:rPr>
                <w:sz w:val="20"/>
              </w:rPr>
            </w:pPr>
            <w:r>
              <w:rPr>
                <w:color w:val="231F20"/>
                <w:sz w:val="20"/>
              </w:rPr>
              <w:t>Add: Acquisition and integration costs   . . .</w:t>
            </w:r>
            <w:r>
              <w:rPr>
                <w:color w:val="231F20"/>
                <w:spacing w:val="-21"/>
                <w:sz w:val="20"/>
              </w:rPr>
              <w:t> </w:t>
            </w:r>
            <w:r>
              <w:rPr>
                <w:color w:val="231F20"/>
                <w:sz w:val="20"/>
              </w:rPr>
              <w:t>. .</w:t>
              <w:tab/>
              <w:t>86</w:t>
            </w:r>
          </w:p>
        </w:tc>
        <w:tc>
          <w:tcPr>
            <w:tcW w:w="200" w:type="dxa"/>
          </w:tcPr>
          <w:p>
            <w:pPr/>
          </w:p>
        </w:tc>
        <w:tc>
          <w:tcPr>
            <w:tcW w:w="1717" w:type="dxa"/>
          </w:tcPr>
          <w:p>
            <w:pPr>
              <w:pStyle w:val="TableParagraph"/>
              <w:spacing w:line="229" w:lineRule="exact"/>
              <w:ind w:left="1099"/>
              <w:jc w:val="left"/>
              <w:rPr>
                <w:sz w:val="20"/>
              </w:rPr>
            </w:pPr>
            <w:r>
              <w:rPr>
                <w:color w:val="231F20"/>
                <w:sz w:val="20"/>
              </w:rPr>
              <w:t>183</w:t>
            </w:r>
          </w:p>
        </w:tc>
        <w:tc>
          <w:tcPr>
            <w:tcW w:w="1767" w:type="dxa"/>
          </w:tcPr>
          <w:p>
            <w:pPr>
              <w:pStyle w:val="TableParagraph"/>
              <w:spacing w:line="229" w:lineRule="exact"/>
              <w:ind w:right="266"/>
              <w:rPr>
                <w:sz w:val="20"/>
              </w:rPr>
            </w:pPr>
            <w:r>
              <w:rPr>
                <w:color w:val="231F20"/>
                <w:sz w:val="20"/>
              </w:rPr>
              <w:t>132</w:t>
            </w:r>
          </w:p>
        </w:tc>
      </w:tr>
      <w:tr>
        <w:trPr>
          <w:trHeight w:val="261" w:hRule="exact"/>
        </w:trPr>
        <w:tc>
          <w:tcPr>
            <w:tcW w:w="5536" w:type="dxa"/>
            <w:tcBorders>
              <w:bottom w:val="single" w:sz="4" w:space="0" w:color="231F20"/>
            </w:tcBorders>
          </w:tcPr>
          <w:p>
            <w:pPr>
              <w:pStyle w:val="TableParagraph"/>
              <w:tabs>
                <w:tab w:pos="5017" w:val="left" w:leader="none"/>
              </w:tabs>
              <w:spacing w:line="229" w:lineRule="exact"/>
              <w:ind w:left="50"/>
              <w:jc w:val="left"/>
              <w:rPr>
                <w:sz w:val="20"/>
              </w:rPr>
            </w:pPr>
            <w:r>
              <w:rPr>
                <w:color w:val="231F20"/>
                <w:sz w:val="20"/>
              </w:rPr>
              <w:t>Add: Asset impairment, net (1)  . . . . . . . . .</w:t>
            </w:r>
            <w:r>
              <w:rPr>
                <w:color w:val="231F20"/>
                <w:spacing w:val="22"/>
                <w:sz w:val="20"/>
              </w:rPr>
              <w:t> </w:t>
            </w:r>
            <w:r>
              <w:rPr>
                <w:color w:val="231F20"/>
                <w:sz w:val="20"/>
              </w:rPr>
              <w:t>. .</w:t>
              <w:tab/>
              <w:t>—</w:t>
            </w:r>
          </w:p>
        </w:tc>
        <w:tc>
          <w:tcPr>
            <w:tcW w:w="200" w:type="dxa"/>
          </w:tcPr>
          <w:p>
            <w:pPr/>
          </w:p>
        </w:tc>
        <w:tc>
          <w:tcPr>
            <w:tcW w:w="1717" w:type="dxa"/>
            <w:tcBorders>
              <w:bottom w:val="single" w:sz="4" w:space="0" w:color="231F20"/>
            </w:tcBorders>
          </w:tcPr>
          <w:p>
            <w:pPr>
              <w:pStyle w:val="TableParagraph"/>
              <w:spacing w:line="229" w:lineRule="exact"/>
              <w:ind w:left="1099"/>
              <w:jc w:val="left"/>
              <w:rPr>
                <w:sz w:val="20"/>
              </w:rPr>
            </w:pPr>
            <w:r>
              <w:rPr>
                <w:color w:val="231F20"/>
                <w:sz w:val="20"/>
              </w:rPr>
              <w:t>—</w:t>
            </w:r>
          </w:p>
        </w:tc>
        <w:tc>
          <w:tcPr>
            <w:tcW w:w="1767" w:type="dxa"/>
            <w:tcBorders>
              <w:bottom w:val="single" w:sz="4" w:space="0" w:color="231F20"/>
            </w:tcBorders>
          </w:tcPr>
          <w:p>
            <w:pPr>
              <w:pStyle w:val="TableParagraph"/>
              <w:spacing w:line="229" w:lineRule="exact"/>
              <w:ind w:right="266"/>
              <w:rPr>
                <w:sz w:val="20"/>
              </w:rPr>
            </w:pPr>
            <w:r>
              <w:rPr>
                <w:color w:val="231F20"/>
                <w:sz w:val="20"/>
              </w:rPr>
              <w:t>14</w:t>
            </w:r>
          </w:p>
        </w:tc>
      </w:tr>
      <w:tr>
        <w:trPr>
          <w:trHeight w:val="300" w:hRule="exact"/>
        </w:trPr>
        <w:tc>
          <w:tcPr>
            <w:tcW w:w="5536" w:type="dxa"/>
            <w:tcBorders>
              <w:top w:val="single" w:sz="4" w:space="0" w:color="231F20"/>
            </w:tcBorders>
          </w:tcPr>
          <w:p>
            <w:pPr>
              <w:pStyle w:val="TableParagraph"/>
              <w:tabs>
                <w:tab w:pos="4067" w:val="left" w:leader="none"/>
                <w:tab w:pos="4867" w:val="left" w:leader="none"/>
              </w:tabs>
              <w:spacing w:before="53"/>
              <w:ind w:left="50"/>
              <w:jc w:val="left"/>
              <w:rPr>
                <w:sz w:val="20"/>
              </w:rPr>
            </w:pPr>
            <w:r>
              <w:rPr>
                <w:b/>
                <w:color w:val="231F20"/>
                <w:sz w:val="20"/>
              </w:rPr>
              <w:t>Operating Income, non-GAAP  </w:t>
            </w:r>
            <w:r>
              <w:rPr>
                <w:color w:val="231F20"/>
                <w:sz w:val="20"/>
              </w:rPr>
              <w:t>. . . . . . . . . .</w:t>
              <w:tab/>
              <w:t>$</w:t>
              <w:tab/>
              <w:t>1,448</w:t>
            </w:r>
          </w:p>
        </w:tc>
        <w:tc>
          <w:tcPr>
            <w:tcW w:w="200" w:type="dxa"/>
          </w:tcPr>
          <w:p>
            <w:pPr/>
          </w:p>
        </w:tc>
        <w:tc>
          <w:tcPr>
            <w:tcW w:w="1717" w:type="dxa"/>
            <w:tcBorders>
              <w:top w:val="single" w:sz="4" w:space="0" w:color="231F20"/>
            </w:tcBorders>
          </w:tcPr>
          <w:p>
            <w:pPr>
              <w:pStyle w:val="TableParagraph"/>
              <w:tabs>
                <w:tab w:pos="1098" w:val="left" w:leader="none"/>
              </w:tabs>
              <w:spacing w:before="53"/>
              <w:ind w:left="149"/>
              <w:jc w:val="left"/>
              <w:rPr>
                <w:sz w:val="20"/>
              </w:rPr>
            </w:pPr>
            <w:r>
              <w:rPr>
                <w:color w:val="231F20"/>
                <w:sz w:val="20"/>
              </w:rPr>
              <w:t>$</w:t>
              <w:tab/>
              <w:t>838</w:t>
            </w:r>
          </w:p>
        </w:tc>
        <w:tc>
          <w:tcPr>
            <w:tcW w:w="1767" w:type="dxa"/>
            <w:tcBorders>
              <w:top w:val="single" w:sz="4" w:space="0" w:color="231F20"/>
            </w:tcBorders>
          </w:tcPr>
          <w:p>
            <w:pPr>
              <w:pStyle w:val="TableParagraph"/>
              <w:tabs>
                <w:tab w:pos="1198" w:val="left" w:leader="none"/>
              </w:tabs>
              <w:spacing w:before="53"/>
              <w:ind w:left="249"/>
              <w:jc w:val="left"/>
              <w:rPr>
                <w:sz w:val="20"/>
              </w:rPr>
            </w:pPr>
            <w:r>
              <w:rPr>
                <w:color w:val="231F20"/>
                <w:sz w:val="20"/>
              </w:rPr>
              <w:t>$</w:t>
              <w:tab/>
              <w:t>839</w:t>
            </w:r>
          </w:p>
        </w:tc>
      </w:tr>
      <w:tr>
        <w:trPr>
          <w:trHeight w:val="239" w:hRule="exact"/>
        </w:trPr>
        <w:tc>
          <w:tcPr>
            <w:tcW w:w="5536" w:type="dxa"/>
          </w:tcPr>
          <w:p>
            <w:pPr>
              <w:pStyle w:val="TableParagraph"/>
              <w:tabs>
                <w:tab w:pos="5317" w:val="right" w:leader="none"/>
              </w:tabs>
              <w:spacing w:line="229" w:lineRule="exact"/>
              <w:ind w:left="50"/>
              <w:jc w:val="left"/>
              <w:rPr>
                <w:sz w:val="20"/>
              </w:rPr>
            </w:pPr>
            <w:r>
              <w:rPr>
                <w:color w:val="231F20"/>
                <w:sz w:val="20"/>
              </w:rPr>
              <w:t>Net adjustment for aircraft leases (2) . . . . .</w:t>
            </w:r>
            <w:r>
              <w:rPr>
                <w:color w:val="231F20"/>
                <w:spacing w:val="28"/>
                <w:sz w:val="20"/>
              </w:rPr>
              <w:t> </w:t>
            </w:r>
            <w:r>
              <w:rPr>
                <w:color w:val="231F20"/>
                <w:sz w:val="20"/>
              </w:rPr>
              <w:t>. .</w:t>
              <w:tab/>
              <w:t>143</w:t>
            </w:r>
          </w:p>
        </w:tc>
        <w:tc>
          <w:tcPr>
            <w:tcW w:w="200" w:type="dxa"/>
          </w:tcPr>
          <w:p>
            <w:pPr/>
          </w:p>
        </w:tc>
        <w:tc>
          <w:tcPr>
            <w:tcW w:w="1717" w:type="dxa"/>
          </w:tcPr>
          <w:p>
            <w:pPr>
              <w:pStyle w:val="TableParagraph"/>
              <w:spacing w:line="229" w:lineRule="exact"/>
              <w:ind w:left="1098"/>
              <w:jc w:val="left"/>
              <w:rPr>
                <w:sz w:val="20"/>
              </w:rPr>
            </w:pPr>
            <w:r>
              <w:rPr>
                <w:color w:val="231F20"/>
                <w:sz w:val="20"/>
              </w:rPr>
              <w:t>117</w:t>
            </w:r>
          </w:p>
        </w:tc>
        <w:tc>
          <w:tcPr>
            <w:tcW w:w="1767" w:type="dxa"/>
          </w:tcPr>
          <w:p>
            <w:pPr>
              <w:pStyle w:val="TableParagraph"/>
              <w:spacing w:line="229" w:lineRule="exact"/>
              <w:ind w:right="266"/>
              <w:rPr>
                <w:sz w:val="20"/>
              </w:rPr>
            </w:pPr>
            <w:r>
              <w:rPr>
                <w:color w:val="231F20"/>
                <w:sz w:val="20"/>
              </w:rPr>
              <w:t>129</w:t>
            </w:r>
          </w:p>
        </w:tc>
      </w:tr>
      <w:tr>
        <w:trPr>
          <w:trHeight w:val="261" w:hRule="exact"/>
        </w:trPr>
        <w:tc>
          <w:tcPr>
            <w:tcW w:w="5536" w:type="dxa"/>
            <w:tcBorders>
              <w:bottom w:val="single" w:sz="4" w:space="0" w:color="231F20"/>
            </w:tcBorders>
          </w:tcPr>
          <w:p>
            <w:pPr>
              <w:pStyle w:val="TableParagraph"/>
              <w:tabs>
                <w:tab w:pos="5050" w:val="left" w:leader="none"/>
              </w:tabs>
              <w:spacing w:line="229" w:lineRule="exact"/>
              <w:ind w:left="50"/>
              <w:jc w:val="left"/>
              <w:rPr>
                <w:sz w:val="20"/>
              </w:rPr>
            </w:pPr>
            <w:r>
              <w:rPr>
                <w:color w:val="231F20"/>
                <w:sz w:val="20"/>
              </w:rPr>
              <w:t>Adjustment for fuel hedge accounting  . . . .</w:t>
            </w:r>
            <w:r>
              <w:rPr>
                <w:color w:val="231F20"/>
                <w:spacing w:val="-16"/>
                <w:sz w:val="20"/>
              </w:rPr>
              <w:t> </w:t>
            </w:r>
            <w:r>
              <w:rPr>
                <w:color w:val="231F20"/>
                <w:sz w:val="20"/>
              </w:rPr>
              <w:t>. .</w:t>
              <w:tab/>
              <w:t>(60)</w:t>
            </w:r>
          </w:p>
        </w:tc>
        <w:tc>
          <w:tcPr>
            <w:tcW w:w="200" w:type="dxa"/>
          </w:tcPr>
          <w:p>
            <w:pPr/>
          </w:p>
        </w:tc>
        <w:tc>
          <w:tcPr>
            <w:tcW w:w="1717" w:type="dxa"/>
            <w:tcBorders>
              <w:bottom w:val="single" w:sz="4" w:space="0" w:color="231F20"/>
            </w:tcBorders>
          </w:tcPr>
          <w:p>
            <w:pPr>
              <w:pStyle w:val="TableParagraph"/>
              <w:spacing w:line="229" w:lineRule="exact"/>
              <w:ind w:left="1132"/>
              <w:jc w:val="left"/>
              <w:rPr>
                <w:sz w:val="20"/>
              </w:rPr>
            </w:pPr>
            <w:r>
              <w:rPr>
                <w:color w:val="231F20"/>
                <w:sz w:val="20"/>
              </w:rPr>
              <w:t>(36)</w:t>
            </w:r>
          </w:p>
        </w:tc>
        <w:tc>
          <w:tcPr>
            <w:tcW w:w="1767" w:type="dxa"/>
            <w:tcBorders>
              <w:bottom w:val="single" w:sz="4" w:space="0" w:color="231F20"/>
            </w:tcBorders>
          </w:tcPr>
          <w:p>
            <w:pPr>
              <w:pStyle w:val="TableParagraph"/>
              <w:spacing w:line="229" w:lineRule="exact"/>
              <w:ind w:left="1131"/>
              <w:jc w:val="left"/>
              <w:rPr>
                <w:sz w:val="20"/>
              </w:rPr>
            </w:pPr>
            <w:r>
              <w:rPr>
                <w:color w:val="231F20"/>
                <w:sz w:val="20"/>
              </w:rPr>
              <w:t>(107)</w:t>
            </w:r>
          </w:p>
        </w:tc>
      </w:tr>
      <w:tr>
        <w:trPr>
          <w:trHeight w:val="299" w:hRule="exact"/>
        </w:trPr>
        <w:tc>
          <w:tcPr>
            <w:tcW w:w="5536" w:type="dxa"/>
            <w:tcBorders>
              <w:top w:val="single" w:sz="4" w:space="0" w:color="231F20"/>
            </w:tcBorders>
          </w:tcPr>
          <w:p>
            <w:pPr>
              <w:pStyle w:val="TableParagraph"/>
              <w:spacing w:before="53"/>
              <w:ind w:left="50"/>
              <w:jc w:val="left"/>
              <w:rPr>
                <w:b/>
                <w:sz w:val="20"/>
              </w:rPr>
            </w:pPr>
            <w:r>
              <w:rPr>
                <w:b/>
                <w:color w:val="231F20"/>
                <w:sz w:val="20"/>
              </w:rPr>
              <w:t>Adjusted Operating Income,</w:t>
            </w:r>
          </w:p>
        </w:tc>
        <w:tc>
          <w:tcPr>
            <w:tcW w:w="200" w:type="dxa"/>
          </w:tcPr>
          <w:p>
            <w:pPr/>
          </w:p>
        </w:tc>
        <w:tc>
          <w:tcPr>
            <w:tcW w:w="1717" w:type="dxa"/>
            <w:tcBorders>
              <w:top w:val="single" w:sz="4" w:space="0" w:color="231F20"/>
            </w:tcBorders>
          </w:tcPr>
          <w:p>
            <w:pPr/>
          </w:p>
        </w:tc>
        <w:tc>
          <w:tcPr>
            <w:tcW w:w="1767" w:type="dxa"/>
            <w:tcBorders>
              <w:top w:val="single" w:sz="4" w:space="0" w:color="231F20"/>
            </w:tcBorders>
          </w:tcPr>
          <w:p>
            <w:pPr/>
          </w:p>
        </w:tc>
      </w:tr>
      <w:tr>
        <w:trPr>
          <w:trHeight w:val="240" w:hRule="exact"/>
        </w:trPr>
        <w:tc>
          <w:tcPr>
            <w:tcW w:w="5536" w:type="dxa"/>
          </w:tcPr>
          <w:p>
            <w:pPr>
              <w:pStyle w:val="TableParagraph"/>
              <w:tabs>
                <w:tab w:pos="4067" w:val="left" w:leader="none"/>
                <w:tab w:pos="4867" w:val="left" w:leader="none"/>
              </w:tabs>
              <w:spacing w:line="230" w:lineRule="exact"/>
              <w:ind w:left="250"/>
              <w:jc w:val="left"/>
              <w:rPr>
                <w:sz w:val="20"/>
              </w:rPr>
            </w:pPr>
            <w:r>
              <w:rPr>
                <w:b/>
                <w:color w:val="231F20"/>
                <w:sz w:val="20"/>
              </w:rPr>
              <w:t>non-GAAP </w:t>
            </w:r>
            <w:r>
              <w:rPr>
                <w:color w:val="231F20"/>
                <w:sz w:val="20"/>
              </w:rPr>
              <w:t>. . . . . . . . . . . . . . . . . . . . . . .</w:t>
            </w:r>
            <w:r>
              <w:rPr>
                <w:color w:val="231F20"/>
                <w:spacing w:val="12"/>
                <w:sz w:val="20"/>
              </w:rPr>
              <w:t> </w:t>
            </w:r>
            <w:r>
              <w:rPr>
                <w:color w:val="231F20"/>
                <w:sz w:val="20"/>
              </w:rPr>
              <w:t>. .</w:t>
              <w:tab/>
              <w:t>$</w:t>
              <w:tab/>
              <w:t>1,531</w:t>
            </w:r>
          </w:p>
        </w:tc>
        <w:tc>
          <w:tcPr>
            <w:tcW w:w="200" w:type="dxa"/>
          </w:tcPr>
          <w:p>
            <w:pPr/>
          </w:p>
        </w:tc>
        <w:tc>
          <w:tcPr>
            <w:tcW w:w="1717" w:type="dxa"/>
          </w:tcPr>
          <w:p>
            <w:pPr>
              <w:pStyle w:val="TableParagraph"/>
              <w:tabs>
                <w:tab w:pos="1098" w:val="left" w:leader="none"/>
              </w:tabs>
              <w:spacing w:line="230" w:lineRule="exact"/>
              <w:ind w:left="149"/>
              <w:jc w:val="left"/>
              <w:rPr>
                <w:sz w:val="20"/>
              </w:rPr>
            </w:pPr>
            <w:r>
              <w:rPr>
                <w:color w:val="231F20"/>
                <w:sz w:val="20"/>
              </w:rPr>
              <w:t>$</w:t>
              <w:tab/>
              <w:t>919</w:t>
            </w:r>
          </w:p>
        </w:tc>
        <w:tc>
          <w:tcPr>
            <w:tcW w:w="1767" w:type="dxa"/>
          </w:tcPr>
          <w:p>
            <w:pPr>
              <w:pStyle w:val="TableParagraph"/>
              <w:tabs>
                <w:tab w:pos="1198" w:val="left" w:leader="none"/>
              </w:tabs>
              <w:spacing w:line="230" w:lineRule="exact"/>
              <w:ind w:left="249"/>
              <w:jc w:val="left"/>
              <w:rPr>
                <w:sz w:val="20"/>
              </w:rPr>
            </w:pPr>
            <w:r>
              <w:rPr>
                <w:color w:val="231F20"/>
                <w:sz w:val="20"/>
              </w:rPr>
              <w:t>$</w:t>
              <w:tab/>
              <w:t>861</w:t>
            </w:r>
          </w:p>
        </w:tc>
      </w:tr>
      <w:tr>
        <w:trPr>
          <w:trHeight w:val="241" w:hRule="exact"/>
        </w:trPr>
        <w:tc>
          <w:tcPr>
            <w:tcW w:w="5536" w:type="dxa"/>
          </w:tcPr>
          <w:p>
            <w:pPr>
              <w:pStyle w:val="TableParagraph"/>
              <w:tabs>
                <w:tab w:pos="4067" w:val="left" w:leader="none"/>
                <w:tab w:pos="4767" w:val="left" w:leader="none"/>
              </w:tabs>
              <w:spacing w:line="230" w:lineRule="exact"/>
              <w:ind w:left="50"/>
              <w:jc w:val="left"/>
              <w:rPr>
                <w:sz w:val="20"/>
              </w:rPr>
            </w:pPr>
            <w:r>
              <w:rPr>
                <w:b/>
                <w:color w:val="231F20"/>
                <w:sz w:val="20"/>
              </w:rPr>
              <w:t>Average invested capital (3)   </w:t>
            </w:r>
            <w:r>
              <w:rPr>
                <w:color w:val="231F20"/>
                <w:sz w:val="20"/>
              </w:rPr>
              <w:t>. . . . . . . . . .</w:t>
            </w:r>
            <w:r>
              <w:rPr>
                <w:color w:val="231F20"/>
                <w:spacing w:val="-4"/>
                <w:sz w:val="20"/>
              </w:rPr>
              <w:t> </w:t>
            </w:r>
            <w:r>
              <w:rPr>
                <w:color w:val="231F20"/>
                <w:sz w:val="20"/>
              </w:rPr>
              <w:t>. .</w:t>
              <w:tab/>
              <w:t>$</w:t>
              <w:tab/>
              <w:t>11,664</w:t>
            </w:r>
          </w:p>
        </w:tc>
        <w:tc>
          <w:tcPr>
            <w:tcW w:w="200" w:type="dxa"/>
          </w:tcPr>
          <w:p>
            <w:pPr/>
          </w:p>
        </w:tc>
        <w:tc>
          <w:tcPr>
            <w:tcW w:w="1717" w:type="dxa"/>
          </w:tcPr>
          <w:p>
            <w:pPr>
              <w:pStyle w:val="TableParagraph"/>
              <w:tabs>
                <w:tab w:pos="848" w:val="left" w:leader="none"/>
              </w:tabs>
              <w:spacing w:line="230" w:lineRule="exact"/>
              <w:ind w:left="149"/>
              <w:jc w:val="left"/>
              <w:rPr>
                <w:sz w:val="20"/>
              </w:rPr>
            </w:pPr>
            <w:r>
              <w:rPr>
                <w:color w:val="231F20"/>
                <w:sz w:val="20"/>
              </w:rPr>
              <w:t>$</w:t>
              <w:tab/>
              <w:t>12,575</w:t>
            </w:r>
          </w:p>
        </w:tc>
        <w:tc>
          <w:tcPr>
            <w:tcW w:w="1767" w:type="dxa"/>
          </w:tcPr>
          <w:p>
            <w:pPr>
              <w:pStyle w:val="TableParagraph"/>
              <w:tabs>
                <w:tab w:pos="948" w:val="left" w:leader="none"/>
              </w:tabs>
              <w:spacing w:line="230" w:lineRule="exact"/>
              <w:ind w:left="249"/>
              <w:jc w:val="left"/>
              <w:rPr>
                <w:sz w:val="20"/>
              </w:rPr>
            </w:pPr>
            <w:r>
              <w:rPr>
                <w:color w:val="231F20"/>
                <w:sz w:val="20"/>
              </w:rPr>
              <w:t>$</w:t>
              <w:tab/>
              <w:t>12,439</w:t>
            </w:r>
          </w:p>
        </w:tc>
      </w:tr>
      <w:tr>
        <w:trPr>
          <w:trHeight w:val="260" w:hRule="exact"/>
        </w:trPr>
        <w:tc>
          <w:tcPr>
            <w:tcW w:w="5536" w:type="dxa"/>
            <w:tcBorders>
              <w:bottom w:val="single" w:sz="4" w:space="0" w:color="231F20"/>
            </w:tcBorders>
          </w:tcPr>
          <w:p>
            <w:pPr>
              <w:pStyle w:val="TableParagraph"/>
              <w:tabs>
                <w:tab w:pos="5317" w:val="right" w:leader="none"/>
              </w:tabs>
              <w:spacing w:line="229" w:lineRule="exact"/>
              <w:ind w:left="50"/>
              <w:jc w:val="left"/>
              <w:rPr>
                <w:sz w:val="20"/>
              </w:rPr>
            </w:pPr>
            <w:r>
              <w:rPr>
                <w:color w:val="231F20"/>
                <w:sz w:val="20"/>
              </w:rPr>
              <w:t>Equity adjustment for hedge accounting  . .</w:t>
            </w:r>
            <w:r>
              <w:rPr>
                <w:color w:val="231F20"/>
                <w:spacing w:val="17"/>
                <w:sz w:val="20"/>
              </w:rPr>
              <w:t> </w:t>
            </w:r>
            <w:r>
              <w:rPr>
                <w:color w:val="231F20"/>
                <w:sz w:val="20"/>
              </w:rPr>
              <w:t>. .</w:t>
              <w:tab/>
              <w:t>50</w:t>
            </w:r>
          </w:p>
        </w:tc>
        <w:tc>
          <w:tcPr>
            <w:tcW w:w="200" w:type="dxa"/>
          </w:tcPr>
          <w:p>
            <w:pPr/>
          </w:p>
        </w:tc>
        <w:tc>
          <w:tcPr>
            <w:tcW w:w="1717" w:type="dxa"/>
            <w:tcBorders>
              <w:bottom w:val="single" w:sz="4" w:space="0" w:color="231F20"/>
            </w:tcBorders>
          </w:tcPr>
          <w:p>
            <w:pPr>
              <w:pStyle w:val="TableParagraph"/>
              <w:spacing w:line="229" w:lineRule="exact"/>
              <w:ind w:left="1098"/>
              <w:jc w:val="left"/>
              <w:rPr>
                <w:sz w:val="20"/>
              </w:rPr>
            </w:pPr>
            <w:r>
              <w:rPr>
                <w:color w:val="231F20"/>
                <w:sz w:val="20"/>
              </w:rPr>
              <w:t>145</w:t>
            </w:r>
          </w:p>
        </w:tc>
        <w:tc>
          <w:tcPr>
            <w:tcW w:w="1767" w:type="dxa"/>
            <w:tcBorders>
              <w:bottom w:val="single" w:sz="4" w:space="0" w:color="231F20"/>
            </w:tcBorders>
          </w:tcPr>
          <w:p>
            <w:pPr>
              <w:pStyle w:val="TableParagraph"/>
              <w:spacing w:line="229" w:lineRule="exact"/>
              <w:ind w:right="266"/>
              <w:rPr>
                <w:sz w:val="20"/>
              </w:rPr>
            </w:pPr>
            <w:r>
              <w:rPr>
                <w:color w:val="231F20"/>
                <w:sz w:val="20"/>
              </w:rPr>
              <w:t>184</w:t>
            </w:r>
          </w:p>
        </w:tc>
      </w:tr>
      <w:tr>
        <w:trPr>
          <w:trHeight w:val="359" w:hRule="exact"/>
        </w:trPr>
        <w:tc>
          <w:tcPr>
            <w:tcW w:w="5536" w:type="dxa"/>
            <w:tcBorders>
              <w:top w:val="single" w:sz="4" w:space="0" w:color="231F20"/>
            </w:tcBorders>
          </w:tcPr>
          <w:p>
            <w:pPr>
              <w:pStyle w:val="TableParagraph"/>
              <w:tabs>
                <w:tab w:pos="4067" w:val="left" w:leader="none"/>
                <w:tab w:pos="4767" w:val="left" w:leader="none"/>
              </w:tabs>
              <w:spacing w:before="53"/>
              <w:ind w:left="50"/>
              <w:jc w:val="left"/>
              <w:rPr>
                <w:sz w:val="20"/>
              </w:rPr>
            </w:pPr>
            <w:r>
              <w:rPr>
                <w:b/>
                <w:color w:val="231F20"/>
                <w:sz w:val="20"/>
              </w:rPr>
              <w:t>Adjusted average invested capital   </w:t>
            </w:r>
            <w:r>
              <w:rPr>
                <w:color w:val="231F20"/>
                <w:sz w:val="20"/>
              </w:rPr>
              <w:t>. . . . .</w:t>
            </w:r>
            <w:r>
              <w:rPr>
                <w:color w:val="231F20"/>
                <w:spacing w:val="-4"/>
                <w:sz w:val="20"/>
              </w:rPr>
              <w:t> </w:t>
            </w:r>
            <w:r>
              <w:rPr>
                <w:color w:val="231F20"/>
                <w:sz w:val="20"/>
              </w:rPr>
              <w:t>. .</w:t>
              <w:tab/>
              <w:t>$</w:t>
              <w:tab/>
              <w:t>11,714</w:t>
            </w:r>
          </w:p>
        </w:tc>
        <w:tc>
          <w:tcPr>
            <w:tcW w:w="200" w:type="dxa"/>
          </w:tcPr>
          <w:p>
            <w:pPr/>
          </w:p>
        </w:tc>
        <w:tc>
          <w:tcPr>
            <w:tcW w:w="1717" w:type="dxa"/>
            <w:tcBorders>
              <w:top w:val="single" w:sz="4" w:space="0" w:color="231F20"/>
            </w:tcBorders>
          </w:tcPr>
          <w:p>
            <w:pPr>
              <w:pStyle w:val="TableParagraph"/>
              <w:tabs>
                <w:tab w:pos="848" w:val="left" w:leader="none"/>
              </w:tabs>
              <w:spacing w:before="53"/>
              <w:ind w:left="149"/>
              <w:jc w:val="left"/>
              <w:rPr>
                <w:sz w:val="20"/>
              </w:rPr>
            </w:pPr>
            <w:r>
              <w:rPr>
                <w:color w:val="231F20"/>
                <w:sz w:val="20"/>
              </w:rPr>
              <w:t>$</w:t>
              <w:tab/>
              <w:t>12,720</w:t>
            </w:r>
          </w:p>
        </w:tc>
        <w:tc>
          <w:tcPr>
            <w:tcW w:w="1767" w:type="dxa"/>
            <w:tcBorders>
              <w:top w:val="single" w:sz="4" w:space="0" w:color="231F20"/>
            </w:tcBorders>
          </w:tcPr>
          <w:p>
            <w:pPr>
              <w:pStyle w:val="TableParagraph"/>
              <w:tabs>
                <w:tab w:pos="948" w:val="left" w:leader="none"/>
              </w:tabs>
              <w:spacing w:before="53"/>
              <w:ind w:left="249"/>
              <w:jc w:val="left"/>
              <w:rPr>
                <w:sz w:val="20"/>
              </w:rPr>
            </w:pPr>
            <w:r>
              <w:rPr>
                <w:color w:val="231F20"/>
                <w:sz w:val="20"/>
              </w:rPr>
              <w:t>$</w:t>
              <w:tab/>
              <w:t>12,623</w:t>
            </w:r>
          </w:p>
        </w:tc>
      </w:tr>
      <w:tr>
        <w:trPr>
          <w:trHeight w:val="401" w:hRule="exact"/>
        </w:trPr>
        <w:tc>
          <w:tcPr>
            <w:tcW w:w="5536" w:type="dxa"/>
          </w:tcPr>
          <w:p>
            <w:pPr>
              <w:pStyle w:val="TableParagraph"/>
              <w:tabs>
                <w:tab w:pos="4967" w:val="left" w:leader="none"/>
              </w:tabs>
              <w:spacing w:before="59"/>
              <w:ind w:left="50"/>
              <w:jc w:val="left"/>
              <w:rPr>
                <w:sz w:val="20"/>
              </w:rPr>
            </w:pPr>
            <w:r>
              <w:rPr>
                <w:b/>
                <w:color w:val="231F20"/>
                <w:sz w:val="20"/>
              </w:rPr>
              <w:t>ROIC, pre-tax </w:t>
            </w:r>
            <w:r>
              <w:rPr>
                <w:color w:val="231F20"/>
                <w:sz w:val="20"/>
              </w:rPr>
              <w:t>. . . . . . . . . . . . . . . . . . . . . .</w:t>
            </w:r>
            <w:r>
              <w:rPr>
                <w:color w:val="231F20"/>
                <w:spacing w:val="23"/>
                <w:sz w:val="20"/>
              </w:rPr>
              <w:t> </w:t>
            </w:r>
            <w:r>
              <w:rPr>
                <w:color w:val="231F20"/>
                <w:sz w:val="20"/>
              </w:rPr>
              <w:t>. .</w:t>
              <w:tab/>
              <w:t>13.1%</w:t>
            </w:r>
          </w:p>
        </w:tc>
        <w:tc>
          <w:tcPr>
            <w:tcW w:w="200" w:type="dxa"/>
          </w:tcPr>
          <w:p>
            <w:pPr/>
          </w:p>
        </w:tc>
        <w:tc>
          <w:tcPr>
            <w:tcW w:w="1717" w:type="dxa"/>
          </w:tcPr>
          <w:p>
            <w:pPr>
              <w:pStyle w:val="TableParagraph"/>
              <w:spacing w:before="59"/>
              <w:ind w:right="149"/>
              <w:rPr>
                <w:sz w:val="20"/>
              </w:rPr>
            </w:pPr>
            <w:r>
              <w:rPr>
                <w:color w:val="231F20"/>
                <w:sz w:val="20"/>
              </w:rPr>
              <w:t>7.2%</w:t>
            </w:r>
          </w:p>
        </w:tc>
        <w:tc>
          <w:tcPr>
            <w:tcW w:w="1767" w:type="dxa"/>
          </w:tcPr>
          <w:p>
            <w:pPr>
              <w:pStyle w:val="TableParagraph"/>
              <w:spacing w:before="59"/>
              <w:ind w:right="99"/>
              <w:rPr>
                <w:sz w:val="20"/>
              </w:rPr>
            </w:pPr>
            <w:r>
              <w:rPr>
                <w:color w:val="231F20"/>
                <w:sz w:val="20"/>
              </w:rPr>
              <w:t>6.8%</w:t>
            </w:r>
          </w:p>
        </w:tc>
      </w:tr>
    </w:tbl>
    <w:p>
      <w:pPr>
        <w:pStyle w:val="ListParagraph"/>
        <w:numPr>
          <w:ilvl w:val="0"/>
          <w:numId w:val="7"/>
        </w:numPr>
        <w:tabs>
          <w:tab w:pos="560" w:val="left" w:leader="none"/>
        </w:tabs>
        <w:spacing w:line="240" w:lineRule="auto" w:before="50" w:after="0"/>
        <w:ind w:left="560" w:right="0" w:hanging="400"/>
        <w:jc w:val="left"/>
        <w:rPr>
          <w:sz w:val="20"/>
        </w:rPr>
      </w:pPr>
      <w:r>
        <w:rPr>
          <w:color w:val="231F20"/>
          <w:sz w:val="20"/>
        </w:rPr>
        <w:t>Net of profitsharing</w:t>
      </w:r>
      <w:r>
        <w:rPr>
          <w:color w:val="231F20"/>
          <w:spacing w:val="2"/>
          <w:sz w:val="20"/>
        </w:rPr>
        <w:t> </w:t>
      </w:r>
      <w:r>
        <w:rPr>
          <w:color w:val="231F20"/>
          <w:sz w:val="20"/>
        </w:rPr>
        <w:t>impact</w:t>
      </w:r>
    </w:p>
    <w:p>
      <w:pPr>
        <w:pStyle w:val="ListParagraph"/>
        <w:numPr>
          <w:ilvl w:val="0"/>
          <w:numId w:val="7"/>
        </w:numPr>
        <w:tabs>
          <w:tab w:pos="560" w:val="left" w:leader="none"/>
        </w:tabs>
        <w:spacing w:line="249" w:lineRule="auto" w:before="9" w:after="0"/>
        <w:ind w:left="560" w:right="600" w:hanging="40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0"/>
          <w:numId w:val="7"/>
        </w:numPr>
        <w:tabs>
          <w:tab w:pos="560" w:val="left" w:leader="none"/>
        </w:tabs>
        <w:spacing w:line="249" w:lineRule="auto" w:before="0" w:after="0"/>
        <w:ind w:left="560" w:right="407" w:hanging="400"/>
        <w:jc w:val="left"/>
        <w:rPr>
          <w:sz w:val="20"/>
        </w:rPr>
      </w:pPr>
      <w:r>
        <w:rPr>
          <w:color w:val="231F20"/>
          <w:sz w:val="20"/>
        </w:rPr>
        <w:t>Average invested capital represents a five quarter average of debt, net present value of aircraft leases, and equity.</w:t>
      </w:r>
    </w:p>
    <w:p>
      <w:pPr>
        <w:pStyle w:val="Heading3"/>
        <w:spacing w:before="169"/>
        <w:ind w:left="160"/>
      </w:pPr>
      <w:r>
        <w:rPr>
          <w:color w:val="231F20"/>
        </w:rPr>
        <w:t>Note Regarding Use of Non-GAAP Financial Measures</w:t>
      </w:r>
    </w:p>
    <w:p>
      <w:pPr>
        <w:pStyle w:val="BodyText"/>
        <w:spacing w:line="249" w:lineRule="auto" w:before="178"/>
        <w:ind w:left="160" w:right="289" w:firstLine="490"/>
      </w:pPr>
      <w:r>
        <w:rPr>
          <w:color w:val="231F20"/>
        </w:rPr>
        <w:t>The Company’s Consolidated Financial Statements are prepared in accordance with accounting principles generally accepted in the United States (GAAP). These GAAP financial statements include (i) unrealized non- cash adjustments and reclassifications, which can be significant, as a result of accounting requirements and elections made under accounting pronouncements relating to derivative instruments and hedging and (ii) other charges the Company believes are not indicative of its ongoing operational performance.</w:t>
      </w:r>
    </w:p>
    <w:p>
      <w:pPr>
        <w:pStyle w:val="BodyText"/>
        <w:spacing w:line="249" w:lineRule="auto" w:before="169"/>
        <w:ind w:left="160" w:right="147" w:firstLine="490"/>
      </w:pPr>
      <w:r>
        <w:rPr>
          <w:color w:val="231F20"/>
        </w:rPr>
        <w:t>As</w:t>
      </w:r>
      <w:r>
        <w:rPr>
          <w:color w:val="231F20"/>
          <w:spacing w:val="-13"/>
        </w:rPr>
        <w:t> </w:t>
      </w:r>
      <w:r>
        <w:rPr>
          <w:color w:val="231F20"/>
        </w:rPr>
        <w:t>a</w:t>
      </w:r>
      <w:r>
        <w:rPr>
          <w:color w:val="231F20"/>
          <w:spacing w:val="-13"/>
        </w:rPr>
        <w:t> </w:t>
      </w:r>
      <w:r>
        <w:rPr>
          <w:color w:val="231F20"/>
        </w:rPr>
        <w:t>result,</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also</w:t>
      </w:r>
      <w:r>
        <w:rPr>
          <w:color w:val="231F20"/>
          <w:spacing w:val="-13"/>
        </w:rPr>
        <w:t> </w:t>
      </w:r>
      <w:r>
        <w:rPr>
          <w:color w:val="231F20"/>
        </w:rPr>
        <w:t>provides</w:t>
      </w:r>
      <w:r>
        <w:rPr>
          <w:color w:val="231F20"/>
          <w:spacing w:val="-13"/>
        </w:rPr>
        <w:t> </w:t>
      </w:r>
      <w:r>
        <w:rPr>
          <w:color w:val="231F20"/>
        </w:rPr>
        <w:t>financial</w:t>
      </w:r>
      <w:r>
        <w:rPr>
          <w:color w:val="231F20"/>
          <w:spacing w:val="-13"/>
        </w:rPr>
        <w:t> </w:t>
      </w:r>
      <w:r>
        <w:rPr>
          <w:color w:val="231F20"/>
        </w:rPr>
        <w:t>information</w:t>
      </w:r>
      <w:r>
        <w:rPr>
          <w:color w:val="231F20"/>
          <w:spacing w:val="-13"/>
        </w:rPr>
        <w:t> </w:t>
      </w:r>
      <w:r>
        <w:rPr>
          <w:color w:val="231F20"/>
        </w:rPr>
        <w:t>in</w:t>
      </w:r>
      <w:r>
        <w:rPr>
          <w:color w:val="231F20"/>
          <w:spacing w:val="-13"/>
        </w:rPr>
        <w:t> </w:t>
      </w:r>
      <w:r>
        <w:rPr>
          <w:color w:val="231F20"/>
        </w:rPr>
        <w:t>this</w:t>
      </w:r>
      <w:r>
        <w:rPr>
          <w:color w:val="231F20"/>
          <w:spacing w:val="-13"/>
        </w:rPr>
        <w:t> </w:t>
      </w:r>
      <w:r>
        <w:rPr>
          <w:color w:val="231F20"/>
        </w:rPr>
        <w:t>filing</w:t>
      </w:r>
      <w:r>
        <w:rPr>
          <w:color w:val="231F20"/>
          <w:spacing w:val="-13"/>
        </w:rPr>
        <w:t> </w:t>
      </w:r>
      <w:r>
        <w:rPr>
          <w:color w:val="231F20"/>
        </w:rPr>
        <w:t>that</w:t>
      </w:r>
      <w:r>
        <w:rPr>
          <w:color w:val="231F20"/>
          <w:spacing w:val="-13"/>
        </w:rPr>
        <w:t> </w:t>
      </w:r>
      <w:r>
        <w:rPr>
          <w:color w:val="231F20"/>
        </w:rPr>
        <w:t>was</w:t>
      </w:r>
      <w:r>
        <w:rPr>
          <w:color w:val="231F20"/>
          <w:spacing w:val="-13"/>
        </w:rPr>
        <w:t> </w:t>
      </w:r>
      <w:r>
        <w:rPr>
          <w:color w:val="231F20"/>
        </w:rPr>
        <w:t>not</w:t>
      </w:r>
      <w:r>
        <w:rPr>
          <w:color w:val="231F20"/>
          <w:spacing w:val="-13"/>
        </w:rPr>
        <w:t> </w:t>
      </w:r>
      <w:r>
        <w:rPr>
          <w:color w:val="231F20"/>
        </w:rPr>
        <w:t>prepared</w:t>
      </w:r>
      <w:r>
        <w:rPr>
          <w:color w:val="231F20"/>
          <w:spacing w:val="-13"/>
        </w:rPr>
        <w:t> </w:t>
      </w:r>
      <w:r>
        <w:rPr>
          <w:color w:val="231F20"/>
        </w:rPr>
        <w:t>in</w:t>
      </w:r>
      <w:r>
        <w:rPr>
          <w:color w:val="231F20"/>
          <w:spacing w:val="-13"/>
        </w:rPr>
        <w:t> </w:t>
      </w:r>
      <w:r>
        <w:rPr>
          <w:color w:val="231F20"/>
        </w:rPr>
        <w:t>accordance with</w:t>
      </w:r>
      <w:r>
        <w:rPr>
          <w:color w:val="231F20"/>
          <w:spacing w:val="-12"/>
        </w:rPr>
        <w:t> </w:t>
      </w:r>
      <w:r>
        <w:rPr>
          <w:color w:val="231F20"/>
        </w:rPr>
        <w:t>GAAP</w:t>
      </w:r>
      <w:r>
        <w:rPr>
          <w:color w:val="231F20"/>
          <w:spacing w:val="-12"/>
        </w:rPr>
        <w:t> </w:t>
      </w:r>
      <w:r>
        <w:rPr>
          <w:color w:val="231F20"/>
        </w:rPr>
        <w:t>and</w:t>
      </w:r>
      <w:r>
        <w:rPr>
          <w:color w:val="231F20"/>
          <w:spacing w:val="-12"/>
        </w:rPr>
        <w:t> </w:t>
      </w:r>
      <w:r>
        <w:rPr>
          <w:color w:val="231F20"/>
        </w:rPr>
        <w:t>should</w:t>
      </w:r>
      <w:r>
        <w:rPr>
          <w:color w:val="231F20"/>
          <w:spacing w:val="-12"/>
        </w:rPr>
        <w:t> </w:t>
      </w:r>
      <w:r>
        <w:rPr>
          <w:color w:val="231F20"/>
        </w:rPr>
        <w:t>not</w:t>
      </w:r>
      <w:r>
        <w:rPr>
          <w:color w:val="231F20"/>
          <w:spacing w:val="-11"/>
        </w:rPr>
        <w:t> </w:t>
      </w:r>
      <w:r>
        <w:rPr>
          <w:color w:val="231F20"/>
        </w:rPr>
        <w:t>be</w:t>
      </w:r>
      <w:r>
        <w:rPr>
          <w:color w:val="231F20"/>
          <w:spacing w:val="-11"/>
        </w:rPr>
        <w:t> </w:t>
      </w:r>
      <w:r>
        <w:rPr>
          <w:color w:val="231F20"/>
        </w:rPr>
        <w:t>considered</w:t>
      </w:r>
      <w:r>
        <w:rPr>
          <w:color w:val="231F20"/>
          <w:spacing w:val="-12"/>
        </w:rPr>
        <w:t> </w:t>
      </w:r>
      <w:r>
        <w:rPr>
          <w:color w:val="231F20"/>
        </w:rPr>
        <w:t>as</w:t>
      </w:r>
      <w:r>
        <w:rPr>
          <w:color w:val="231F20"/>
          <w:spacing w:val="-11"/>
        </w:rPr>
        <w:t> </w:t>
      </w:r>
      <w:r>
        <w:rPr>
          <w:color w:val="231F20"/>
        </w:rPr>
        <w:t>an</w:t>
      </w:r>
      <w:r>
        <w:rPr>
          <w:color w:val="231F20"/>
          <w:spacing w:val="-12"/>
        </w:rPr>
        <w:t> </w:t>
      </w:r>
      <w:r>
        <w:rPr>
          <w:color w:val="231F20"/>
        </w:rPr>
        <w:t>alternative</w:t>
      </w:r>
      <w:r>
        <w:rPr>
          <w:color w:val="231F20"/>
          <w:spacing w:val="-11"/>
        </w:rPr>
        <w:t> </w:t>
      </w:r>
      <w:r>
        <w:rPr>
          <w:color w:val="231F20"/>
        </w:rPr>
        <w:t>to</w:t>
      </w:r>
      <w:r>
        <w:rPr>
          <w:color w:val="231F20"/>
          <w:spacing w:val="-12"/>
        </w:rPr>
        <w:t> </w:t>
      </w:r>
      <w:r>
        <w:rPr>
          <w:color w:val="231F20"/>
        </w:rPr>
        <w:t>the</w:t>
      </w:r>
      <w:r>
        <w:rPr>
          <w:color w:val="231F20"/>
          <w:spacing w:val="-11"/>
        </w:rPr>
        <w:t> </w:t>
      </w:r>
      <w:r>
        <w:rPr>
          <w:color w:val="231F20"/>
        </w:rPr>
        <w:t>information</w:t>
      </w:r>
      <w:r>
        <w:rPr>
          <w:color w:val="231F20"/>
          <w:spacing w:val="-12"/>
        </w:rPr>
        <w:t> </w:t>
      </w:r>
      <w:r>
        <w:rPr>
          <w:color w:val="231F20"/>
        </w:rPr>
        <w:t>prepared</w:t>
      </w:r>
      <w:r>
        <w:rPr>
          <w:color w:val="231F20"/>
          <w:spacing w:val="-12"/>
        </w:rPr>
        <w:t> </w:t>
      </w:r>
      <w:r>
        <w:rPr>
          <w:color w:val="231F20"/>
        </w:rPr>
        <w:t>in</w:t>
      </w:r>
      <w:r>
        <w:rPr>
          <w:color w:val="231F20"/>
          <w:spacing w:val="-12"/>
        </w:rPr>
        <w:t> </w:t>
      </w:r>
      <w:r>
        <w:rPr>
          <w:color w:val="231F20"/>
        </w:rPr>
        <w:t>accordance</w:t>
      </w:r>
      <w:r>
        <w:rPr>
          <w:color w:val="231F20"/>
          <w:spacing w:val="-11"/>
        </w:rPr>
        <w:t> </w:t>
      </w:r>
      <w:r>
        <w:rPr>
          <w:color w:val="231F20"/>
        </w:rPr>
        <w:t>with</w:t>
      </w:r>
      <w:r>
        <w:rPr>
          <w:color w:val="231F20"/>
          <w:spacing w:val="-12"/>
        </w:rPr>
        <w:t> </w:t>
      </w:r>
      <w:r>
        <w:rPr>
          <w:color w:val="231F20"/>
        </w:rPr>
        <w:t>GAAP. The Company provides supplemental non-GAAP financial information, including results that it refers to as “economic,” which the Company’s management utilizes to evaluate its ongoing financial performance and </w:t>
      </w:r>
      <w:r>
        <w:rPr>
          <w:color w:val="231F20"/>
          <w:spacing w:val="-2"/>
        </w:rPr>
        <w:t>the </w:t>
      </w:r>
      <w:r>
        <w:rPr>
          <w:color w:val="231F20"/>
        </w:rPr>
        <w:t>Company</w:t>
      </w:r>
      <w:r>
        <w:rPr>
          <w:color w:val="231F20"/>
          <w:spacing w:val="-14"/>
        </w:rPr>
        <w:t> </w:t>
      </w:r>
      <w:r>
        <w:rPr>
          <w:color w:val="231F20"/>
        </w:rPr>
        <w:t>believes</w:t>
      </w:r>
      <w:r>
        <w:rPr>
          <w:color w:val="231F20"/>
          <w:spacing w:val="-14"/>
        </w:rPr>
        <w:t> </w:t>
      </w:r>
      <w:r>
        <w:rPr>
          <w:color w:val="231F20"/>
        </w:rPr>
        <w:t>provides</w:t>
      </w:r>
      <w:r>
        <w:rPr>
          <w:color w:val="231F20"/>
          <w:spacing w:val="-14"/>
        </w:rPr>
        <w:t> </w:t>
      </w:r>
      <w:r>
        <w:rPr>
          <w:color w:val="231F20"/>
        </w:rPr>
        <w:t>greater</w:t>
      </w:r>
      <w:r>
        <w:rPr>
          <w:color w:val="231F20"/>
          <w:spacing w:val="-14"/>
        </w:rPr>
        <w:t> </w:t>
      </w:r>
      <w:r>
        <w:rPr>
          <w:color w:val="231F20"/>
        </w:rPr>
        <w:t>transparency</w:t>
      </w:r>
      <w:r>
        <w:rPr>
          <w:color w:val="231F20"/>
          <w:spacing w:val="-15"/>
        </w:rPr>
        <w:t> </w:t>
      </w:r>
      <w:r>
        <w:rPr>
          <w:color w:val="231F20"/>
        </w:rPr>
        <w:t>to</w:t>
      </w:r>
      <w:r>
        <w:rPr>
          <w:color w:val="231F20"/>
          <w:spacing w:val="-15"/>
        </w:rPr>
        <w:t> </w:t>
      </w:r>
      <w:r>
        <w:rPr>
          <w:color w:val="231F20"/>
        </w:rPr>
        <w:t>investors</w:t>
      </w:r>
      <w:r>
        <w:rPr>
          <w:color w:val="231F20"/>
          <w:spacing w:val="-14"/>
        </w:rPr>
        <w:t> </w:t>
      </w:r>
      <w:r>
        <w:rPr>
          <w:color w:val="231F20"/>
        </w:rPr>
        <w:t>as</w:t>
      </w:r>
      <w:r>
        <w:rPr>
          <w:color w:val="231F20"/>
          <w:spacing w:val="-14"/>
        </w:rPr>
        <w:t> </w:t>
      </w:r>
      <w:r>
        <w:rPr>
          <w:color w:val="231F20"/>
        </w:rPr>
        <w:t>supplemental</w:t>
      </w:r>
      <w:r>
        <w:rPr>
          <w:color w:val="231F20"/>
          <w:spacing w:val="-14"/>
        </w:rPr>
        <w:t> </w:t>
      </w:r>
      <w:r>
        <w:rPr>
          <w:color w:val="231F20"/>
        </w:rPr>
        <w:t>information</w:t>
      </w:r>
      <w:r>
        <w:rPr>
          <w:color w:val="231F20"/>
          <w:spacing w:val="-14"/>
        </w:rPr>
        <w:t> </w:t>
      </w:r>
      <w:r>
        <w:rPr>
          <w:color w:val="231F20"/>
        </w:rPr>
        <w:t>to</w:t>
      </w:r>
      <w:r>
        <w:rPr>
          <w:color w:val="231F20"/>
          <w:spacing w:val="-15"/>
        </w:rPr>
        <w:t> </w:t>
      </w:r>
      <w:r>
        <w:rPr>
          <w:color w:val="231F20"/>
        </w:rPr>
        <w:t>its</w:t>
      </w:r>
      <w:r>
        <w:rPr>
          <w:color w:val="231F20"/>
          <w:spacing w:val="-14"/>
        </w:rPr>
        <w:t> </w:t>
      </w:r>
      <w:r>
        <w:rPr>
          <w:color w:val="231F20"/>
        </w:rPr>
        <w:t>GAAP</w:t>
      </w:r>
      <w:r>
        <w:rPr>
          <w:color w:val="231F20"/>
          <w:spacing w:val="-15"/>
        </w:rPr>
        <w:t> </w:t>
      </w:r>
      <w:r>
        <w:rPr>
          <w:color w:val="231F20"/>
        </w:rPr>
        <w:t>results.</w:t>
      </w:r>
      <w:r>
        <w:rPr>
          <w:color w:val="231F20"/>
          <w:spacing w:val="-15"/>
        </w:rPr>
        <w:t> </w:t>
      </w:r>
      <w:r>
        <w:rPr>
          <w:color w:val="231F20"/>
          <w:spacing w:val="-2"/>
        </w:rPr>
        <w:t>The </w:t>
      </w:r>
      <w:r>
        <w:rPr>
          <w:color w:val="231F20"/>
        </w:rPr>
        <w:t>Company’s economic financial results differ from GAAP results in that they only include the actual cash settlements</w:t>
      </w:r>
      <w:r>
        <w:rPr>
          <w:color w:val="231F20"/>
          <w:spacing w:val="-12"/>
        </w:rPr>
        <w:t> </w:t>
      </w:r>
      <w:r>
        <w:rPr>
          <w:color w:val="231F20"/>
        </w:rPr>
        <w:t>from</w:t>
      </w:r>
      <w:r>
        <w:rPr>
          <w:color w:val="231F20"/>
          <w:spacing w:val="-12"/>
        </w:rPr>
        <w:t> </w:t>
      </w:r>
      <w:r>
        <w:rPr>
          <w:color w:val="231F20"/>
        </w:rPr>
        <w:t>fuel</w:t>
      </w:r>
      <w:r>
        <w:rPr>
          <w:color w:val="231F20"/>
          <w:spacing w:val="-12"/>
        </w:rPr>
        <w:t> </w:t>
      </w:r>
      <w:r>
        <w:rPr>
          <w:color w:val="231F20"/>
        </w:rPr>
        <w:t>hedge</w:t>
      </w:r>
      <w:r>
        <w:rPr>
          <w:color w:val="231F20"/>
          <w:spacing w:val="-12"/>
        </w:rPr>
        <w:t> </w:t>
      </w:r>
      <w:r>
        <w:rPr>
          <w:color w:val="231F20"/>
        </w:rPr>
        <w:t>contracts</w:t>
      </w:r>
      <w:r>
        <w:rPr>
          <w:color w:val="231F20"/>
          <w:spacing w:val="-12"/>
        </w:rPr>
        <w:t> </w:t>
      </w:r>
      <w:r>
        <w:rPr>
          <w:color w:val="231F20"/>
        </w:rPr>
        <w:t>—</w:t>
      </w:r>
      <w:r>
        <w:rPr>
          <w:color w:val="231F20"/>
          <w:spacing w:val="-12"/>
        </w:rPr>
        <w:t> </w:t>
      </w:r>
      <w:r>
        <w:rPr>
          <w:color w:val="231F20"/>
        </w:rPr>
        <w:t>all</w:t>
      </w:r>
      <w:r>
        <w:rPr>
          <w:color w:val="231F20"/>
          <w:spacing w:val="-12"/>
        </w:rPr>
        <w:t> </w:t>
      </w:r>
      <w:r>
        <w:rPr>
          <w:color w:val="231F20"/>
        </w:rPr>
        <w:t>reflected</w:t>
      </w:r>
      <w:r>
        <w:rPr>
          <w:color w:val="231F20"/>
          <w:spacing w:val="-12"/>
        </w:rPr>
        <w:t> </w:t>
      </w:r>
      <w:r>
        <w:rPr>
          <w:color w:val="231F20"/>
        </w:rPr>
        <w:t>within</w:t>
      </w:r>
      <w:r>
        <w:rPr>
          <w:color w:val="231F20"/>
          <w:spacing w:val="-12"/>
        </w:rPr>
        <w:t> </w:t>
      </w:r>
      <w:r>
        <w:rPr>
          <w:color w:val="231F20"/>
        </w:rPr>
        <w:t>Fuel</w:t>
      </w:r>
      <w:r>
        <w:rPr>
          <w:color w:val="231F20"/>
          <w:spacing w:val="-12"/>
        </w:rPr>
        <w:t> </w:t>
      </w:r>
      <w:r>
        <w:rPr>
          <w:color w:val="231F20"/>
        </w:rPr>
        <w:t>and</w:t>
      </w:r>
      <w:r>
        <w:rPr>
          <w:color w:val="231F20"/>
          <w:spacing w:val="-12"/>
        </w:rPr>
        <w:t> </w:t>
      </w:r>
      <w:r>
        <w:rPr>
          <w:color w:val="231F20"/>
        </w:rPr>
        <w:t>oil</w:t>
      </w:r>
      <w:r>
        <w:rPr>
          <w:color w:val="231F20"/>
          <w:spacing w:val="-12"/>
        </w:rPr>
        <w:t> </w:t>
      </w:r>
      <w:r>
        <w:rPr>
          <w:color w:val="231F20"/>
        </w:rPr>
        <w:t>expense</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period</w:t>
      </w:r>
      <w:r>
        <w:rPr>
          <w:color w:val="231F20"/>
          <w:spacing w:val="-12"/>
        </w:rPr>
        <w:t> </w:t>
      </w:r>
      <w:r>
        <w:rPr>
          <w:color w:val="231F20"/>
        </w:rPr>
        <w:t>of</w:t>
      </w:r>
      <w:r>
        <w:rPr>
          <w:color w:val="231F20"/>
          <w:spacing w:val="-12"/>
        </w:rPr>
        <w:t> </w:t>
      </w:r>
      <w:r>
        <w:rPr>
          <w:color w:val="231F20"/>
        </w:rPr>
        <w:t>settlement.</w:t>
      </w:r>
      <w:r>
        <w:rPr>
          <w:color w:val="231F20"/>
          <w:spacing w:val="-12"/>
        </w:rPr>
        <w:t> </w:t>
      </w:r>
      <w:r>
        <w:rPr>
          <w:color w:val="231F20"/>
        </w:rPr>
        <w:t>Thus, Fuel and oil expense on an economic basis reflects the Company’s actual net cash outlays for fuel during </w:t>
      </w:r>
      <w:r>
        <w:rPr>
          <w:color w:val="231F20"/>
          <w:spacing w:val="-2"/>
        </w:rPr>
        <w:t>the </w:t>
      </w:r>
      <w:r>
        <w:rPr>
          <w:color w:val="231F20"/>
        </w:rPr>
        <w:t>applicable period, inclusive of settled fuel derivative contracts. Any net premium costs paid related to </w:t>
      </w:r>
      <w:r>
        <w:rPr>
          <w:color w:val="231F20"/>
          <w:spacing w:val="-2"/>
        </w:rPr>
        <w:t>option </w:t>
      </w:r>
      <w:r>
        <w:rPr>
          <w:color w:val="231F20"/>
        </w:rPr>
        <w:t>contracts are reflected as a component of Other (gains) losses, net, for both GAAP and non-GAAP (including economic) purposes in the period of contract settlement. The Company believes these economic results provide a better measure of the impact of the Company’s fuel hedges on its operating performance and liquidity since they exclude</w:t>
      </w:r>
      <w:r>
        <w:rPr>
          <w:color w:val="231F20"/>
          <w:spacing w:val="-15"/>
        </w:rPr>
        <w:t> </w:t>
      </w:r>
      <w:r>
        <w:rPr>
          <w:color w:val="231F20"/>
        </w:rPr>
        <w:t>the</w:t>
      </w:r>
      <w:r>
        <w:rPr>
          <w:color w:val="231F20"/>
          <w:spacing w:val="-15"/>
        </w:rPr>
        <w:t> </w:t>
      </w:r>
      <w:r>
        <w:rPr>
          <w:color w:val="231F20"/>
        </w:rPr>
        <w:t>unrealized,</w:t>
      </w:r>
      <w:r>
        <w:rPr>
          <w:color w:val="231F20"/>
          <w:spacing w:val="-15"/>
        </w:rPr>
        <w:t> </w:t>
      </w:r>
      <w:r>
        <w:rPr>
          <w:color w:val="231F20"/>
        </w:rPr>
        <w:t>non-cash</w:t>
      </w:r>
      <w:r>
        <w:rPr>
          <w:color w:val="231F20"/>
          <w:spacing w:val="-15"/>
        </w:rPr>
        <w:t> </w:t>
      </w:r>
      <w:r>
        <w:rPr>
          <w:color w:val="231F20"/>
        </w:rPr>
        <w:t>adjustments</w:t>
      </w:r>
      <w:r>
        <w:rPr>
          <w:color w:val="231F20"/>
          <w:spacing w:val="-15"/>
        </w:rPr>
        <w:t> </w:t>
      </w:r>
      <w:r>
        <w:rPr>
          <w:color w:val="231F20"/>
        </w:rPr>
        <w:t>and</w:t>
      </w:r>
      <w:r>
        <w:rPr>
          <w:color w:val="231F20"/>
          <w:spacing w:val="-15"/>
        </w:rPr>
        <w:t> </w:t>
      </w:r>
      <w:r>
        <w:rPr>
          <w:color w:val="231F20"/>
        </w:rPr>
        <w:t>reclassifications</w:t>
      </w:r>
      <w:r>
        <w:rPr>
          <w:color w:val="231F20"/>
          <w:spacing w:val="-15"/>
        </w:rPr>
        <w:t> </w:t>
      </w:r>
      <w:r>
        <w:rPr>
          <w:color w:val="231F20"/>
        </w:rPr>
        <w:t>that</w:t>
      </w:r>
      <w:r>
        <w:rPr>
          <w:color w:val="231F20"/>
          <w:spacing w:val="-15"/>
        </w:rPr>
        <w:t> </w:t>
      </w:r>
      <w:r>
        <w:rPr>
          <w:color w:val="231F20"/>
        </w:rPr>
        <w:t>are</w:t>
      </w:r>
      <w:r>
        <w:rPr>
          <w:color w:val="231F20"/>
          <w:spacing w:val="-15"/>
        </w:rPr>
        <w:t> </w:t>
      </w:r>
      <w:r>
        <w:rPr>
          <w:color w:val="231F20"/>
        </w:rPr>
        <w:t>recorded</w:t>
      </w:r>
      <w:r>
        <w:rPr>
          <w:color w:val="231F20"/>
          <w:spacing w:val="-15"/>
        </w:rPr>
        <w:t> </w:t>
      </w:r>
      <w:r>
        <w:rPr>
          <w:color w:val="231F20"/>
        </w:rPr>
        <w:t>in</w:t>
      </w:r>
      <w:r>
        <w:rPr>
          <w:color w:val="231F20"/>
          <w:spacing w:val="-15"/>
        </w:rPr>
        <w:t> </w:t>
      </w:r>
      <w:r>
        <w:rPr>
          <w:color w:val="231F20"/>
        </w:rPr>
        <w:t>GAAP</w:t>
      </w:r>
      <w:r>
        <w:rPr>
          <w:color w:val="231F20"/>
          <w:spacing w:val="-15"/>
        </w:rPr>
        <w:t> </w:t>
      </w:r>
      <w:r>
        <w:rPr>
          <w:color w:val="231F20"/>
        </w:rPr>
        <w:t>results</w:t>
      </w:r>
      <w:r>
        <w:rPr>
          <w:color w:val="231F20"/>
          <w:spacing w:val="-15"/>
        </w:rPr>
        <w:t> </w:t>
      </w:r>
      <w:r>
        <w:rPr>
          <w:color w:val="231F20"/>
        </w:rPr>
        <w:t>in</w:t>
      </w:r>
      <w:r>
        <w:rPr>
          <w:color w:val="231F20"/>
          <w:spacing w:val="-15"/>
        </w:rPr>
        <w:t> </w:t>
      </w:r>
      <w:r>
        <w:rPr>
          <w:color w:val="231F20"/>
        </w:rPr>
        <w:t>accordance with accounting guidance relating to derivative instruments, and they reflect all cash settlements related to fuel derivative</w:t>
      </w:r>
      <w:r>
        <w:rPr>
          <w:color w:val="231F20"/>
          <w:spacing w:val="-13"/>
        </w:rPr>
        <w:t> </w:t>
      </w:r>
      <w:r>
        <w:rPr>
          <w:color w:val="231F20"/>
        </w:rPr>
        <w:t>contracts</w:t>
      </w:r>
      <w:r>
        <w:rPr>
          <w:color w:val="231F20"/>
          <w:spacing w:val="-13"/>
        </w:rPr>
        <w:t> </w:t>
      </w:r>
      <w:r>
        <w:rPr>
          <w:color w:val="231F20"/>
        </w:rPr>
        <w:t>within</w:t>
      </w:r>
      <w:r>
        <w:rPr>
          <w:color w:val="231F20"/>
          <w:spacing w:val="-13"/>
        </w:rPr>
        <w:t> </w:t>
      </w:r>
      <w:r>
        <w:rPr>
          <w:color w:val="231F20"/>
        </w:rPr>
        <w:t>Fuel</w:t>
      </w:r>
      <w:r>
        <w:rPr>
          <w:color w:val="231F20"/>
          <w:spacing w:val="-13"/>
        </w:rPr>
        <w:t> </w:t>
      </w:r>
      <w:r>
        <w:rPr>
          <w:color w:val="231F20"/>
        </w:rPr>
        <w:t>and</w:t>
      </w:r>
      <w:r>
        <w:rPr>
          <w:color w:val="231F20"/>
          <w:spacing w:val="-14"/>
        </w:rPr>
        <w:t> </w:t>
      </w:r>
      <w:r>
        <w:rPr>
          <w:color w:val="231F20"/>
        </w:rPr>
        <w:t>oil</w:t>
      </w:r>
      <w:r>
        <w:rPr>
          <w:color w:val="231F20"/>
          <w:spacing w:val="-13"/>
        </w:rPr>
        <w:t> </w:t>
      </w:r>
      <w:r>
        <w:rPr>
          <w:color w:val="231F20"/>
        </w:rPr>
        <w:t>expense.</w:t>
      </w:r>
      <w:r>
        <w:rPr>
          <w:color w:val="231F20"/>
          <w:spacing w:val="-14"/>
        </w:rPr>
        <w:t> </w:t>
      </w:r>
      <w:r>
        <w:rPr>
          <w:color w:val="231F20"/>
        </w:rPr>
        <w:t>This</w:t>
      </w:r>
      <w:r>
        <w:rPr>
          <w:color w:val="231F20"/>
          <w:spacing w:val="-13"/>
        </w:rPr>
        <w:t> </w:t>
      </w:r>
      <w:r>
        <w:rPr>
          <w:color w:val="231F20"/>
        </w:rPr>
        <w:t>enables</w:t>
      </w:r>
      <w:r>
        <w:rPr>
          <w:color w:val="231F20"/>
          <w:spacing w:val="-13"/>
        </w:rPr>
        <w:t> </w:t>
      </w:r>
      <w:r>
        <w:rPr>
          <w:color w:val="231F20"/>
        </w:rPr>
        <w:t>the</w:t>
      </w:r>
      <w:r>
        <w:rPr>
          <w:color w:val="231F20"/>
          <w:spacing w:val="-13"/>
        </w:rPr>
        <w:t> </w:t>
      </w:r>
      <w:r>
        <w:rPr>
          <w:color w:val="231F20"/>
        </w:rPr>
        <w:t>Company’s</w:t>
      </w:r>
      <w:r>
        <w:rPr>
          <w:color w:val="231F20"/>
          <w:spacing w:val="-13"/>
        </w:rPr>
        <w:t> </w:t>
      </w:r>
      <w:r>
        <w:rPr>
          <w:color w:val="231F20"/>
        </w:rPr>
        <w:t>management,</w:t>
      </w:r>
      <w:r>
        <w:rPr>
          <w:color w:val="231F20"/>
          <w:spacing w:val="-14"/>
        </w:rPr>
        <w:t> </w:t>
      </w:r>
      <w:r>
        <w:rPr>
          <w:color w:val="231F20"/>
        </w:rPr>
        <w:t>as</w:t>
      </w:r>
      <w:r>
        <w:rPr>
          <w:color w:val="231F20"/>
          <w:spacing w:val="-13"/>
        </w:rPr>
        <w:t> </w:t>
      </w:r>
      <w:r>
        <w:rPr>
          <w:color w:val="231F20"/>
        </w:rPr>
        <w:t>well</w:t>
      </w:r>
      <w:r>
        <w:rPr>
          <w:color w:val="231F20"/>
          <w:spacing w:val="-13"/>
        </w:rPr>
        <w:t> </w:t>
      </w:r>
      <w:r>
        <w:rPr>
          <w:color w:val="231F20"/>
        </w:rPr>
        <w:t>as</w:t>
      </w:r>
      <w:r>
        <w:rPr>
          <w:color w:val="231F20"/>
          <w:spacing w:val="-13"/>
        </w:rPr>
        <w:t> </w:t>
      </w:r>
      <w:r>
        <w:rPr>
          <w:color w:val="231F20"/>
        </w:rPr>
        <w:t>investors,</w:t>
      </w:r>
      <w:r>
        <w:rPr>
          <w:color w:val="231F20"/>
          <w:spacing w:val="-14"/>
        </w:rPr>
        <w:t> </w:t>
      </w:r>
      <w:r>
        <w:rPr>
          <w:color w:val="231F20"/>
        </w:rPr>
        <w:t>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w:t>
      </w:r>
      <w:r>
        <w:rPr>
          <w:color w:val="231F20"/>
          <w:spacing w:val="-2"/>
        </w:rPr>
        <w:t>the </w:t>
      </w:r>
      <w:r>
        <w:rPr>
          <w:color w:val="231F20"/>
        </w:rPr>
        <w:t>measures in the same manner. As a result, the aforementioned measures, as presented, may not be directly comparable</w:t>
      </w:r>
      <w:r>
        <w:rPr>
          <w:color w:val="231F20"/>
          <w:spacing w:val="-18"/>
        </w:rPr>
        <w:t> </w:t>
      </w:r>
      <w:r>
        <w:rPr>
          <w:color w:val="231F20"/>
        </w:rPr>
        <w:t>to</w:t>
      </w:r>
      <w:r>
        <w:rPr>
          <w:color w:val="231F20"/>
          <w:spacing w:val="-18"/>
        </w:rPr>
        <w:t> </w:t>
      </w:r>
      <w:r>
        <w:rPr>
          <w:color w:val="231F20"/>
        </w:rPr>
        <w:t>similarly</w:t>
      </w:r>
      <w:r>
        <w:rPr>
          <w:color w:val="231F20"/>
          <w:spacing w:val="-18"/>
        </w:rPr>
        <w:t> </w:t>
      </w:r>
      <w:r>
        <w:rPr>
          <w:color w:val="231F20"/>
        </w:rPr>
        <w:t>titled</w:t>
      </w:r>
      <w:r>
        <w:rPr>
          <w:color w:val="231F20"/>
          <w:spacing w:val="-18"/>
        </w:rPr>
        <w:t> </w:t>
      </w:r>
      <w:r>
        <w:rPr>
          <w:color w:val="231F20"/>
        </w:rPr>
        <w:t>measures</w:t>
      </w:r>
      <w:r>
        <w:rPr>
          <w:color w:val="231F20"/>
          <w:spacing w:val="-18"/>
        </w:rPr>
        <w:t> </w:t>
      </w:r>
      <w:r>
        <w:rPr>
          <w:color w:val="231F20"/>
        </w:rPr>
        <w:t>presented</w:t>
      </w:r>
      <w:r>
        <w:rPr>
          <w:color w:val="231F20"/>
          <w:spacing w:val="-18"/>
        </w:rPr>
        <w:t> </w:t>
      </w:r>
      <w:r>
        <w:rPr>
          <w:color w:val="231F20"/>
        </w:rPr>
        <w:t>by</w:t>
      </w:r>
      <w:r>
        <w:rPr>
          <w:color w:val="231F20"/>
          <w:spacing w:val="-18"/>
        </w:rPr>
        <w:t> </w:t>
      </w:r>
      <w:r>
        <w:rPr>
          <w:color w:val="231F20"/>
        </w:rPr>
        <w:t>other</w:t>
      </w:r>
      <w:r>
        <w:rPr>
          <w:color w:val="231F20"/>
          <w:spacing w:val="-18"/>
        </w:rPr>
        <w:t> </w:t>
      </w:r>
      <w:r>
        <w:rPr>
          <w:color w:val="231F20"/>
        </w:rPr>
        <w:t>companies.</w:t>
      </w:r>
    </w:p>
    <w:p>
      <w:pPr>
        <w:spacing w:after="0" w:line="249" w:lineRule="auto"/>
        <w:sectPr>
          <w:pgSz w:w="11880" w:h="15480"/>
          <w:pgMar w:header="0" w:footer="1253" w:top="1320" w:bottom="1440" w:left="1220" w:right="1220"/>
        </w:sectPr>
      </w:pPr>
    </w:p>
    <w:p>
      <w:pPr>
        <w:pStyle w:val="BodyText"/>
        <w:spacing w:line="249" w:lineRule="auto" w:before="73"/>
        <w:ind w:left="160" w:right="166" w:firstLine="490"/>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spacing w:line="249" w:lineRule="auto" w:before="183"/>
        <w:ind w:left="160" w:right="109" w:firstLine="490"/>
      </w:pPr>
      <w:r>
        <w:rPr>
          <w:color w:val="231F20"/>
        </w:rPr>
        <w:t>In addition to its “economic” financial measures, as defined above, the Company has also provided other non-GAAP financial measures, including results that it refers to as “excluding special items,” as a result of items that the Company believes are not indicative of its ongoing operations. These include expenses associated with the Company’s acquisition and integration of AirTran. The Company believes that evaluation of its financial performance can be enhanced by a presentation of results that exclude the impact of these items in order to evaluate the results on a comparative basis with results in prior periods that do not include such items and as a basis for evaluating operating results in future periods. As a result of the Company’s acquisition of AirTran, which closed on May 2, 2011, the Company has incurred and expects to continue to incur substantial charges associated with integration of the two companies. While the Company cannot predict the exact timing or amounts of such charges, it does expect to treat these charges as special items in its future presentation of non-GAAP results. See Note 2 and Note 8 to the Consolidated Financial Statements for further information on the AirTran acquisition.</w:t>
      </w:r>
    </w:p>
    <w:p>
      <w:pPr>
        <w:pStyle w:val="BodyText"/>
        <w:spacing w:line="249" w:lineRule="auto" w:before="183"/>
        <w:ind w:left="160" w:right="295" w:firstLine="490"/>
      </w:pPr>
      <w:r>
        <w:rPr>
          <w:color w:val="231F20"/>
        </w:rPr>
        <w:t>The Company has also provided return on invested capital, which is a non-GAAP financial measure.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may differ; therefore, the Company is providing an explanation of its calculation for return on invested capital (before taxes and excluding special items) in the accompanying reconciliation.</w:t>
      </w:r>
    </w:p>
    <w:p>
      <w:pPr>
        <w:pStyle w:val="Heading3"/>
        <w:spacing w:before="183"/>
        <w:ind w:left="160"/>
      </w:pPr>
      <w:r>
        <w:rPr>
          <w:color w:val="231F20"/>
        </w:rPr>
        <w:t>YEAR IN REVIEW</w:t>
      </w:r>
    </w:p>
    <w:p>
      <w:pPr>
        <w:pStyle w:val="BodyText"/>
        <w:spacing w:line="249" w:lineRule="auto" w:before="192"/>
        <w:ind w:left="160" w:right="166" w:firstLine="490"/>
      </w:pPr>
      <w:r>
        <w:rPr>
          <w:color w:val="231F20"/>
        </w:rPr>
        <w:t>For the 41</w:t>
      </w:r>
      <w:r>
        <w:rPr>
          <w:color w:val="231F20"/>
          <w:position w:val="5"/>
          <w:sz w:val="13"/>
        </w:rPr>
        <w:t>st </w:t>
      </w:r>
      <w:r>
        <w:rPr>
          <w:color w:val="231F20"/>
        </w:rPr>
        <w:t>consecutive year, the Company was profitable, recording GAAP and non-GAAP results for 2013 and 2012 as follows:</w:t>
      </w:r>
    </w:p>
    <w:p>
      <w:pPr>
        <w:spacing w:after="0" w:line="249" w:lineRule="auto"/>
        <w:sectPr>
          <w:pgSz w:w="11880" w:h="15480"/>
          <w:pgMar w:header="0" w:footer="1253" w:top="1240" w:bottom="1440" w:left="1220" w:right="1280"/>
        </w:sectPr>
      </w:pPr>
    </w:p>
    <w:p>
      <w:pPr>
        <w:pStyle w:val="BodyText"/>
        <w:spacing w:before="9"/>
        <w:rPr>
          <w:sz w:val="29"/>
        </w:rPr>
      </w:pPr>
    </w:p>
    <w:p>
      <w:pPr>
        <w:pStyle w:val="BodyText"/>
        <w:ind w:left="160"/>
      </w:pPr>
      <w:r>
        <w:rPr>
          <w:color w:val="231F20"/>
        </w:rPr>
        <w:t>(in millions, except per share amounts)</w:t>
      </w:r>
    </w:p>
    <w:p>
      <w:pPr>
        <w:pStyle w:val="Heading3"/>
        <w:spacing w:line="215" w:lineRule="exact" w:before="143"/>
        <w:ind w:left="252"/>
      </w:pPr>
      <w:r>
        <w:rPr>
          <w:b w:val="0"/>
        </w:rPr>
        <w:br w:type="column"/>
      </w:r>
      <w:r>
        <w:rPr>
          <w:color w:val="231F20"/>
        </w:rPr>
        <w:t>Year ended</w:t>
      </w:r>
    </w:p>
    <w:p>
      <w:pPr>
        <w:tabs>
          <w:tab w:pos="1742" w:val="left" w:leader="none"/>
        </w:tabs>
        <w:spacing w:line="295" w:lineRule="exact" w:before="0"/>
        <w:ind w:left="160" w:right="0" w:firstLine="0"/>
        <w:jc w:val="left"/>
        <w:rPr>
          <w:b/>
          <w:sz w:val="20"/>
        </w:rPr>
      </w:pPr>
      <w:r>
        <w:rPr/>
        <w:pict>
          <v:shape style="position:absolute;margin-left:66.5pt;margin-top:12.086426pt;width:458.5pt;height:118.7pt;mso-position-horizontal-relative:page;mso-position-vertical-relative:paragraph;z-index:26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15"/>
                    <w:gridCol w:w="600"/>
                    <w:gridCol w:w="200"/>
                    <w:gridCol w:w="600"/>
                    <w:gridCol w:w="200"/>
                    <w:gridCol w:w="855"/>
                  </w:tblGrid>
                  <w:tr>
                    <w:trPr>
                      <w:trHeight w:val="280" w:hRule="exact"/>
                    </w:trPr>
                    <w:tc>
                      <w:tcPr>
                        <w:tcW w:w="6715" w:type="dxa"/>
                      </w:tcPr>
                      <w:p>
                        <w:pPr/>
                      </w:p>
                    </w:tc>
                    <w:tc>
                      <w:tcPr>
                        <w:tcW w:w="600" w:type="dxa"/>
                        <w:tcBorders>
                          <w:top w:val="single" w:sz="8" w:space="0" w:color="231F20"/>
                          <w:bottom w:val="single" w:sz="8" w:space="0" w:color="231F20"/>
                        </w:tcBorders>
                      </w:tcPr>
                      <w:p>
                        <w:pPr>
                          <w:pStyle w:val="TableParagraph"/>
                          <w:spacing w:before="13"/>
                          <w:ind w:left="5" w:right="5"/>
                          <w:jc w:val="center"/>
                          <w:rPr>
                            <w:b/>
                            <w:sz w:val="20"/>
                          </w:rPr>
                        </w:pPr>
                        <w:r>
                          <w:rPr>
                            <w:b/>
                            <w:color w:val="231F20"/>
                            <w:sz w:val="20"/>
                          </w:rPr>
                          <w:t>2013</w:t>
                        </w:r>
                      </w:p>
                    </w:tc>
                    <w:tc>
                      <w:tcPr>
                        <w:tcW w:w="200" w:type="dxa"/>
                        <w:tcBorders>
                          <w:top w:val="single" w:sz="8" w:space="0" w:color="231F20"/>
                        </w:tcBorders>
                      </w:tcPr>
                      <w:p>
                        <w:pPr/>
                      </w:p>
                    </w:tc>
                    <w:tc>
                      <w:tcPr>
                        <w:tcW w:w="600" w:type="dxa"/>
                        <w:tcBorders>
                          <w:top w:val="single" w:sz="8" w:space="0" w:color="231F20"/>
                          <w:bottom w:val="single" w:sz="8" w:space="0" w:color="231F20"/>
                        </w:tcBorders>
                      </w:tcPr>
                      <w:p>
                        <w:pPr>
                          <w:pStyle w:val="TableParagraph"/>
                          <w:spacing w:before="13"/>
                          <w:ind w:left="5" w:right="5"/>
                          <w:jc w:val="center"/>
                          <w:rPr>
                            <w:b/>
                            <w:sz w:val="20"/>
                          </w:rPr>
                        </w:pPr>
                        <w:r>
                          <w:rPr>
                            <w:b/>
                            <w:color w:val="231F20"/>
                            <w:sz w:val="20"/>
                          </w:rPr>
                          <w:t>2012</w:t>
                        </w:r>
                      </w:p>
                    </w:tc>
                    <w:tc>
                      <w:tcPr>
                        <w:tcW w:w="200" w:type="dxa"/>
                      </w:tcPr>
                      <w:p>
                        <w:pPr/>
                      </w:p>
                    </w:tc>
                    <w:tc>
                      <w:tcPr>
                        <w:tcW w:w="855" w:type="dxa"/>
                        <w:tcBorders>
                          <w:bottom w:val="single" w:sz="8" w:space="0" w:color="231F20"/>
                        </w:tcBorders>
                      </w:tcPr>
                      <w:p>
                        <w:pPr>
                          <w:pStyle w:val="TableParagraph"/>
                          <w:spacing w:before="23"/>
                          <w:ind w:left="100"/>
                          <w:jc w:val="left"/>
                          <w:rPr>
                            <w:b/>
                            <w:sz w:val="20"/>
                          </w:rPr>
                        </w:pPr>
                        <w:r>
                          <w:rPr>
                            <w:b/>
                            <w:color w:val="231F20"/>
                            <w:sz w:val="20"/>
                          </w:rPr>
                          <w:t>Change</w:t>
                        </w:r>
                      </w:p>
                    </w:tc>
                  </w:tr>
                  <w:tr>
                    <w:trPr>
                      <w:trHeight w:val="544" w:hRule="exact"/>
                    </w:trPr>
                    <w:tc>
                      <w:tcPr>
                        <w:tcW w:w="6715" w:type="dxa"/>
                      </w:tcPr>
                      <w:p>
                        <w:pPr>
                          <w:pStyle w:val="TableParagraph"/>
                          <w:spacing w:before="63"/>
                          <w:ind w:left="50"/>
                          <w:jc w:val="left"/>
                          <w:rPr>
                            <w:sz w:val="20"/>
                          </w:rPr>
                        </w:pPr>
                        <w:r>
                          <w:rPr>
                            <w:color w:val="231F20"/>
                            <w:sz w:val="20"/>
                            <w:u w:val="single" w:color="231F20"/>
                          </w:rPr>
                          <w:t>GAAP</w:t>
                        </w:r>
                      </w:p>
                      <w:p>
                        <w:pPr>
                          <w:pStyle w:val="TableParagraph"/>
                          <w:spacing w:before="9"/>
                          <w:ind w:left="50"/>
                          <w:jc w:val="left"/>
                          <w:rPr>
                            <w:sz w:val="20"/>
                          </w:rPr>
                        </w:pPr>
                        <w:r>
                          <w:rPr>
                            <w:color w:val="231F20"/>
                            <w:sz w:val="20"/>
                          </w:rPr>
                          <w:t>Operating income  . . . . . . . . . . . . . . . . . . . . . . . . . . . . . . . . . . . . . . . . . . . . . . . . . . </w:t>
                        </w:r>
                      </w:p>
                    </w:tc>
                    <w:tc>
                      <w:tcPr>
                        <w:tcW w:w="600" w:type="dxa"/>
                        <w:tcBorders>
                          <w:top w:val="single" w:sz="8" w:space="0" w:color="231F20"/>
                        </w:tcBorders>
                      </w:tcPr>
                      <w:p>
                        <w:pPr>
                          <w:pStyle w:val="TableParagraph"/>
                          <w:spacing w:before="5"/>
                          <w:jc w:val="left"/>
                          <w:rPr>
                            <w:sz w:val="25"/>
                          </w:rPr>
                        </w:pPr>
                      </w:p>
                      <w:p>
                        <w:pPr>
                          <w:pStyle w:val="TableParagraph"/>
                          <w:spacing w:before="1"/>
                          <w:ind w:left="5" w:right="5"/>
                          <w:jc w:val="center"/>
                          <w:rPr>
                            <w:sz w:val="20"/>
                          </w:rPr>
                        </w:pPr>
                        <w:r>
                          <w:rPr>
                            <w:color w:val="231F20"/>
                            <w:sz w:val="20"/>
                          </w:rPr>
                          <w:t>$1,278</w:t>
                        </w:r>
                      </w:p>
                    </w:tc>
                    <w:tc>
                      <w:tcPr>
                        <w:tcW w:w="200" w:type="dxa"/>
                      </w:tcPr>
                      <w:p>
                        <w:pPr/>
                      </w:p>
                    </w:tc>
                    <w:tc>
                      <w:tcPr>
                        <w:tcW w:w="600" w:type="dxa"/>
                        <w:tcBorders>
                          <w:top w:val="single" w:sz="8" w:space="0" w:color="231F20"/>
                        </w:tcBorders>
                      </w:tcPr>
                      <w:p>
                        <w:pPr>
                          <w:pStyle w:val="TableParagraph"/>
                          <w:spacing w:before="5"/>
                          <w:jc w:val="left"/>
                          <w:rPr>
                            <w:sz w:val="25"/>
                          </w:rPr>
                        </w:pPr>
                      </w:p>
                      <w:p>
                        <w:pPr>
                          <w:pStyle w:val="TableParagraph"/>
                          <w:spacing w:before="1"/>
                          <w:ind w:left="5" w:right="5"/>
                          <w:jc w:val="center"/>
                          <w:rPr>
                            <w:sz w:val="20"/>
                          </w:rPr>
                        </w:pPr>
                        <w:r>
                          <w:rPr>
                            <w:color w:val="231F20"/>
                            <w:sz w:val="20"/>
                          </w:rPr>
                          <w:t>$ 623</w:t>
                        </w:r>
                      </w:p>
                    </w:tc>
                    <w:tc>
                      <w:tcPr>
                        <w:tcW w:w="200" w:type="dxa"/>
                      </w:tcPr>
                      <w:p>
                        <w:pPr/>
                      </w:p>
                    </w:tc>
                    <w:tc>
                      <w:tcPr>
                        <w:tcW w:w="855" w:type="dxa"/>
                        <w:tcBorders>
                          <w:top w:val="single" w:sz="8" w:space="0" w:color="231F20"/>
                        </w:tcBorders>
                      </w:tcPr>
                      <w:p>
                        <w:pPr>
                          <w:pStyle w:val="TableParagraph"/>
                          <w:spacing w:before="5"/>
                          <w:jc w:val="left"/>
                          <w:rPr>
                            <w:sz w:val="25"/>
                          </w:rPr>
                        </w:pPr>
                      </w:p>
                      <w:p>
                        <w:pPr>
                          <w:pStyle w:val="TableParagraph"/>
                          <w:spacing w:before="1"/>
                          <w:ind w:left="203"/>
                          <w:jc w:val="left"/>
                          <w:rPr>
                            <w:sz w:val="20"/>
                          </w:rPr>
                        </w:pPr>
                        <w:r>
                          <w:rPr>
                            <w:color w:val="231F20"/>
                            <w:sz w:val="20"/>
                          </w:rPr>
                          <w:t>105.1</w:t>
                        </w:r>
                      </w:p>
                    </w:tc>
                  </w:tr>
                  <w:tr>
                    <w:trPr>
                      <w:trHeight w:val="240" w:hRule="exact"/>
                    </w:trPr>
                    <w:tc>
                      <w:tcPr>
                        <w:tcW w:w="6715" w:type="dxa"/>
                      </w:tcPr>
                      <w:p>
                        <w:pPr>
                          <w:pStyle w:val="TableParagraph"/>
                          <w:spacing w:line="229" w:lineRule="exact"/>
                          <w:ind w:left="50"/>
                          <w:jc w:val="left"/>
                          <w:rPr>
                            <w:sz w:val="20"/>
                          </w:rPr>
                        </w:pPr>
                        <w:r>
                          <w:rPr>
                            <w:color w:val="231F20"/>
                            <w:sz w:val="20"/>
                          </w:rPr>
                          <w:t>Net income  . . . . . . . . . . . . . . . . . . . . . . . . . . . . . . . . . . . . . . . . . . . . . . . . . . . . . . . </w:t>
                        </w:r>
                      </w:p>
                    </w:tc>
                    <w:tc>
                      <w:tcPr>
                        <w:tcW w:w="600" w:type="dxa"/>
                      </w:tcPr>
                      <w:p>
                        <w:pPr>
                          <w:pStyle w:val="TableParagraph"/>
                          <w:spacing w:line="229" w:lineRule="exact"/>
                          <w:ind w:left="5" w:right="5"/>
                          <w:jc w:val="center"/>
                          <w:rPr>
                            <w:sz w:val="20"/>
                          </w:rPr>
                        </w:pPr>
                        <w:r>
                          <w:rPr>
                            <w:color w:val="231F20"/>
                            <w:sz w:val="20"/>
                          </w:rPr>
                          <w:t>$   754</w:t>
                        </w:r>
                      </w:p>
                    </w:tc>
                    <w:tc>
                      <w:tcPr>
                        <w:tcW w:w="200" w:type="dxa"/>
                      </w:tcPr>
                      <w:p>
                        <w:pPr/>
                      </w:p>
                    </w:tc>
                    <w:tc>
                      <w:tcPr>
                        <w:tcW w:w="600" w:type="dxa"/>
                      </w:tcPr>
                      <w:p>
                        <w:pPr>
                          <w:pStyle w:val="TableParagraph"/>
                          <w:spacing w:line="229" w:lineRule="exact"/>
                          <w:ind w:left="5" w:right="5"/>
                          <w:jc w:val="center"/>
                          <w:rPr>
                            <w:sz w:val="20"/>
                          </w:rPr>
                        </w:pPr>
                        <w:r>
                          <w:rPr>
                            <w:color w:val="231F20"/>
                            <w:sz w:val="20"/>
                          </w:rPr>
                          <w:t>$ 421</w:t>
                        </w:r>
                      </w:p>
                    </w:tc>
                    <w:tc>
                      <w:tcPr>
                        <w:tcW w:w="200" w:type="dxa"/>
                      </w:tcPr>
                      <w:p>
                        <w:pPr/>
                      </w:p>
                    </w:tc>
                    <w:tc>
                      <w:tcPr>
                        <w:tcW w:w="855" w:type="dxa"/>
                      </w:tcPr>
                      <w:p>
                        <w:pPr>
                          <w:pStyle w:val="TableParagraph"/>
                          <w:spacing w:line="229" w:lineRule="exact"/>
                          <w:ind w:left="302"/>
                          <w:jc w:val="left"/>
                          <w:rPr>
                            <w:sz w:val="20"/>
                          </w:rPr>
                        </w:pPr>
                        <w:r>
                          <w:rPr>
                            <w:color w:val="231F20"/>
                            <w:sz w:val="20"/>
                          </w:rPr>
                          <w:t>79.1</w:t>
                        </w:r>
                      </w:p>
                    </w:tc>
                  </w:tr>
                  <w:tr>
                    <w:trPr>
                      <w:trHeight w:val="300" w:hRule="exact"/>
                    </w:trPr>
                    <w:tc>
                      <w:tcPr>
                        <w:tcW w:w="6715" w:type="dxa"/>
                      </w:tcPr>
                      <w:p>
                        <w:pPr>
                          <w:pStyle w:val="TableParagraph"/>
                          <w:spacing w:line="229" w:lineRule="exact"/>
                          <w:ind w:left="50"/>
                          <w:jc w:val="left"/>
                          <w:rPr>
                            <w:sz w:val="20"/>
                          </w:rPr>
                        </w:pPr>
                        <w:r>
                          <w:rPr>
                            <w:color w:val="231F20"/>
                            <w:sz w:val="20"/>
                          </w:rPr>
                          <w:t>Net income per share, diluted . . . . . . . . . . . . . . . . . . . . . . . . . . . . . . . . . . . . . . . . . </w:t>
                        </w:r>
                      </w:p>
                    </w:tc>
                    <w:tc>
                      <w:tcPr>
                        <w:tcW w:w="600" w:type="dxa"/>
                      </w:tcPr>
                      <w:p>
                        <w:pPr>
                          <w:pStyle w:val="TableParagraph"/>
                          <w:spacing w:line="229" w:lineRule="exact"/>
                          <w:ind w:left="5" w:right="5"/>
                          <w:jc w:val="center"/>
                          <w:rPr>
                            <w:sz w:val="20"/>
                          </w:rPr>
                        </w:pPr>
                        <w:r>
                          <w:rPr>
                            <w:color w:val="231F20"/>
                            <w:sz w:val="20"/>
                          </w:rPr>
                          <w:t>$  1.05</w:t>
                        </w:r>
                      </w:p>
                    </w:tc>
                    <w:tc>
                      <w:tcPr>
                        <w:tcW w:w="200" w:type="dxa"/>
                      </w:tcPr>
                      <w:p>
                        <w:pPr/>
                      </w:p>
                    </w:tc>
                    <w:tc>
                      <w:tcPr>
                        <w:tcW w:w="600" w:type="dxa"/>
                      </w:tcPr>
                      <w:p>
                        <w:pPr>
                          <w:pStyle w:val="TableParagraph"/>
                          <w:spacing w:line="229" w:lineRule="exact"/>
                          <w:ind w:left="5" w:right="5"/>
                          <w:jc w:val="center"/>
                          <w:rPr>
                            <w:sz w:val="20"/>
                          </w:rPr>
                        </w:pPr>
                        <w:r>
                          <w:rPr>
                            <w:color w:val="231F20"/>
                            <w:sz w:val="20"/>
                          </w:rPr>
                          <w:t>$0.56</w:t>
                        </w:r>
                      </w:p>
                    </w:tc>
                    <w:tc>
                      <w:tcPr>
                        <w:tcW w:w="200" w:type="dxa"/>
                      </w:tcPr>
                      <w:p>
                        <w:pPr/>
                      </w:p>
                    </w:tc>
                    <w:tc>
                      <w:tcPr>
                        <w:tcW w:w="855" w:type="dxa"/>
                      </w:tcPr>
                      <w:p>
                        <w:pPr>
                          <w:pStyle w:val="TableParagraph"/>
                          <w:spacing w:line="229" w:lineRule="exact"/>
                          <w:ind w:left="303"/>
                          <w:jc w:val="left"/>
                          <w:rPr>
                            <w:sz w:val="20"/>
                          </w:rPr>
                        </w:pPr>
                        <w:r>
                          <w:rPr>
                            <w:color w:val="231F20"/>
                            <w:sz w:val="20"/>
                          </w:rPr>
                          <w:t>87.5</w:t>
                        </w:r>
                      </w:p>
                    </w:tc>
                  </w:tr>
                  <w:tr>
                    <w:trPr>
                      <w:trHeight w:val="540" w:hRule="exact"/>
                    </w:trPr>
                    <w:tc>
                      <w:tcPr>
                        <w:tcW w:w="6715" w:type="dxa"/>
                      </w:tcPr>
                      <w:p>
                        <w:pPr>
                          <w:pStyle w:val="TableParagraph"/>
                          <w:spacing w:before="59"/>
                          <w:ind w:left="50"/>
                          <w:jc w:val="left"/>
                          <w:rPr>
                            <w:sz w:val="20"/>
                          </w:rPr>
                        </w:pPr>
                        <w:r>
                          <w:rPr>
                            <w:color w:val="231F20"/>
                            <w:sz w:val="20"/>
                            <w:u w:val="single" w:color="231F20"/>
                          </w:rPr>
                          <w:t>Non-GAAP</w:t>
                        </w:r>
                      </w:p>
                      <w:p>
                        <w:pPr>
                          <w:pStyle w:val="TableParagraph"/>
                          <w:spacing w:before="9"/>
                          <w:ind w:left="50"/>
                          <w:jc w:val="left"/>
                          <w:rPr>
                            <w:sz w:val="20"/>
                          </w:rPr>
                        </w:pPr>
                        <w:r>
                          <w:rPr>
                            <w:color w:val="231F20"/>
                            <w:sz w:val="20"/>
                          </w:rPr>
                          <w:t>Operating income  . . . . . . . . . . . . . . . . . . . . . . . . . . . . . . . . . . . . . . . . . . . . . . . . . . </w:t>
                        </w:r>
                      </w:p>
                    </w:tc>
                    <w:tc>
                      <w:tcPr>
                        <w:tcW w:w="600" w:type="dxa"/>
                      </w:tcPr>
                      <w:p>
                        <w:pPr>
                          <w:pStyle w:val="TableParagraph"/>
                          <w:jc w:val="left"/>
                          <w:rPr>
                            <w:sz w:val="26"/>
                          </w:rPr>
                        </w:pPr>
                      </w:p>
                      <w:p>
                        <w:pPr>
                          <w:pStyle w:val="TableParagraph"/>
                          <w:ind w:left="5" w:right="5"/>
                          <w:jc w:val="center"/>
                          <w:rPr>
                            <w:sz w:val="20"/>
                          </w:rPr>
                        </w:pPr>
                        <w:r>
                          <w:rPr>
                            <w:color w:val="231F20"/>
                            <w:sz w:val="20"/>
                          </w:rPr>
                          <w:t>$1,448</w:t>
                        </w:r>
                      </w:p>
                    </w:tc>
                    <w:tc>
                      <w:tcPr>
                        <w:tcW w:w="200" w:type="dxa"/>
                      </w:tcPr>
                      <w:p>
                        <w:pPr/>
                      </w:p>
                    </w:tc>
                    <w:tc>
                      <w:tcPr>
                        <w:tcW w:w="600" w:type="dxa"/>
                      </w:tcPr>
                      <w:p>
                        <w:pPr>
                          <w:pStyle w:val="TableParagraph"/>
                          <w:jc w:val="left"/>
                          <w:rPr>
                            <w:sz w:val="26"/>
                          </w:rPr>
                        </w:pPr>
                      </w:p>
                      <w:p>
                        <w:pPr>
                          <w:pStyle w:val="TableParagraph"/>
                          <w:ind w:left="5" w:right="5"/>
                          <w:jc w:val="center"/>
                          <w:rPr>
                            <w:sz w:val="20"/>
                          </w:rPr>
                        </w:pPr>
                        <w:r>
                          <w:rPr>
                            <w:color w:val="231F20"/>
                            <w:sz w:val="20"/>
                          </w:rPr>
                          <w:t>$ 838</w:t>
                        </w:r>
                      </w:p>
                    </w:tc>
                    <w:tc>
                      <w:tcPr>
                        <w:tcW w:w="200" w:type="dxa"/>
                      </w:tcPr>
                      <w:p>
                        <w:pPr/>
                      </w:p>
                    </w:tc>
                    <w:tc>
                      <w:tcPr>
                        <w:tcW w:w="855" w:type="dxa"/>
                      </w:tcPr>
                      <w:p>
                        <w:pPr>
                          <w:pStyle w:val="TableParagraph"/>
                          <w:jc w:val="left"/>
                          <w:rPr>
                            <w:sz w:val="26"/>
                          </w:rPr>
                        </w:pPr>
                      </w:p>
                      <w:p>
                        <w:pPr>
                          <w:pStyle w:val="TableParagraph"/>
                          <w:ind w:left="303"/>
                          <w:jc w:val="left"/>
                          <w:rPr>
                            <w:sz w:val="20"/>
                          </w:rPr>
                        </w:pPr>
                        <w:r>
                          <w:rPr>
                            <w:color w:val="231F20"/>
                            <w:sz w:val="20"/>
                          </w:rPr>
                          <w:t>72.8</w:t>
                        </w:r>
                      </w:p>
                    </w:tc>
                  </w:tr>
                  <w:tr>
                    <w:trPr>
                      <w:trHeight w:val="240" w:hRule="exact"/>
                    </w:trPr>
                    <w:tc>
                      <w:tcPr>
                        <w:tcW w:w="6715" w:type="dxa"/>
                      </w:tcPr>
                      <w:p>
                        <w:pPr>
                          <w:pStyle w:val="TableParagraph"/>
                          <w:spacing w:line="229" w:lineRule="exact"/>
                          <w:ind w:left="50"/>
                          <w:jc w:val="left"/>
                          <w:rPr>
                            <w:sz w:val="20"/>
                          </w:rPr>
                        </w:pPr>
                        <w:r>
                          <w:rPr>
                            <w:color w:val="231F20"/>
                            <w:sz w:val="20"/>
                          </w:rPr>
                          <w:t>Net income  . . . . . . . . . . . . . . . . . . . . . . . . . . . . . . . . . . . . . . . . . . . . . . . . . . . . . . . </w:t>
                        </w:r>
                      </w:p>
                    </w:tc>
                    <w:tc>
                      <w:tcPr>
                        <w:tcW w:w="600" w:type="dxa"/>
                      </w:tcPr>
                      <w:p>
                        <w:pPr>
                          <w:pStyle w:val="TableParagraph"/>
                          <w:spacing w:line="229" w:lineRule="exact"/>
                          <w:ind w:left="5" w:right="5"/>
                          <w:jc w:val="center"/>
                          <w:rPr>
                            <w:sz w:val="20"/>
                          </w:rPr>
                        </w:pPr>
                        <w:r>
                          <w:rPr>
                            <w:color w:val="231F20"/>
                            <w:sz w:val="20"/>
                          </w:rPr>
                          <w:t>$   805</w:t>
                        </w:r>
                      </w:p>
                    </w:tc>
                    <w:tc>
                      <w:tcPr>
                        <w:tcW w:w="200" w:type="dxa"/>
                      </w:tcPr>
                      <w:p>
                        <w:pPr/>
                      </w:p>
                    </w:tc>
                    <w:tc>
                      <w:tcPr>
                        <w:tcW w:w="600" w:type="dxa"/>
                      </w:tcPr>
                      <w:p>
                        <w:pPr>
                          <w:pStyle w:val="TableParagraph"/>
                          <w:spacing w:line="229" w:lineRule="exact"/>
                          <w:ind w:left="5" w:right="5"/>
                          <w:jc w:val="center"/>
                          <w:rPr>
                            <w:sz w:val="20"/>
                          </w:rPr>
                        </w:pPr>
                        <w:r>
                          <w:rPr>
                            <w:color w:val="231F20"/>
                            <w:sz w:val="20"/>
                          </w:rPr>
                          <w:t>$ 417</w:t>
                        </w:r>
                      </w:p>
                    </w:tc>
                    <w:tc>
                      <w:tcPr>
                        <w:tcW w:w="200" w:type="dxa"/>
                      </w:tcPr>
                      <w:p>
                        <w:pPr/>
                      </w:p>
                    </w:tc>
                    <w:tc>
                      <w:tcPr>
                        <w:tcW w:w="855" w:type="dxa"/>
                      </w:tcPr>
                      <w:p>
                        <w:pPr>
                          <w:pStyle w:val="TableParagraph"/>
                          <w:spacing w:line="229" w:lineRule="exact"/>
                          <w:ind w:left="302"/>
                          <w:jc w:val="left"/>
                          <w:rPr>
                            <w:sz w:val="20"/>
                          </w:rPr>
                        </w:pPr>
                        <w:r>
                          <w:rPr>
                            <w:color w:val="231F20"/>
                            <w:sz w:val="20"/>
                          </w:rPr>
                          <w:t>93.0</w:t>
                        </w:r>
                      </w:p>
                    </w:tc>
                  </w:tr>
                  <w:tr>
                    <w:trPr>
                      <w:trHeight w:val="229" w:hRule="exact"/>
                    </w:trPr>
                    <w:tc>
                      <w:tcPr>
                        <w:tcW w:w="6715" w:type="dxa"/>
                      </w:tcPr>
                      <w:p>
                        <w:pPr>
                          <w:pStyle w:val="TableParagraph"/>
                          <w:spacing w:line="229" w:lineRule="exact"/>
                          <w:ind w:left="50"/>
                          <w:jc w:val="left"/>
                          <w:rPr>
                            <w:sz w:val="20"/>
                          </w:rPr>
                        </w:pPr>
                        <w:r>
                          <w:rPr>
                            <w:color w:val="231F20"/>
                            <w:sz w:val="20"/>
                          </w:rPr>
                          <w:t>Net income per share, diluted . . . . . . . . . . . . . . . . . . . . . . . . . . . . . . . . . . . . . . . . . </w:t>
                        </w:r>
                      </w:p>
                    </w:tc>
                    <w:tc>
                      <w:tcPr>
                        <w:tcW w:w="600" w:type="dxa"/>
                      </w:tcPr>
                      <w:p>
                        <w:pPr>
                          <w:pStyle w:val="TableParagraph"/>
                          <w:spacing w:line="229" w:lineRule="exact"/>
                          <w:ind w:left="5" w:right="5"/>
                          <w:jc w:val="center"/>
                          <w:rPr>
                            <w:sz w:val="20"/>
                          </w:rPr>
                        </w:pPr>
                        <w:r>
                          <w:rPr>
                            <w:color w:val="231F20"/>
                            <w:sz w:val="20"/>
                          </w:rPr>
                          <w:t>$  1.12</w:t>
                        </w:r>
                      </w:p>
                    </w:tc>
                    <w:tc>
                      <w:tcPr>
                        <w:tcW w:w="200" w:type="dxa"/>
                      </w:tcPr>
                      <w:p>
                        <w:pPr/>
                      </w:p>
                    </w:tc>
                    <w:tc>
                      <w:tcPr>
                        <w:tcW w:w="600" w:type="dxa"/>
                      </w:tcPr>
                      <w:p>
                        <w:pPr>
                          <w:pStyle w:val="TableParagraph"/>
                          <w:spacing w:line="229" w:lineRule="exact"/>
                          <w:ind w:left="5" w:right="5"/>
                          <w:jc w:val="center"/>
                          <w:rPr>
                            <w:sz w:val="20"/>
                          </w:rPr>
                        </w:pPr>
                        <w:r>
                          <w:rPr>
                            <w:color w:val="231F20"/>
                            <w:sz w:val="20"/>
                          </w:rPr>
                          <w:t>$0.56</w:t>
                        </w:r>
                      </w:p>
                    </w:tc>
                    <w:tc>
                      <w:tcPr>
                        <w:tcW w:w="200" w:type="dxa"/>
                      </w:tcPr>
                      <w:p>
                        <w:pPr/>
                      </w:p>
                    </w:tc>
                    <w:tc>
                      <w:tcPr>
                        <w:tcW w:w="855" w:type="dxa"/>
                      </w:tcPr>
                      <w:p>
                        <w:pPr>
                          <w:pStyle w:val="TableParagraph"/>
                          <w:spacing w:line="229" w:lineRule="exact"/>
                          <w:ind w:left="203"/>
                          <w:jc w:val="left"/>
                          <w:rPr>
                            <w:sz w:val="20"/>
                          </w:rPr>
                        </w:pPr>
                        <w:r>
                          <w:rPr>
                            <w:color w:val="231F20"/>
                            <w:sz w:val="20"/>
                          </w:rPr>
                          <w:t>100.0</w:t>
                        </w:r>
                      </w:p>
                    </w:tc>
                  </w:tr>
                </w:tbl>
                <w:p>
                  <w:pPr>
                    <w:pStyle w:val="BodyText"/>
                  </w:pPr>
                </w:p>
              </w:txbxContent>
            </v:textbox>
            <w10:wrap type="none"/>
          </v:shape>
        </w:pict>
      </w:r>
      <w:r>
        <w:rPr>
          <w:b/>
          <w:color w:val="231F20"/>
          <w:sz w:val="20"/>
        </w:rPr>
        <w:t>December 31,</w:t>
        <w:tab/>
      </w:r>
      <w:r>
        <w:rPr>
          <w:b/>
          <w:color w:val="231F20"/>
          <w:position w:val="-7"/>
          <w:sz w:val="20"/>
        </w:rPr>
        <w:t>Percent</w:t>
      </w:r>
    </w:p>
    <w:p>
      <w:pPr>
        <w:spacing w:after="0" w:line="295" w:lineRule="exact"/>
        <w:jc w:val="left"/>
        <w:rPr>
          <w:sz w:val="20"/>
        </w:rPr>
        <w:sectPr>
          <w:type w:val="continuous"/>
          <w:pgSz w:w="11880" w:h="15480"/>
          <w:pgMar w:top="1200" w:bottom="280" w:left="1220" w:right="1280"/>
          <w:cols w:num="2" w:equalWidth="0">
            <w:col w:w="3288" w:space="3493"/>
            <w:col w:w="259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8"/>
        </w:rPr>
      </w:pPr>
    </w:p>
    <w:p>
      <w:pPr>
        <w:pStyle w:val="BodyText"/>
        <w:ind w:left="649"/>
      </w:pPr>
      <w:r>
        <w:rPr>
          <w:color w:val="231F20"/>
        </w:rPr>
        <w:t>See the previous Note Regarding Use of Non-GAAP Financial Measures.</w:t>
      </w:r>
    </w:p>
    <w:p>
      <w:pPr>
        <w:pStyle w:val="BodyText"/>
        <w:spacing w:line="249" w:lineRule="auto" w:before="191"/>
        <w:ind w:left="159" w:right="109" w:firstLine="490"/>
      </w:pPr>
      <w:r>
        <w:rPr>
          <w:color w:val="231F20"/>
        </w:rPr>
        <w:t>The Company’s GAAP results for both the year ended December 31, 2013 and 2012 were impacted by the non-cash adjustments recorded as a result of the Company’s portfolio of derivative contracts utilized to hedge jet fuel price volatility, as well as acquisition and integration costs associated with the Company’s 2011 acquisition of AirTran. See Note 10 to the Consolidated Financial Statements for further information on fuel hedging and Note 2 for further information on the acquisition of AirTran. Excluding the impact of these items, the Company’s non-GAAP net income for the year ended December 31, 2013, increased 93.0 percent compared to the same prior year period and represented the highest full-year non-GAAP net income in the Company’s history. During 2013 the Company also recorded the highest quarterly non-GAAP net income in its history for the second, third, and fourth quarters. The significant year-over-year increase in non-GAAP net income was primarily due to a combination of higher Passenger revenues and lower fuel costs, both of which were aided by the Company’s</w:t>
      </w:r>
    </w:p>
    <w:p>
      <w:pPr>
        <w:spacing w:after="0" w:line="249" w:lineRule="auto"/>
        <w:sectPr>
          <w:type w:val="continuous"/>
          <w:pgSz w:w="11880" w:h="15480"/>
          <w:pgMar w:top="1200" w:bottom="280" w:left="1220" w:right="1280"/>
        </w:sectPr>
      </w:pPr>
    </w:p>
    <w:p>
      <w:pPr>
        <w:pStyle w:val="BodyText"/>
        <w:spacing w:line="249" w:lineRule="auto" w:before="73"/>
        <w:ind w:left="100"/>
      </w:pPr>
      <w:r>
        <w:rPr>
          <w:color w:val="231F20"/>
        </w:rPr>
        <w:t>continued focus on the implementation of its five strategic initiatives. As discussed in Note 2 to the Consolidated Financial Statements, for GAAP reporting, the accompanying results of operations and cash flows contain AirTran’s results beginning as of the May 2, 2011, date of the acquisition, while results of operations and cash flows prior to the acquisition date are only the results of Southwest.</w:t>
      </w:r>
    </w:p>
    <w:p>
      <w:pPr>
        <w:pStyle w:val="BodyText"/>
        <w:spacing w:line="249" w:lineRule="auto" w:before="181"/>
        <w:ind w:left="100" w:right="120" w:firstLine="490"/>
      </w:pPr>
      <w:r>
        <w:rPr>
          <w:color w:val="231F20"/>
        </w:rPr>
        <w:t>The Company’s strategic initiatives are intended to increase revenues, reduce unit costs, and to aid the Company with its goal of achieving an annual pre-tax return on invested capital (“ROIC”) of 15 percent. The Company has made substantial progress towards this 15 percent ROIC goal, significantly surpassing its prior year performance. Given the strategic initiatives that have been completed and those which remain underway, the Company believes it is well positioned for 2014, given the current economic environment and current jet fuel prices. The Company’s strategic initiatives</w:t>
      </w:r>
      <w:r>
        <w:rPr>
          <w:color w:val="231F20"/>
          <w:spacing w:val="6"/>
        </w:rPr>
        <w:t> </w:t>
      </w:r>
      <w:r>
        <w:rPr>
          <w:color w:val="231F20"/>
        </w:rPr>
        <w:t>include:</w:t>
      </w:r>
    </w:p>
    <w:p>
      <w:pPr>
        <w:pStyle w:val="ListParagraph"/>
        <w:numPr>
          <w:ilvl w:val="1"/>
          <w:numId w:val="7"/>
        </w:numPr>
        <w:tabs>
          <w:tab w:pos="899" w:val="left" w:leader="none"/>
          <w:tab w:pos="900" w:val="left" w:leader="none"/>
        </w:tabs>
        <w:spacing w:line="249" w:lineRule="auto" w:before="181" w:after="0"/>
        <w:ind w:left="900" w:right="155" w:hanging="300"/>
        <w:jc w:val="left"/>
        <w:rPr>
          <w:sz w:val="20"/>
        </w:rPr>
      </w:pPr>
      <w:r>
        <w:rPr>
          <w:color w:val="231F20"/>
          <w:sz w:val="20"/>
          <w:u w:val="single" w:color="231F20"/>
        </w:rPr>
        <w:t>The integration of AirTran. </w:t>
      </w:r>
      <w:r>
        <w:rPr>
          <w:color w:val="231F20"/>
          <w:sz w:val="20"/>
        </w:rPr>
        <w:t>The acquisition of AirTran in 2011 increased the Company’s fleet size and expanded the Company’s network into key U.S. markets such as Atlanta and Washington Reagan, as well as near-international locations such as the Caribbean and Mexico. As a result of the acquisition, the Company estimates it achieved approximately $400 million in net, pre-tax synergies during 2013 (excluding acquisition and integration expenses). Additionally, the Company reached a major milestone during 2013 by completing the connection of the Southwest and AirTran networks. Customers can now fly between any of the combined 96 Southwest and AirTran destinations on a single itinerary. Significant changes have also been made to AirTran’s route network, including ending service to several airports which proved to not be sustainable under the Southwest business model and the re-deployment of aircraft into new markets. The Company also continued the process of converting AirTran aircraft to the Southwest livery in 2013. As of December 31, 2013, 17 AirTran 737-700 aircraft had completed the conversion process and re-entered service as Southwest aircraft. The Company transitioned Atlanta into a point-to-point operation, similar to other large Southwest cities, which is expected to enable efficiencies related to the scheduling of aircraft, flight crews, and ground staff. In addition, the Company completed its plan to bring Southwest service to all domestic AirTran airport facilities in 2013. The Company remains on track with its plans to fully integrate AirTran into its operations by the end of</w:t>
      </w:r>
      <w:r>
        <w:rPr>
          <w:color w:val="231F20"/>
          <w:spacing w:val="2"/>
          <w:sz w:val="20"/>
        </w:rPr>
        <w:t> </w:t>
      </w:r>
      <w:r>
        <w:rPr>
          <w:color w:val="231F20"/>
          <w:sz w:val="20"/>
        </w:rPr>
        <w:t>2014.</w:t>
      </w:r>
    </w:p>
    <w:p>
      <w:pPr>
        <w:pStyle w:val="ListParagraph"/>
        <w:numPr>
          <w:ilvl w:val="1"/>
          <w:numId w:val="7"/>
        </w:numPr>
        <w:tabs>
          <w:tab w:pos="899" w:val="left" w:leader="none"/>
          <w:tab w:pos="900" w:val="left" w:leader="none"/>
        </w:tabs>
        <w:spacing w:line="249" w:lineRule="auto" w:before="181" w:after="0"/>
        <w:ind w:left="900" w:right="143" w:hanging="300"/>
        <w:jc w:val="left"/>
        <w:rPr>
          <w:sz w:val="20"/>
        </w:rPr>
      </w:pPr>
      <w:r>
        <w:rPr>
          <w:color w:val="231F20"/>
          <w:sz w:val="20"/>
          <w:u w:val="single" w:color="231F20"/>
        </w:rPr>
        <w:t>Fleet</w:t>
      </w:r>
      <w:r>
        <w:rPr>
          <w:color w:val="231F20"/>
          <w:spacing w:val="-12"/>
          <w:sz w:val="20"/>
          <w:u w:val="single" w:color="231F20"/>
        </w:rPr>
        <w:t> </w:t>
      </w:r>
      <w:r>
        <w:rPr>
          <w:color w:val="231F20"/>
          <w:sz w:val="20"/>
          <w:u w:val="single" w:color="231F20"/>
        </w:rPr>
        <w:t>modernization.</w:t>
      </w:r>
      <w:r>
        <w:rPr>
          <w:color w:val="231F20"/>
          <w:spacing w:val="-13"/>
          <w:sz w:val="20"/>
          <w:u w:val="single" w:color="231F20"/>
        </w:rPr>
        <w:t> </w:t>
      </w:r>
      <w:r>
        <w:rPr>
          <w:color w:val="231F20"/>
          <w:sz w:val="20"/>
        </w:rPr>
        <w:t>The</w:t>
      </w:r>
      <w:r>
        <w:rPr>
          <w:color w:val="231F20"/>
          <w:spacing w:val="-12"/>
          <w:sz w:val="20"/>
        </w:rPr>
        <w:t> </w:t>
      </w:r>
      <w:r>
        <w:rPr>
          <w:color w:val="231F20"/>
          <w:sz w:val="20"/>
        </w:rPr>
        <w:t>Company</w:t>
      </w:r>
      <w:r>
        <w:rPr>
          <w:color w:val="231F20"/>
          <w:spacing w:val="-13"/>
          <w:sz w:val="20"/>
        </w:rPr>
        <w:t> </w:t>
      </w:r>
      <w:r>
        <w:rPr>
          <w:color w:val="231F20"/>
          <w:sz w:val="20"/>
        </w:rPr>
        <w:t>is</w:t>
      </w:r>
      <w:r>
        <w:rPr>
          <w:color w:val="231F20"/>
          <w:spacing w:val="-12"/>
          <w:sz w:val="20"/>
        </w:rPr>
        <w:t> </w:t>
      </w:r>
      <w:r>
        <w:rPr>
          <w:color w:val="231F20"/>
          <w:sz w:val="20"/>
        </w:rPr>
        <w:t>scheduled</w:t>
      </w:r>
      <w:r>
        <w:rPr>
          <w:color w:val="231F20"/>
          <w:spacing w:val="-13"/>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the</w:t>
      </w:r>
      <w:r>
        <w:rPr>
          <w:color w:val="231F20"/>
          <w:spacing w:val="-12"/>
          <w:sz w:val="20"/>
        </w:rPr>
        <w:t> </w:t>
      </w:r>
      <w:r>
        <w:rPr>
          <w:color w:val="231F20"/>
          <w:sz w:val="20"/>
        </w:rPr>
        <w:t>launch</w:t>
      </w:r>
      <w:r>
        <w:rPr>
          <w:color w:val="231F20"/>
          <w:spacing w:val="-13"/>
          <w:sz w:val="20"/>
        </w:rPr>
        <w:t> </w:t>
      </w:r>
      <w:r>
        <w:rPr>
          <w:color w:val="231F20"/>
          <w:sz w:val="20"/>
        </w:rPr>
        <w:t>customer</w:t>
      </w:r>
      <w:r>
        <w:rPr>
          <w:color w:val="231F20"/>
          <w:spacing w:val="-12"/>
          <w:sz w:val="20"/>
        </w:rPr>
        <w:t> </w:t>
      </w:r>
      <w:r>
        <w:rPr>
          <w:color w:val="231F20"/>
          <w:sz w:val="20"/>
        </w:rPr>
        <w:t>for</w:t>
      </w:r>
      <w:r>
        <w:rPr>
          <w:color w:val="231F20"/>
          <w:spacing w:val="-12"/>
          <w:sz w:val="20"/>
        </w:rPr>
        <w:t> </w:t>
      </w:r>
      <w:r>
        <w:rPr>
          <w:color w:val="231F20"/>
          <w:sz w:val="20"/>
        </w:rPr>
        <w:t>Boeing’s</w:t>
      </w:r>
      <w:r>
        <w:rPr>
          <w:color w:val="231F20"/>
          <w:spacing w:val="-12"/>
          <w:sz w:val="20"/>
        </w:rPr>
        <w:t> </w:t>
      </w:r>
      <w:r>
        <w:rPr>
          <w:color w:val="231F20"/>
          <w:sz w:val="20"/>
        </w:rPr>
        <w:t>new,</w:t>
      </w:r>
      <w:r>
        <w:rPr>
          <w:color w:val="231F20"/>
          <w:spacing w:val="-13"/>
          <w:sz w:val="20"/>
        </w:rPr>
        <w:t> </w:t>
      </w:r>
      <w:r>
        <w:rPr>
          <w:color w:val="231F20"/>
          <w:sz w:val="20"/>
        </w:rPr>
        <w:t>more</w:t>
      </w:r>
      <w:r>
        <w:rPr>
          <w:color w:val="231F20"/>
          <w:spacing w:val="-12"/>
          <w:sz w:val="20"/>
        </w:rPr>
        <w:t> </w:t>
      </w:r>
      <w:r>
        <w:rPr>
          <w:color w:val="231F20"/>
          <w:sz w:val="20"/>
        </w:rPr>
        <w:t>fuel- efficient</w:t>
      </w:r>
      <w:r>
        <w:rPr>
          <w:color w:val="231F20"/>
          <w:spacing w:val="-10"/>
          <w:sz w:val="20"/>
        </w:rPr>
        <w:t> </w:t>
      </w:r>
      <w:r>
        <w:rPr>
          <w:color w:val="231F20"/>
          <w:sz w:val="20"/>
        </w:rPr>
        <w:t>737</w:t>
      </w:r>
      <w:r>
        <w:rPr>
          <w:color w:val="231F20"/>
          <w:spacing w:val="-11"/>
          <w:sz w:val="20"/>
        </w:rPr>
        <w:t> </w:t>
      </w:r>
      <w:r>
        <w:rPr>
          <w:color w:val="231F20"/>
          <w:sz w:val="20"/>
        </w:rPr>
        <w:t>MAX</w:t>
      </w:r>
      <w:r>
        <w:rPr>
          <w:color w:val="231F20"/>
          <w:spacing w:val="-11"/>
          <w:sz w:val="20"/>
        </w:rPr>
        <w:t> </w:t>
      </w:r>
      <w:r>
        <w:rPr>
          <w:color w:val="231F20"/>
          <w:sz w:val="20"/>
        </w:rPr>
        <w:t>8</w:t>
      </w:r>
      <w:r>
        <w:rPr>
          <w:color w:val="231F20"/>
          <w:spacing w:val="-11"/>
          <w:sz w:val="20"/>
        </w:rPr>
        <w:t> </w:t>
      </w:r>
      <w:r>
        <w:rPr>
          <w:color w:val="231F20"/>
          <w:sz w:val="20"/>
        </w:rPr>
        <w:t>aircraft,</w:t>
      </w:r>
      <w:r>
        <w:rPr>
          <w:color w:val="231F20"/>
          <w:spacing w:val="-11"/>
          <w:sz w:val="20"/>
        </w:rPr>
        <w:t> </w:t>
      </w:r>
      <w:r>
        <w:rPr>
          <w:color w:val="231F20"/>
          <w:sz w:val="20"/>
        </w:rPr>
        <w:t>which</w:t>
      </w:r>
      <w:r>
        <w:rPr>
          <w:color w:val="231F20"/>
          <w:spacing w:val="-11"/>
          <w:sz w:val="20"/>
        </w:rPr>
        <w:t> </w:t>
      </w:r>
      <w:r>
        <w:rPr>
          <w:color w:val="231F20"/>
          <w:sz w:val="20"/>
        </w:rPr>
        <w:t>is</w:t>
      </w:r>
      <w:r>
        <w:rPr>
          <w:color w:val="231F20"/>
          <w:spacing w:val="-10"/>
          <w:sz w:val="20"/>
        </w:rPr>
        <w:t> </w:t>
      </w:r>
      <w:r>
        <w:rPr>
          <w:color w:val="231F20"/>
          <w:sz w:val="20"/>
        </w:rPr>
        <w:t>expected</w:t>
      </w:r>
      <w:r>
        <w:rPr>
          <w:color w:val="231F20"/>
          <w:spacing w:val="-11"/>
          <w:sz w:val="20"/>
        </w:rPr>
        <w:t> </w:t>
      </w:r>
      <w:r>
        <w:rPr>
          <w:color w:val="231F20"/>
          <w:sz w:val="20"/>
        </w:rPr>
        <w:t>to</w:t>
      </w:r>
      <w:r>
        <w:rPr>
          <w:color w:val="231F20"/>
          <w:spacing w:val="-11"/>
          <w:sz w:val="20"/>
        </w:rPr>
        <w:t> </w:t>
      </w:r>
      <w:r>
        <w:rPr>
          <w:color w:val="231F20"/>
          <w:sz w:val="20"/>
        </w:rPr>
        <w:t>enter</w:t>
      </w:r>
      <w:r>
        <w:rPr>
          <w:color w:val="231F20"/>
          <w:spacing w:val="-10"/>
          <w:sz w:val="20"/>
        </w:rPr>
        <w:t> </w:t>
      </w:r>
      <w:r>
        <w:rPr>
          <w:color w:val="231F20"/>
          <w:sz w:val="20"/>
        </w:rPr>
        <w:t>service</w:t>
      </w:r>
      <w:r>
        <w:rPr>
          <w:color w:val="231F20"/>
          <w:spacing w:val="-10"/>
          <w:sz w:val="20"/>
        </w:rPr>
        <w:t> </w:t>
      </w:r>
      <w:r>
        <w:rPr>
          <w:color w:val="231F20"/>
          <w:sz w:val="20"/>
        </w:rPr>
        <w:t>in</w:t>
      </w:r>
      <w:r>
        <w:rPr>
          <w:color w:val="231F20"/>
          <w:spacing w:val="-11"/>
          <w:sz w:val="20"/>
        </w:rPr>
        <w:t> </w:t>
      </w:r>
      <w:r>
        <w:rPr>
          <w:color w:val="231F20"/>
          <w:sz w:val="20"/>
        </w:rPr>
        <w:t>2017.</w:t>
      </w:r>
      <w:r>
        <w:rPr>
          <w:color w:val="231F20"/>
          <w:spacing w:val="-11"/>
          <w:sz w:val="20"/>
        </w:rPr>
        <w:t> </w:t>
      </w:r>
      <w:r>
        <w:rPr>
          <w:color w:val="231F20"/>
          <w:sz w:val="20"/>
        </w:rPr>
        <w:t>The</w:t>
      </w:r>
      <w:r>
        <w:rPr>
          <w:color w:val="231F20"/>
          <w:spacing w:val="-10"/>
          <w:sz w:val="20"/>
        </w:rPr>
        <w:t> </w:t>
      </w:r>
      <w:r>
        <w:rPr>
          <w:color w:val="231F20"/>
          <w:sz w:val="20"/>
        </w:rPr>
        <w:t>737</w:t>
      </w:r>
      <w:r>
        <w:rPr>
          <w:color w:val="231F20"/>
          <w:spacing w:val="-11"/>
          <w:sz w:val="20"/>
        </w:rPr>
        <w:t> </w:t>
      </w:r>
      <w:r>
        <w:rPr>
          <w:color w:val="231F20"/>
          <w:sz w:val="20"/>
        </w:rPr>
        <w:t>MAX</w:t>
      </w:r>
      <w:r>
        <w:rPr>
          <w:color w:val="231F20"/>
          <w:spacing w:val="-11"/>
          <w:sz w:val="20"/>
        </w:rPr>
        <w:t> </w:t>
      </w:r>
      <w:r>
        <w:rPr>
          <w:color w:val="231F20"/>
          <w:sz w:val="20"/>
        </w:rPr>
        <w:t>8</w:t>
      </w:r>
      <w:r>
        <w:rPr>
          <w:color w:val="231F20"/>
          <w:spacing w:val="-11"/>
          <w:sz w:val="20"/>
        </w:rPr>
        <w:t> </w:t>
      </w:r>
      <w:r>
        <w:rPr>
          <w:color w:val="231F20"/>
          <w:sz w:val="20"/>
        </w:rPr>
        <w:t>is</w:t>
      </w:r>
      <w:r>
        <w:rPr>
          <w:color w:val="231F20"/>
          <w:spacing w:val="-10"/>
          <w:sz w:val="20"/>
        </w:rPr>
        <w:t> </w:t>
      </w:r>
      <w:r>
        <w:rPr>
          <w:color w:val="231F20"/>
          <w:sz w:val="20"/>
        </w:rPr>
        <w:t>expected</w:t>
      </w:r>
      <w:r>
        <w:rPr>
          <w:color w:val="231F20"/>
          <w:spacing w:val="-11"/>
          <w:sz w:val="20"/>
        </w:rPr>
        <w:t> </w:t>
      </w:r>
      <w:r>
        <w:rPr>
          <w:color w:val="231F20"/>
          <w:sz w:val="20"/>
        </w:rPr>
        <w:t>to reduce</w:t>
      </w:r>
      <w:r>
        <w:rPr>
          <w:color w:val="231F20"/>
          <w:spacing w:val="-12"/>
          <w:sz w:val="20"/>
        </w:rPr>
        <w:t> </w:t>
      </w:r>
      <w:r>
        <w:rPr>
          <w:color w:val="231F20"/>
          <w:sz w:val="20"/>
        </w:rPr>
        <w:t>fuel</w:t>
      </w:r>
      <w:r>
        <w:rPr>
          <w:color w:val="231F20"/>
          <w:spacing w:val="-12"/>
          <w:sz w:val="20"/>
        </w:rPr>
        <w:t> </w:t>
      </w:r>
      <w:r>
        <w:rPr>
          <w:color w:val="231F20"/>
          <w:sz w:val="20"/>
        </w:rPr>
        <w:t>burn</w:t>
      </w:r>
      <w:r>
        <w:rPr>
          <w:color w:val="231F20"/>
          <w:spacing w:val="-13"/>
          <w:sz w:val="20"/>
        </w:rPr>
        <w:t> </w:t>
      </w:r>
      <w:r>
        <w:rPr>
          <w:color w:val="231F20"/>
          <w:sz w:val="20"/>
        </w:rPr>
        <w:t>and</w:t>
      </w:r>
      <w:r>
        <w:rPr>
          <w:color w:val="231F20"/>
          <w:spacing w:val="-13"/>
          <w:sz w:val="20"/>
        </w:rPr>
        <w:t> </w:t>
      </w:r>
      <w:r>
        <w:rPr>
          <w:color w:val="231F20"/>
          <w:sz w:val="20"/>
        </w:rPr>
        <w:t>CO2</w:t>
      </w:r>
      <w:r>
        <w:rPr>
          <w:color w:val="231F20"/>
          <w:spacing w:val="-13"/>
          <w:sz w:val="20"/>
        </w:rPr>
        <w:t> </w:t>
      </w:r>
      <w:r>
        <w:rPr>
          <w:color w:val="231F20"/>
          <w:sz w:val="20"/>
        </w:rPr>
        <w:t>emissions</w:t>
      </w:r>
      <w:r>
        <w:rPr>
          <w:color w:val="231F20"/>
          <w:spacing w:val="-12"/>
          <w:sz w:val="20"/>
        </w:rPr>
        <w:t> </w:t>
      </w:r>
      <w:r>
        <w:rPr>
          <w:color w:val="231F20"/>
          <w:sz w:val="20"/>
        </w:rPr>
        <w:t>by</w:t>
      </w:r>
      <w:r>
        <w:rPr>
          <w:color w:val="231F20"/>
          <w:spacing w:val="-13"/>
          <w:sz w:val="20"/>
        </w:rPr>
        <w:t> </w:t>
      </w:r>
      <w:r>
        <w:rPr>
          <w:color w:val="231F20"/>
          <w:sz w:val="20"/>
        </w:rPr>
        <w:t>an</w:t>
      </w:r>
      <w:r>
        <w:rPr>
          <w:color w:val="231F20"/>
          <w:spacing w:val="-13"/>
          <w:sz w:val="20"/>
        </w:rPr>
        <w:t> </w:t>
      </w:r>
      <w:r>
        <w:rPr>
          <w:color w:val="231F20"/>
          <w:sz w:val="20"/>
        </w:rPr>
        <w:t>additional</w:t>
      </w:r>
      <w:r>
        <w:rPr>
          <w:color w:val="231F20"/>
          <w:spacing w:val="-12"/>
          <w:sz w:val="20"/>
        </w:rPr>
        <w:t> </w:t>
      </w:r>
      <w:r>
        <w:rPr>
          <w:color w:val="231F20"/>
          <w:sz w:val="20"/>
        </w:rPr>
        <w:t>13</w:t>
      </w:r>
      <w:r>
        <w:rPr>
          <w:color w:val="231F20"/>
          <w:spacing w:val="-13"/>
          <w:sz w:val="20"/>
        </w:rPr>
        <w:t> </w:t>
      </w:r>
      <w:r>
        <w:rPr>
          <w:color w:val="231F20"/>
          <w:sz w:val="20"/>
        </w:rPr>
        <w:t>percent</w:t>
      </w:r>
      <w:r>
        <w:rPr>
          <w:color w:val="231F20"/>
          <w:spacing w:val="-12"/>
          <w:sz w:val="20"/>
        </w:rPr>
        <w:t> </w:t>
      </w:r>
      <w:r>
        <w:rPr>
          <w:color w:val="231F20"/>
          <w:sz w:val="20"/>
        </w:rPr>
        <w:t>over</w:t>
      </w:r>
      <w:r>
        <w:rPr>
          <w:color w:val="231F20"/>
          <w:spacing w:val="-12"/>
          <w:sz w:val="20"/>
        </w:rPr>
        <w:t> </w:t>
      </w:r>
      <w:r>
        <w:rPr>
          <w:color w:val="231F20"/>
          <w:sz w:val="20"/>
        </w:rPr>
        <w:t>today’s</w:t>
      </w:r>
      <w:r>
        <w:rPr>
          <w:color w:val="231F20"/>
          <w:spacing w:val="-12"/>
          <w:sz w:val="20"/>
        </w:rPr>
        <w:t> </w:t>
      </w:r>
      <w:r>
        <w:rPr>
          <w:color w:val="231F20"/>
          <w:sz w:val="20"/>
        </w:rPr>
        <w:t>most</w:t>
      </w:r>
      <w:r>
        <w:rPr>
          <w:color w:val="231F20"/>
          <w:spacing w:val="-12"/>
          <w:sz w:val="20"/>
        </w:rPr>
        <w:t> </w:t>
      </w:r>
      <w:r>
        <w:rPr>
          <w:color w:val="231F20"/>
          <w:sz w:val="20"/>
        </w:rPr>
        <w:t>fuel-efficient</w:t>
      </w:r>
      <w:r>
        <w:rPr>
          <w:color w:val="231F20"/>
          <w:spacing w:val="-12"/>
          <w:sz w:val="20"/>
        </w:rPr>
        <w:t> </w:t>
      </w:r>
      <w:r>
        <w:rPr>
          <w:color w:val="231F20"/>
          <w:sz w:val="20"/>
        </w:rPr>
        <w:t>single- aisle</w:t>
      </w:r>
      <w:r>
        <w:rPr>
          <w:color w:val="231F20"/>
          <w:spacing w:val="-10"/>
          <w:sz w:val="20"/>
        </w:rPr>
        <w:t> </w:t>
      </w:r>
      <w:r>
        <w:rPr>
          <w:color w:val="231F20"/>
          <w:sz w:val="20"/>
        </w:rPr>
        <w:t>airplanes.</w:t>
      </w:r>
      <w:r>
        <w:rPr>
          <w:color w:val="231F20"/>
          <w:spacing w:val="-11"/>
          <w:sz w:val="20"/>
        </w:rPr>
        <w:t> </w:t>
      </w:r>
      <w:r>
        <w:rPr>
          <w:color w:val="231F20"/>
          <w:sz w:val="20"/>
        </w:rPr>
        <w:t>Southwest</w:t>
      </w:r>
      <w:r>
        <w:rPr>
          <w:color w:val="231F20"/>
          <w:spacing w:val="-10"/>
          <w:sz w:val="20"/>
        </w:rPr>
        <w:t> </w:t>
      </w:r>
      <w:r>
        <w:rPr>
          <w:color w:val="231F20"/>
          <w:sz w:val="20"/>
        </w:rPr>
        <w:t>is</w:t>
      </w:r>
      <w:r>
        <w:rPr>
          <w:color w:val="231F20"/>
          <w:spacing w:val="-10"/>
          <w:sz w:val="20"/>
        </w:rPr>
        <w:t> </w:t>
      </w:r>
      <w:r>
        <w:rPr>
          <w:color w:val="231F20"/>
          <w:sz w:val="20"/>
        </w:rPr>
        <w:t>also</w:t>
      </w:r>
      <w:r>
        <w:rPr>
          <w:color w:val="231F20"/>
          <w:spacing w:val="-11"/>
          <w:sz w:val="20"/>
        </w:rPr>
        <w:t> </w:t>
      </w:r>
      <w:r>
        <w:rPr>
          <w:color w:val="231F20"/>
          <w:sz w:val="20"/>
        </w:rPr>
        <w:t>scheduled</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0"/>
          <w:sz w:val="20"/>
        </w:rPr>
        <w:t> </w:t>
      </w:r>
      <w:r>
        <w:rPr>
          <w:color w:val="231F20"/>
          <w:sz w:val="20"/>
        </w:rPr>
        <w:t>the</w:t>
      </w:r>
      <w:r>
        <w:rPr>
          <w:color w:val="231F20"/>
          <w:spacing w:val="-10"/>
          <w:sz w:val="20"/>
        </w:rPr>
        <w:t> </w:t>
      </w:r>
      <w:r>
        <w:rPr>
          <w:color w:val="231F20"/>
          <w:sz w:val="20"/>
        </w:rPr>
        <w:t>launch</w:t>
      </w:r>
      <w:r>
        <w:rPr>
          <w:color w:val="231F20"/>
          <w:spacing w:val="-11"/>
          <w:sz w:val="20"/>
        </w:rPr>
        <w:t> </w:t>
      </w:r>
      <w:r>
        <w:rPr>
          <w:color w:val="231F20"/>
          <w:sz w:val="20"/>
        </w:rPr>
        <w:t>customer</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Boeing</w:t>
      </w:r>
      <w:r>
        <w:rPr>
          <w:color w:val="231F20"/>
          <w:spacing w:val="-11"/>
          <w:sz w:val="20"/>
        </w:rPr>
        <w:t> </w:t>
      </w:r>
      <w:r>
        <w:rPr>
          <w:color w:val="231F20"/>
          <w:sz w:val="20"/>
        </w:rPr>
        <w:t>737</w:t>
      </w:r>
      <w:r>
        <w:rPr>
          <w:color w:val="231F20"/>
          <w:spacing w:val="-11"/>
          <w:sz w:val="20"/>
        </w:rPr>
        <w:t> </w:t>
      </w:r>
      <w:r>
        <w:rPr>
          <w:color w:val="231F20"/>
          <w:sz w:val="20"/>
        </w:rPr>
        <w:t>MAX</w:t>
      </w:r>
      <w:r>
        <w:rPr>
          <w:color w:val="231F20"/>
          <w:spacing w:val="-11"/>
          <w:sz w:val="20"/>
        </w:rPr>
        <w:t> </w:t>
      </w:r>
      <w:r>
        <w:rPr>
          <w:color w:val="231F20"/>
          <w:sz w:val="20"/>
        </w:rPr>
        <w:t>7</w:t>
      </w:r>
      <w:r>
        <w:rPr>
          <w:color w:val="231F20"/>
          <w:spacing w:val="-11"/>
          <w:sz w:val="20"/>
        </w:rPr>
        <w:t> </w:t>
      </w:r>
      <w:r>
        <w:rPr>
          <w:color w:val="231F20"/>
          <w:spacing w:val="-2"/>
          <w:sz w:val="20"/>
        </w:rPr>
        <w:t>series </w:t>
      </w:r>
      <w:r>
        <w:rPr>
          <w:color w:val="231F20"/>
          <w:sz w:val="20"/>
        </w:rPr>
        <w:t>aircraft, with deliveries expected to begin in 2019. Currently the Company has firm orders in place </w:t>
      </w:r>
      <w:r>
        <w:rPr>
          <w:color w:val="231F20"/>
          <w:spacing w:val="-2"/>
          <w:sz w:val="20"/>
        </w:rPr>
        <w:t>for </w:t>
      </w:r>
      <w:r>
        <w:rPr>
          <w:color w:val="231F20"/>
          <w:sz w:val="20"/>
        </w:rPr>
        <w:t>170</w:t>
      </w:r>
      <w:r>
        <w:rPr>
          <w:color w:val="231F20"/>
          <w:spacing w:val="-12"/>
          <w:sz w:val="20"/>
        </w:rPr>
        <w:t> </w:t>
      </w:r>
      <w:r>
        <w:rPr>
          <w:color w:val="231F20"/>
          <w:sz w:val="20"/>
        </w:rPr>
        <w:t>MAX</w:t>
      </w:r>
      <w:r>
        <w:rPr>
          <w:color w:val="231F20"/>
          <w:spacing w:val="-12"/>
          <w:sz w:val="20"/>
        </w:rPr>
        <w:t> </w:t>
      </w:r>
      <w:r>
        <w:rPr>
          <w:color w:val="231F20"/>
          <w:sz w:val="20"/>
        </w:rPr>
        <w:t>8</w:t>
      </w:r>
      <w:r>
        <w:rPr>
          <w:color w:val="231F20"/>
          <w:spacing w:val="-12"/>
          <w:sz w:val="20"/>
        </w:rPr>
        <w:t> </w:t>
      </w:r>
      <w:r>
        <w:rPr>
          <w:color w:val="231F20"/>
          <w:sz w:val="20"/>
        </w:rPr>
        <w:t>aircraft</w:t>
      </w:r>
      <w:r>
        <w:rPr>
          <w:color w:val="231F20"/>
          <w:spacing w:val="-11"/>
          <w:sz w:val="20"/>
        </w:rPr>
        <w:t> </w:t>
      </w:r>
      <w:r>
        <w:rPr>
          <w:color w:val="231F20"/>
          <w:sz w:val="20"/>
        </w:rPr>
        <w:t>and</w:t>
      </w:r>
      <w:r>
        <w:rPr>
          <w:color w:val="231F20"/>
          <w:spacing w:val="-12"/>
          <w:sz w:val="20"/>
        </w:rPr>
        <w:t> </w:t>
      </w:r>
      <w:r>
        <w:rPr>
          <w:color w:val="231F20"/>
          <w:sz w:val="20"/>
        </w:rPr>
        <w:t>30</w:t>
      </w:r>
      <w:r>
        <w:rPr>
          <w:color w:val="231F20"/>
          <w:spacing w:val="-12"/>
          <w:sz w:val="20"/>
        </w:rPr>
        <w:t> </w:t>
      </w:r>
      <w:r>
        <w:rPr>
          <w:color w:val="231F20"/>
          <w:sz w:val="20"/>
        </w:rPr>
        <w:t>MAX</w:t>
      </w:r>
      <w:r>
        <w:rPr>
          <w:color w:val="231F20"/>
          <w:spacing w:val="-12"/>
          <w:sz w:val="20"/>
        </w:rPr>
        <w:t> </w:t>
      </w:r>
      <w:r>
        <w:rPr>
          <w:color w:val="231F20"/>
          <w:sz w:val="20"/>
        </w:rPr>
        <w:t>7</w:t>
      </w:r>
      <w:r>
        <w:rPr>
          <w:color w:val="231F20"/>
          <w:spacing w:val="-12"/>
          <w:sz w:val="20"/>
        </w:rPr>
        <w:t> </w:t>
      </w:r>
      <w:r>
        <w:rPr>
          <w:color w:val="231F20"/>
          <w:sz w:val="20"/>
        </w:rPr>
        <w:t>aircraft.</w:t>
      </w:r>
      <w:r>
        <w:rPr>
          <w:color w:val="231F20"/>
          <w:spacing w:val="-12"/>
          <w:sz w:val="20"/>
        </w:rPr>
        <w:t> </w:t>
      </w:r>
      <w:r>
        <w:rPr>
          <w:color w:val="231F20"/>
          <w:sz w:val="20"/>
        </w:rPr>
        <w:t>During</w:t>
      </w:r>
      <w:r>
        <w:rPr>
          <w:color w:val="231F20"/>
          <w:spacing w:val="-12"/>
          <w:sz w:val="20"/>
        </w:rPr>
        <w:t> </w:t>
      </w:r>
      <w:r>
        <w:rPr>
          <w:color w:val="231F20"/>
          <w:sz w:val="20"/>
        </w:rPr>
        <w:t>2013,</w:t>
      </w:r>
      <w:r>
        <w:rPr>
          <w:color w:val="231F20"/>
          <w:spacing w:val="-12"/>
          <w:sz w:val="20"/>
        </w:rPr>
        <w:t> </w:t>
      </w:r>
      <w:r>
        <w:rPr>
          <w:color w:val="231F20"/>
          <w:sz w:val="20"/>
        </w:rPr>
        <w:t>the</w:t>
      </w:r>
      <w:r>
        <w:rPr>
          <w:color w:val="231F20"/>
          <w:spacing w:val="-11"/>
          <w:sz w:val="20"/>
        </w:rPr>
        <w:t> </w:t>
      </w:r>
      <w:r>
        <w:rPr>
          <w:color w:val="231F20"/>
          <w:sz w:val="20"/>
        </w:rPr>
        <w:t>Company</w:t>
      </w:r>
      <w:r>
        <w:rPr>
          <w:color w:val="231F20"/>
          <w:spacing w:val="-12"/>
          <w:sz w:val="20"/>
        </w:rPr>
        <w:t> </w:t>
      </w:r>
      <w:r>
        <w:rPr>
          <w:color w:val="231F20"/>
          <w:sz w:val="20"/>
        </w:rPr>
        <w:t>completed</w:t>
      </w:r>
      <w:r>
        <w:rPr>
          <w:color w:val="231F20"/>
          <w:spacing w:val="-12"/>
          <w:sz w:val="20"/>
        </w:rPr>
        <w:t> </w:t>
      </w:r>
      <w:r>
        <w:rPr>
          <w:color w:val="231F20"/>
          <w:sz w:val="20"/>
        </w:rPr>
        <w:t>its</w:t>
      </w:r>
      <w:r>
        <w:rPr>
          <w:color w:val="231F20"/>
          <w:spacing w:val="-11"/>
          <w:sz w:val="20"/>
        </w:rPr>
        <w:t> </w:t>
      </w:r>
      <w:r>
        <w:rPr>
          <w:color w:val="231F20"/>
          <w:sz w:val="20"/>
        </w:rPr>
        <w:t>multi-year</w:t>
      </w:r>
      <w:r>
        <w:rPr>
          <w:color w:val="231F20"/>
          <w:spacing w:val="-9"/>
          <w:sz w:val="20"/>
        </w:rPr>
        <w:t> </w:t>
      </w:r>
      <w:r>
        <w:rPr>
          <w:i/>
          <w:color w:val="231F20"/>
          <w:spacing w:val="-2"/>
          <w:sz w:val="20"/>
        </w:rPr>
        <w:t>Evolve </w:t>
      </w:r>
      <w:r>
        <w:rPr>
          <w:color w:val="231F20"/>
          <w:sz w:val="20"/>
        </w:rPr>
        <w:t>program,</w:t>
      </w:r>
      <w:r>
        <w:rPr>
          <w:color w:val="231F20"/>
          <w:spacing w:val="-13"/>
          <w:sz w:val="20"/>
        </w:rPr>
        <w:t> </w:t>
      </w:r>
      <w:r>
        <w:rPr>
          <w:color w:val="231F20"/>
          <w:sz w:val="20"/>
        </w:rPr>
        <w:t>which</w:t>
      </w:r>
      <w:r>
        <w:rPr>
          <w:color w:val="231F20"/>
          <w:spacing w:val="-13"/>
          <w:sz w:val="20"/>
        </w:rPr>
        <w:t> </w:t>
      </w:r>
      <w:r>
        <w:rPr>
          <w:color w:val="231F20"/>
          <w:sz w:val="20"/>
        </w:rPr>
        <w:t>included,</w:t>
      </w:r>
      <w:r>
        <w:rPr>
          <w:color w:val="231F20"/>
          <w:spacing w:val="-13"/>
          <w:sz w:val="20"/>
        </w:rPr>
        <w:t> </w:t>
      </w:r>
      <w:r>
        <w:rPr>
          <w:color w:val="231F20"/>
          <w:sz w:val="20"/>
        </w:rPr>
        <w:t>in</w:t>
      </w:r>
      <w:r>
        <w:rPr>
          <w:color w:val="231F20"/>
          <w:spacing w:val="-13"/>
          <w:sz w:val="20"/>
        </w:rPr>
        <w:t> </w:t>
      </w:r>
      <w:r>
        <w:rPr>
          <w:color w:val="231F20"/>
          <w:sz w:val="20"/>
        </w:rPr>
        <w:t>total,</w:t>
      </w:r>
      <w:r>
        <w:rPr>
          <w:color w:val="231F20"/>
          <w:spacing w:val="-13"/>
          <w:sz w:val="20"/>
        </w:rPr>
        <w:t> </w:t>
      </w:r>
      <w:r>
        <w:rPr>
          <w:color w:val="231F20"/>
          <w:sz w:val="20"/>
        </w:rPr>
        <w:t>the</w:t>
      </w:r>
      <w:r>
        <w:rPr>
          <w:color w:val="231F20"/>
          <w:spacing w:val="-12"/>
          <w:sz w:val="20"/>
        </w:rPr>
        <w:t> </w:t>
      </w:r>
      <w:r>
        <w:rPr>
          <w:color w:val="231F20"/>
          <w:sz w:val="20"/>
        </w:rPr>
        <w:t>retrofitting</w:t>
      </w:r>
      <w:r>
        <w:rPr>
          <w:color w:val="231F20"/>
          <w:spacing w:val="-13"/>
          <w:sz w:val="20"/>
        </w:rPr>
        <w:t> </w:t>
      </w:r>
      <w:r>
        <w:rPr>
          <w:color w:val="231F20"/>
          <w:sz w:val="20"/>
        </w:rPr>
        <w:t>of</w:t>
      </w:r>
      <w:r>
        <w:rPr>
          <w:color w:val="231F20"/>
          <w:spacing w:val="-12"/>
          <w:sz w:val="20"/>
        </w:rPr>
        <w:t> </w:t>
      </w:r>
      <w:r>
        <w:rPr>
          <w:color w:val="231F20"/>
          <w:sz w:val="20"/>
        </w:rPr>
        <w:t>372</w:t>
      </w:r>
      <w:r>
        <w:rPr>
          <w:color w:val="231F20"/>
          <w:spacing w:val="-13"/>
          <w:sz w:val="20"/>
        </w:rPr>
        <w:t> </w:t>
      </w:r>
      <w:r>
        <w:rPr>
          <w:color w:val="231F20"/>
          <w:sz w:val="20"/>
        </w:rPr>
        <w:t>Southwest</w:t>
      </w:r>
      <w:r>
        <w:rPr>
          <w:color w:val="231F20"/>
          <w:spacing w:val="-12"/>
          <w:sz w:val="20"/>
        </w:rPr>
        <w:t> </w:t>
      </w:r>
      <w:r>
        <w:rPr>
          <w:color w:val="231F20"/>
          <w:sz w:val="20"/>
        </w:rPr>
        <w:t>737-700</w:t>
      </w:r>
      <w:r>
        <w:rPr>
          <w:color w:val="231F20"/>
          <w:spacing w:val="-13"/>
          <w:sz w:val="20"/>
        </w:rPr>
        <w:t> </w:t>
      </w:r>
      <w:r>
        <w:rPr>
          <w:color w:val="231F20"/>
          <w:sz w:val="20"/>
        </w:rPr>
        <w:t>and</w:t>
      </w:r>
      <w:r>
        <w:rPr>
          <w:color w:val="231F20"/>
          <w:spacing w:val="-13"/>
          <w:sz w:val="20"/>
        </w:rPr>
        <w:t> </w:t>
      </w:r>
      <w:r>
        <w:rPr>
          <w:color w:val="231F20"/>
          <w:sz w:val="20"/>
        </w:rPr>
        <w:t>78</w:t>
      </w:r>
      <w:r>
        <w:rPr>
          <w:color w:val="231F20"/>
          <w:spacing w:val="-13"/>
          <w:sz w:val="20"/>
        </w:rPr>
        <w:t> </w:t>
      </w:r>
      <w:r>
        <w:rPr>
          <w:color w:val="231F20"/>
          <w:sz w:val="20"/>
        </w:rPr>
        <w:t>Southwest</w:t>
      </w:r>
      <w:r>
        <w:rPr>
          <w:color w:val="231F20"/>
          <w:spacing w:val="-12"/>
          <w:sz w:val="20"/>
        </w:rPr>
        <w:t> </w:t>
      </w:r>
      <w:r>
        <w:rPr>
          <w:color w:val="231F20"/>
          <w:sz w:val="20"/>
        </w:rPr>
        <w:t>737-300 aircraft. </w:t>
      </w:r>
      <w:r>
        <w:rPr>
          <w:i/>
          <w:color w:val="231F20"/>
          <w:sz w:val="20"/>
        </w:rPr>
        <w:t>Evolve: The New Southwest Experience </w:t>
      </w:r>
      <w:r>
        <w:rPr>
          <w:color w:val="231F20"/>
          <w:sz w:val="20"/>
        </w:rPr>
        <w:t>is an updated cabin interior intended to enhance </w:t>
      </w:r>
      <w:r>
        <w:rPr>
          <w:color w:val="231F20"/>
          <w:spacing w:val="-2"/>
          <w:sz w:val="20"/>
        </w:rPr>
        <w:t>the </w:t>
      </w:r>
      <w:r>
        <w:rPr>
          <w:color w:val="231F20"/>
          <w:sz w:val="20"/>
        </w:rPr>
        <w:t>Customer’s overall travel experience, while improving fleet efficiency with the added benefit of </w:t>
      </w:r>
      <w:r>
        <w:rPr>
          <w:color w:val="231F20"/>
          <w:spacing w:val="-2"/>
          <w:sz w:val="20"/>
        </w:rPr>
        <w:t>six </w:t>
      </w:r>
      <w:r>
        <w:rPr>
          <w:color w:val="231F20"/>
          <w:sz w:val="20"/>
        </w:rPr>
        <w:t>additional</w:t>
      </w:r>
      <w:r>
        <w:rPr>
          <w:color w:val="231F20"/>
          <w:spacing w:val="-14"/>
          <w:sz w:val="20"/>
        </w:rPr>
        <w:t> </w:t>
      </w:r>
      <w:r>
        <w:rPr>
          <w:color w:val="231F20"/>
          <w:sz w:val="20"/>
        </w:rPr>
        <w:t>seats</w:t>
      </w:r>
      <w:r>
        <w:rPr>
          <w:color w:val="231F20"/>
          <w:spacing w:val="-14"/>
          <w:sz w:val="20"/>
        </w:rPr>
        <w:t> </w:t>
      </w:r>
      <w:r>
        <w:rPr>
          <w:color w:val="231F20"/>
          <w:sz w:val="20"/>
        </w:rPr>
        <w:t>on</w:t>
      </w:r>
      <w:r>
        <w:rPr>
          <w:color w:val="231F20"/>
          <w:spacing w:val="-15"/>
          <w:sz w:val="20"/>
        </w:rPr>
        <w:t> </w:t>
      </w:r>
      <w:r>
        <w:rPr>
          <w:color w:val="231F20"/>
          <w:sz w:val="20"/>
        </w:rPr>
        <w:t>each</w:t>
      </w:r>
      <w:r>
        <w:rPr>
          <w:color w:val="231F20"/>
          <w:spacing w:val="-15"/>
          <w:sz w:val="20"/>
        </w:rPr>
        <w:t> </w:t>
      </w:r>
      <w:r>
        <w:rPr>
          <w:color w:val="231F20"/>
          <w:sz w:val="20"/>
        </w:rPr>
        <w:t>aircraft.</w:t>
      </w:r>
      <w:r>
        <w:rPr>
          <w:color w:val="231F20"/>
          <w:spacing w:val="-15"/>
          <w:sz w:val="20"/>
        </w:rPr>
        <w:t> </w:t>
      </w:r>
      <w:r>
        <w:rPr>
          <w:color w:val="231F20"/>
          <w:sz w:val="20"/>
        </w:rPr>
        <w:t>In</w:t>
      </w:r>
      <w:r>
        <w:rPr>
          <w:color w:val="231F20"/>
          <w:spacing w:val="-15"/>
          <w:sz w:val="20"/>
        </w:rPr>
        <w:t> </w:t>
      </w:r>
      <w:r>
        <w:rPr>
          <w:color w:val="231F20"/>
          <w:sz w:val="20"/>
        </w:rPr>
        <w:t>addition,</w:t>
      </w:r>
      <w:r>
        <w:rPr>
          <w:color w:val="231F20"/>
          <w:spacing w:val="-15"/>
          <w:sz w:val="20"/>
        </w:rPr>
        <w:t> </w:t>
      </w:r>
      <w:r>
        <w:rPr>
          <w:color w:val="231F20"/>
          <w:sz w:val="20"/>
        </w:rPr>
        <w:t>during</w:t>
      </w:r>
      <w:r>
        <w:rPr>
          <w:color w:val="231F20"/>
          <w:spacing w:val="-15"/>
          <w:sz w:val="20"/>
        </w:rPr>
        <w:t> </w:t>
      </w:r>
      <w:r>
        <w:rPr>
          <w:color w:val="231F20"/>
          <w:sz w:val="20"/>
        </w:rPr>
        <w:t>2013,</w:t>
      </w:r>
      <w:r>
        <w:rPr>
          <w:color w:val="231F20"/>
          <w:spacing w:val="-15"/>
          <w:sz w:val="20"/>
        </w:rPr>
        <w:t> </w:t>
      </w:r>
      <w:r>
        <w:rPr>
          <w:color w:val="231F20"/>
          <w:sz w:val="20"/>
        </w:rPr>
        <w:t>the</w:t>
      </w:r>
      <w:r>
        <w:rPr>
          <w:color w:val="231F20"/>
          <w:spacing w:val="-14"/>
          <w:sz w:val="20"/>
        </w:rPr>
        <w:t> </w:t>
      </w:r>
      <w:r>
        <w:rPr>
          <w:color w:val="231F20"/>
          <w:sz w:val="20"/>
        </w:rPr>
        <w:t>Company</w:t>
      </w:r>
      <w:r>
        <w:rPr>
          <w:color w:val="231F20"/>
          <w:spacing w:val="-15"/>
          <w:sz w:val="20"/>
        </w:rPr>
        <w:t> </w:t>
      </w:r>
      <w:r>
        <w:rPr>
          <w:color w:val="231F20"/>
          <w:sz w:val="20"/>
        </w:rPr>
        <w:t>transitioned</w:t>
      </w:r>
      <w:r>
        <w:rPr>
          <w:color w:val="231F20"/>
          <w:spacing w:val="-15"/>
          <w:sz w:val="20"/>
        </w:rPr>
        <w:t> </w:t>
      </w:r>
      <w:r>
        <w:rPr>
          <w:color w:val="231F20"/>
          <w:sz w:val="20"/>
        </w:rPr>
        <w:t>22</w:t>
      </w:r>
      <w:r>
        <w:rPr>
          <w:color w:val="231F20"/>
          <w:spacing w:val="-15"/>
          <w:sz w:val="20"/>
        </w:rPr>
        <w:t> </w:t>
      </w:r>
      <w:r>
        <w:rPr>
          <w:color w:val="231F20"/>
          <w:sz w:val="20"/>
        </w:rPr>
        <w:t>AirTran</w:t>
      </w:r>
      <w:r>
        <w:rPr>
          <w:color w:val="231F20"/>
          <w:spacing w:val="-15"/>
          <w:sz w:val="20"/>
        </w:rPr>
        <w:t> </w:t>
      </w:r>
      <w:r>
        <w:rPr>
          <w:color w:val="231F20"/>
          <w:sz w:val="20"/>
        </w:rPr>
        <w:t>717-200 aircraft</w:t>
      </w:r>
      <w:r>
        <w:rPr>
          <w:color w:val="231F20"/>
          <w:spacing w:val="-14"/>
          <w:sz w:val="20"/>
        </w:rPr>
        <w:t> </w:t>
      </w:r>
      <w:r>
        <w:rPr>
          <w:color w:val="231F20"/>
          <w:sz w:val="20"/>
        </w:rPr>
        <w:t>out</w:t>
      </w:r>
      <w:r>
        <w:rPr>
          <w:color w:val="231F20"/>
          <w:spacing w:val="-14"/>
          <w:sz w:val="20"/>
        </w:rPr>
        <w:t> </w:t>
      </w:r>
      <w:r>
        <w:rPr>
          <w:color w:val="231F20"/>
          <w:sz w:val="20"/>
        </w:rPr>
        <w:t>of</w:t>
      </w:r>
      <w:r>
        <w:rPr>
          <w:color w:val="231F20"/>
          <w:spacing w:val="-14"/>
          <w:sz w:val="20"/>
        </w:rPr>
        <w:t> </w:t>
      </w:r>
      <w:r>
        <w:rPr>
          <w:color w:val="231F20"/>
          <w:sz w:val="20"/>
        </w:rPr>
        <w:t>active</w:t>
      </w:r>
      <w:r>
        <w:rPr>
          <w:color w:val="231F20"/>
          <w:spacing w:val="-14"/>
          <w:sz w:val="20"/>
        </w:rPr>
        <w:t> </w:t>
      </w:r>
      <w:r>
        <w:rPr>
          <w:color w:val="231F20"/>
          <w:sz w:val="20"/>
        </w:rPr>
        <w:t>service,</w:t>
      </w:r>
      <w:r>
        <w:rPr>
          <w:color w:val="231F20"/>
          <w:spacing w:val="-14"/>
          <w:sz w:val="20"/>
        </w:rPr>
        <w:t> </w:t>
      </w:r>
      <w:r>
        <w:rPr>
          <w:color w:val="231F20"/>
          <w:sz w:val="20"/>
        </w:rPr>
        <w:t>in</w:t>
      </w:r>
      <w:r>
        <w:rPr>
          <w:color w:val="231F20"/>
          <w:spacing w:val="-14"/>
          <w:sz w:val="20"/>
        </w:rPr>
        <w:t> </w:t>
      </w:r>
      <w:r>
        <w:rPr>
          <w:color w:val="231F20"/>
          <w:sz w:val="20"/>
        </w:rPr>
        <w:t>preparation</w:t>
      </w:r>
      <w:r>
        <w:rPr>
          <w:color w:val="231F20"/>
          <w:spacing w:val="-14"/>
          <w:sz w:val="20"/>
        </w:rPr>
        <w:t> </w:t>
      </w:r>
      <w:r>
        <w:rPr>
          <w:color w:val="231F20"/>
          <w:sz w:val="20"/>
        </w:rPr>
        <w:t>for</w:t>
      </w:r>
      <w:r>
        <w:rPr>
          <w:color w:val="231F20"/>
          <w:spacing w:val="-14"/>
          <w:sz w:val="20"/>
        </w:rPr>
        <w:t> </w:t>
      </w:r>
      <w:r>
        <w:rPr>
          <w:color w:val="231F20"/>
          <w:sz w:val="20"/>
        </w:rPr>
        <w:t>transition,</w:t>
      </w:r>
      <w:r>
        <w:rPr>
          <w:color w:val="231F20"/>
          <w:spacing w:val="-14"/>
          <w:sz w:val="20"/>
        </w:rPr>
        <w:t> </w:t>
      </w:r>
      <w:r>
        <w:rPr>
          <w:color w:val="231F20"/>
          <w:sz w:val="20"/>
        </w:rPr>
        <w:t>as</w:t>
      </w:r>
      <w:r>
        <w:rPr>
          <w:color w:val="231F20"/>
          <w:spacing w:val="-14"/>
          <w:sz w:val="20"/>
        </w:rPr>
        <w:t> </w:t>
      </w:r>
      <w:r>
        <w:rPr>
          <w:color w:val="231F20"/>
          <w:sz w:val="20"/>
        </w:rPr>
        <w:t>part</w:t>
      </w:r>
      <w:r>
        <w:rPr>
          <w:color w:val="231F20"/>
          <w:spacing w:val="-14"/>
          <w:sz w:val="20"/>
        </w:rPr>
        <w:t> </w:t>
      </w:r>
      <w:r>
        <w:rPr>
          <w:color w:val="231F20"/>
          <w:sz w:val="20"/>
        </w:rPr>
        <w:t>of</w:t>
      </w:r>
      <w:r>
        <w:rPr>
          <w:color w:val="231F20"/>
          <w:spacing w:val="-14"/>
          <w:sz w:val="20"/>
        </w:rPr>
        <w:t> </w:t>
      </w:r>
      <w:r>
        <w:rPr>
          <w:color w:val="231F20"/>
          <w:sz w:val="20"/>
        </w:rPr>
        <w:t>lease/sublease</w:t>
      </w:r>
      <w:r>
        <w:rPr>
          <w:color w:val="231F20"/>
          <w:spacing w:val="-14"/>
          <w:sz w:val="20"/>
        </w:rPr>
        <w:t> </w:t>
      </w:r>
      <w:r>
        <w:rPr>
          <w:color w:val="231F20"/>
          <w:sz w:val="20"/>
        </w:rPr>
        <w:t>agreements</w:t>
      </w:r>
      <w:r>
        <w:rPr>
          <w:color w:val="231F20"/>
          <w:spacing w:val="-14"/>
          <w:sz w:val="20"/>
        </w:rPr>
        <w:t> </w:t>
      </w:r>
      <w:r>
        <w:rPr>
          <w:color w:val="231F20"/>
          <w:sz w:val="20"/>
        </w:rPr>
        <w:t>with</w:t>
      </w:r>
      <w:r>
        <w:rPr>
          <w:color w:val="231F20"/>
          <w:spacing w:val="-14"/>
          <w:sz w:val="20"/>
        </w:rPr>
        <w:t> </w:t>
      </w:r>
      <w:r>
        <w:rPr>
          <w:color w:val="231F20"/>
          <w:spacing w:val="-2"/>
          <w:sz w:val="20"/>
        </w:rPr>
        <w:t>Delta. </w:t>
      </w:r>
      <w:r>
        <w:rPr>
          <w:color w:val="231F20"/>
          <w:sz w:val="20"/>
        </w:rPr>
        <w:t>As</w:t>
      </w:r>
      <w:r>
        <w:rPr>
          <w:color w:val="231F20"/>
          <w:spacing w:val="-11"/>
          <w:sz w:val="20"/>
        </w:rPr>
        <w:t> </w:t>
      </w:r>
      <w:r>
        <w:rPr>
          <w:color w:val="231F20"/>
          <w:sz w:val="20"/>
        </w:rPr>
        <w:t>of</w:t>
      </w:r>
      <w:r>
        <w:rPr>
          <w:color w:val="231F20"/>
          <w:spacing w:val="-11"/>
          <w:sz w:val="20"/>
        </w:rPr>
        <w:t> </w:t>
      </w:r>
      <w:r>
        <w:rPr>
          <w:color w:val="231F20"/>
          <w:sz w:val="20"/>
        </w:rPr>
        <w:t>December</w:t>
      </w:r>
      <w:r>
        <w:rPr>
          <w:color w:val="231F20"/>
          <w:spacing w:val="-11"/>
          <w:sz w:val="20"/>
        </w:rPr>
        <w:t> </w:t>
      </w:r>
      <w:r>
        <w:rPr>
          <w:color w:val="231F20"/>
          <w:sz w:val="20"/>
        </w:rPr>
        <w:t>31,</w:t>
      </w:r>
      <w:r>
        <w:rPr>
          <w:color w:val="231F20"/>
          <w:spacing w:val="-11"/>
          <w:sz w:val="20"/>
        </w:rPr>
        <w:t> </w:t>
      </w:r>
      <w:r>
        <w:rPr>
          <w:color w:val="231F20"/>
          <w:sz w:val="20"/>
        </w:rPr>
        <w:t>2013,</w:t>
      </w:r>
      <w:r>
        <w:rPr>
          <w:color w:val="231F20"/>
          <w:spacing w:val="-11"/>
          <w:sz w:val="20"/>
        </w:rPr>
        <w:t> </w:t>
      </w:r>
      <w:r>
        <w:rPr>
          <w:color w:val="231F20"/>
          <w:sz w:val="20"/>
        </w:rPr>
        <w:t>a</w:t>
      </w:r>
      <w:r>
        <w:rPr>
          <w:color w:val="231F20"/>
          <w:spacing w:val="-11"/>
          <w:sz w:val="20"/>
        </w:rPr>
        <w:t> </w:t>
      </w:r>
      <w:r>
        <w:rPr>
          <w:color w:val="231F20"/>
          <w:sz w:val="20"/>
        </w:rPr>
        <w:t>total</w:t>
      </w:r>
      <w:r>
        <w:rPr>
          <w:color w:val="231F20"/>
          <w:spacing w:val="-11"/>
          <w:sz w:val="20"/>
        </w:rPr>
        <w:t> </w:t>
      </w:r>
      <w:r>
        <w:rPr>
          <w:color w:val="231F20"/>
          <w:sz w:val="20"/>
        </w:rPr>
        <w:t>of</w:t>
      </w:r>
      <w:r>
        <w:rPr>
          <w:color w:val="231F20"/>
          <w:spacing w:val="-11"/>
          <w:sz w:val="20"/>
        </w:rPr>
        <w:t> </w:t>
      </w:r>
      <w:r>
        <w:rPr>
          <w:color w:val="231F20"/>
          <w:sz w:val="20"/>
        </w:rPr>
        <w:t>13</w:t>
      </w:r>
      <w:r>
        <w:rPr>
          <w:color w:val="231F20"/>
          <w:spacing w:val="-11"/>
          <w:sz w:val="20"/>
        </w:rPr>
        <w:t> </w:t>
      </w:r>
      <w:r>
        <w:rPr>
          <w:color w:val="231F20"/>
          <w:sz w:val="20"/>
        </w:rPr>
        <w:t>717-200</w:t>
      </w:r>
      <w:r>
        <w:rPr>
          <w:color w:val="231F20"/>
          <w:spacing w:val="-11"/>
          <w:sz w:val="20"/>
        </w:rPr>
        <w:t> </w:t>
      </w:r>
      <w:r>
        <w:rPr>
          <w:color w:val="231F20"/>
          <w:sz w:val="20"/>
        </w:rPr>
        <w:t>aircraft</w:t>
      </w:r>
      <w:r>
        <w:rPr>
          <w:color w:val="231F20"/>
          <w:spacing w:val="-11"/>
          <w:sz w:val="20"/>
        </w:rPr>
        <w:t> </w:t>
      </w:r>
      <w:r>
        <w:rPr>
          <w:color w:val="231F20"/>
          <w:sz w:val="20"/>
        </w:rPr>
        <w:t>had</w:t>
      </w:r>
      <w:r>
        <w:rPr>
          <w:color w:val="231F20"/>
          <w:spacing w:val="-11"/>
          <w:sz w:val="20"/>
        </w:rPr>
        <w:t> </w:t>
      </w:r>
      <w:r>
        <w:rPr>
          <w:color w:val="231F20"/>
          <w:sz w:val="20"/>
        </w:rPr>
        <w:t>been</w:t>
      </w:r>
      <w:r>
        <w:rPr>
          <w:color w:val="231F20"/>
          <w:spacing w:val="-11"/>
          <w:sz w:val="20"/>
        </w:rPr>
        <w:t> </w:t>
      </w:r>
      <w:r>
        <w:rPr>
          <w:color w:val="231F20"/>
          <w:sz w:val="20"/>
        </w:rPr>
        <w:t>delivered</w:t>
      </w:r>
      <w:r>
        <w:rPr>
          <w:color w:val="231F20"/>
          <w:spacing w:val="-11"/>
          <w:sz w:val="20"/>
        </w:rPr>
        <w:t> </w:t>
      </w:r>
      <w:r>
        <w:rPr>
          <w:color w:val="231F20"/>
          <w:sz w:val="20"/>
        </w:rPr>
        <w:t>to</w:t>
      </w:r>
      <w:r>
        <w:rPr>
          <w:color w:val="231F20"/>
          <w:spacing w:val="-11"/>
          <w:sz w:val="20"/>
        </w:rPr>
        <w:t> </w:t>
      </w:r>
      <w:r>
        <w:rPr>
          <w:color w:val="231F20"/>
          <w:sz w:val="20"/>
        </w:rPr>
        <w:t>Delta.</w:t>
      </w:r>
      <w:r>
        <w:rPr>
          <w:color w:val="231F20"/>
          <w:spacing w:val="-11"/>
          <w:sz w:val="20"/>
        </w:rPr>
        <w:t> </w:t>
      </w:r>
      <w:r>
        <w:rPr>
          <w:color w:val="231F20"/>
          <w:sz w:val="20"/>
        </w:rPr>
        <w:t>The</w:t>
      </w:r>
      <w:r>
        <w:rPr>
          <w:color w:val="231F20"/>
          <w:spacing w:val="-11"/>
          <w:sz w:val="20"/>
        </w:rPr>
        <w:t> </w:t>
      </w:r>
      <w:r>
        <w:rPr>
          <w:color w:val="231F20"/>
          <w:sz w:val="20"/>
        </w:rPr>
        <w:t>Company</w:t>
      </w:r>
      <w:r>
        <w:rPr>
          <w:color w:val="231F20"/>
          <w:spacing w:val="-11"/>
          <w:sz w:val="20"/>
        </w:rPr>
        <w:t> </w:t>
      </w:r>
      <w:r>
        <w:rPr>
          <w:color w:val="231F20"/>
          <w:sz w:val="20"/>
        </w:rPr>
        <w:t>also retired</w:t>
      </w:r>
      <w:r>
        <w:rPr>
          <w:color w:val="231F20"/>
          <w:spacing w:val="-12"/>
          <w:sz w:val="20"/>
        </w:rPr>
        <w:t> </w:t>
      </w:r>
      <w:r>
        <w:rPr>
          <w:color w:val="231F20"/>
          <w:sz w:val="20"/>
        </w:rPr>
        <w:t>11</w:t>
      </w:r>
      <w:r>
        <w:rPr>
          <w:color w:val="231F20"/>
          <w:spacing w:val="-12"/>
          <w:sz w:val="20"/>
        </w:rPr>
        <w:t> </w:t>
      </w:r>
      <w:r>
        <w:rPr>
          <w:color w:val="231F20"/>
          <w:sz w:val="20"/>
        </w:rPr>
        <w:t>older</w:t>
      </w:r>
      <w:r>
        <w:rPr>
          <w:color w:val="231F20"/>
          <w:spacing w:val="-11"/>
          <w:sz w:val="20"/>
        </w:rPr>
        <w:t> </w:t>
      </w:r>
      <w:r>
        <w:rPr>
          <w:color w:val="231F20"/>
          <w:sz w:val="20"/>
        </w:rPr>
        <w:t>737-300s</w:t>
      </w:r>
      <w:r>
        <w:rPr>
          <w:color w:val="231F20"/>
          <w:spacing w:val="-11"/>
          <w:sz w:val="20"/>
        </w:rPr>
        <w:t> </w:t>
      </w:r>
      <w:r>
        <w:rPr>
          <w:color w:val="231F20"/>
          <w:sz w:val="20"/>
        </w:rPr>
        <w:t>and</w:t>
      </w:r>
      <w:r>
        <w:rPr>
          <w:color w:val="231F20"/>
          <w:spacing w:val="-12"/>
          <w:sz w:val="20"/>
        </w:rPr>
        <w:t> </w:t>
      </w:r>
      <w:r>
        <w:rPr>
          <w:color w:val="231F20"/>
          <w:sz w:val="20"/>
        </w:rPr>
        <w:t>737-500s</w:t>
      </w:r>
      <w:r>
        <w:rPr>
          <w:color w:val="231F20"/>
          <w:spacing w:val="-11"/>
          <w:sz w:val="20"/>
        </w:rPr>
        <w:t> </w:t>
      </w:r>
      <w:r>
        <w:rPr>
          <w:color w:val="231F20"/>
          <w:sz w:val="20"/>
        </w:rPr>
        <w:t>from</w:t>
      </w:r>
      <w:r>
        <w:rPr>
          <w:color w:val="231F20"/>
          <w:spacing w:val="-11"/>
          <w:sz w:val="20"/>
        </w:rPr>
        <w:t> </w:t>
      </w:r>
      <w:r>
        <w:rPr>
          <w:color w:val="231F20"/>
          <w:sz w:val="20"/>
        </w:rPr>
        <w:t>its</w:t>
      </w:r>
      <w:r>
        <w:rPr>
          <w:color w:val="231F20"/>
          <w:spacing w:val="-11"/>
          <w:sz w:val="20"/>
        </w:rPr>
        <w:t> </w:t>
      </w:r>
      <w:r>
        <w:rPr>
          <w:color w:val="231F20"/>
          <w:sz w:val="20"/>
        </w:rPr>
        <w:t>fleet</w:t>
      </w:r>
      <w:r>
        <w:rPr>
          <w:color w:val="231F20"/>
          <w:spacing w:val="-11"/>
          <w:sz w:val="20"/>
        </w:rPr>
        <w:t> </w:t>
      </w:r>
      <w:r>
        <w:rPr>
          <w:color w:val="231F20"/>
          <w:sz w:val="20"/>
        </w:rPr>
        <w:t>during</w:t>
      </w:r>
      <w:r>
        <w:rPr>
          <w:color w:val="231F20"/>
          <w:spacing w:val="-12"/>
          <w:sz w:val="20"/>
        </w:rPr>
        <w:t> </w:t>
      </w:r>
      <w:r>
        <w:rPr>
          <w:color w:val="231F20"/>
          <w:sz w:val="20"/>
        </w:rPr>
        <w:t>2013.</w:t>
      </w:r>
      <w:r>
        <w:rPr>
          <w:color w:val="231F20"/>
          <w:spacing w:val="-12"/>
          <w:sz w:val="20"/>
        </w:rPr>
        <w:t> </w:t>
      </w:r>
      <w:r>
        <w:rPr>
          <w:color w:val="231F20"/>
          <w:sz w:val="20"/>
        </w:rPr>
        <w:t>The</w:t>
      </w:r>
      <w:r>
        <w:rPr>
          <w:color w:val="231F20"/>
          <w:spacing w:val="-11"/>
          <w:sz w:val="20"/>
        </w:rPr>
        <w:t> </w:t>
      </w:r>
      <w:r>
        <w:rPr>
          <w:color w:val="231F20"/>
          <w:sz w:val="20"/>
        </w:rPr>
        <w:t>Company</w:t>
      </w:r>
      <w:r>
        <w:rPr>
          <w:color w:val="231F20"/>
          <w:spacing w:val="-12"/>
          <w:sz w:val="20"/>
        </w:rPr>
        <w:t> </w:t>
      </w:r>
      <w:r>
        <w:rPr>
          <w:color w:val="231F20"/>
          <w:sz w:val="20"/>
        </w:rPr>
        <w:t>intends</w:t>
      </w:r>
      <w:r>
        <w:rPr>
          <w:color w:val="231F20"/>
          <w:spacing w:val="-11"/>
          <w:sz w:val="20"/>
        </w:rPr>
        <w:t> </w:t>
      </w:r>
      <w:r>
        <w:rPr>
          <w:color w:val="231F20"/>
          <w:sz w:val="20"/>
        </w:rPr>
        <w:t>to</w:t>
      </w:r>
      <w:r>
        <w:rPr>
          <w:color w:val="231F20"/>
          <w:spacing w:val="-12"/>
          <w:sz w:val="20"/>
        </w:rPr>
        <w:t> </w:t>
      </w:r>
      <w:r>
        <w:rPr>
          <w:color w:val="231F20"/>
          <w:sz w:val="20"/>
        </w:rPr>
        <w:t>continue</w:t>
      </w:r>
      <w:r>
        <w:rPr>
          <w:color w:val="231F20"/>
          <w:spacing w:val="-11"/>
          <w:sz w:val="20"/>
        </w:rPr>
        <w:t> </w:t>
      </w:r>
      <w:r>
        <w:rPr>
          <w:color w:val="231F20"/>
          <w:sz w:val="20"/>
        </w:rPr>
        <w:t>to replace</w:t>
      </w:r>
      <w:r>
        <w:rPr>
          <w:color w:val="231F20"/>
          <w:spacing w:val="-12"/>
          <w:sz w:val="20"/>
        </w:rPr>
        <w:t> </w:t>
      </w:r>
      <w:r>
        <w:rPr>
          <w:color w:val="231F20"/>
          <w:sz w:val="20"/>
        </w:rPr>
        <w:t>these</w:t>
      </w:r>
      <w:r>
        <w:rPr>
          <w:color w:val="231F20"/>
          <w:spacing w:val="-12"/>
          <w:sz w:val="20"/>
        </w:rPr>
        <w:t> </w:t>
      </w:r>
      <w:r>
        <w:rPr>
          <w:color w:val="231F20"/>
          <w:sz w:val="20"/>
        </w:rPr>
        <w:t>less</w:t>
      </w:r>
      <w:r>
        <w:rPr>
          <w:color w:val="231F20"/>
          <w:spacing w:val="-12"/>
          <w:sz w:val="20"/>
        </w:rPr>
        <w:t> </w:t>
      </w:r>
      <w:r>
        <w:rPr>
          <w:color w:val="231F20"/>
          <w:sz w:val="20"/>
        </w:rPr>
        <w:t>efficient</w:t>
      </w:r>
      <w:r>
        <w:rPr>
          <w:color w:val="231F20"/>
          <w:spacing w:val="-12"/>
          <w:sz w:val="20"/>
        </w:rPr>
        <w:t> </w:t>
      </w:r>
      <w:r>
        <w:rPr>
          <w:color w:val="231F20"/>
          <w:sz w:val="20"/>
        </w:rPr>
        <w:t>aircraft</w:t>
      </w:r>
      <w:r>
        <w:rPr>
          <w:color w:val="231F20"/>
          <w:spacing w:val="-12"/>
          <w:sz w:val="20"/>
        </w:rPr>
        <w:t> </w:t>
      </w:r>
      <w:r>
        <w:rPr>
          <w:color w:val="231F20"/>
          <w:sz w:val="20"/>
        </w:rPr>
        <w:t>through</w:t>
      </w:r>
      <w:r>
        <w:rPr>
          <w:color w:val="231F20"/>
          <w:spacing w:val="-13"/>
          <w:sz w:val="20"/>
        </w:rPr>
        <w:t> </w:t>
      </w:r>
      <w:r>
        <w:rPr>
          <w:color w:val="231F20"/>
          <w:sz w:val="20"/>
        </w:rPr>
        <w:t>its</w:t>
      </w:r>
      <w:r>
        <w:rPr>
          <w:color w:val="231F20"/>
          <w:spacing w:val="-12"/>
          <w:sz w:val="20"/>
        </w:rPr>
        <w:t> </w:t>
      </w:r>
      <w:r>
        <w:rPr>
          <w:color w:val="231F20"/>
          <w:sz w:val="20"/>
        </w:rPr>
        <w:t>current</w:t>
      </w:r>
      <w:r>
        <w:rPr>
          <w:color w:val="231F20"/>
          <w:spacing w:val="-12"/>
          <w:sz w:val="20"/>
        </w:rPr>
        <w:t> </w:t>
      </w:r>
      <w:r>
        <w:rPr>
          <w:color w:val="231F20"/>
          <w:sz w:val="20"/>
        </w:rPr>
        <w:t>order</w:t>
      </w:r>
      <w:r>
        <w:rPr>
          <w:color w:val="231F20"/>
          <w:spacing w:val="-12"/>
          <w:sz w:val="20"/>
        </w:rPr>
        <w:t> </w:t>
      </w:r>
      <w:r>
        <w:rPr>
          <w:color w:val="231F20"/>
          <w:sz w:val="20"/>
        </w:rPr>
        <w:t>book</w:t>
      </w:r>
      <w:r>
        <w:rPr>
          <w:color w:val="231F20"/>
          <w:spacing w:val="-13"/>
          <w:sz w:val="20"/>
        </w:rPr>
        <w:t> </w:t>
      </w:r>
      <w:r>
        <w:rPr>
          <w:color w:val="231F20"/>
          <w:sz w:val="20"/>
        </w:rPr>
        <w:t>with</w:t>
      </w:r>
      <w:r>
        <w:rPr>
          <w:color w:val="231F20"/>
          <w:spacing w:val="-13"/>
          <w:sz w:val="20"/>
        </w:rPr>
        <w:t> </w:t>
      </w:r>
      <w:r>
        <w:rPr>
          <w:color w:val="231F20"/>
          <w:sz w:val="20"/>
        </w:rPr>
        <w:t>Boeing</w:t>
      </w:r>
      <w:r>
        <w:rPr>
          <w:color w:val="231F20"/>
          <w:spacing w:val="-13"/>
          <w:sz w:val="20"/>
        </w:rPr>
        <w:t> </w:t>
      </w:r>
      <w:r>
        <w:rPr>
          <w:color w:val="231F20"/>
          <w:sz w:val="20"/>
        </w:rPr>
        <w:t>and</w:t>
      </w:r>
      <w:r>
        <w:rPr>
          <w:color w:val="231F20"/>
          <w:spacing w:val="-13"/>
          <w:sz w:val="20"/>
        </w:rPr>
        <w:t> </w:t>
      </w:r>
      <w:r>
        <w:rPr>
          <w:color w:val="231F20"/>
          <w:sz w:val="20"/>
        </w:rPr>
        <w:t>through</w:t>
      </w:r>
      <w:r>
        <w:rPr>
          <w:color w:val="231F20"/>
          <w:spacing w:val="-13"/>
          <w:sz w:val="20"/>
        </w:rPr>
        <w:t> </w:t>
      </w:r>
      <w:r>
        <w:rPr>
          <w:color w:val="231F20"/>
          <w:sz w:val="20"/>
        </w:rPr>
        <w:t>the</w:t>
      </w:r>
      <w:r>
        <w:rPr>
          <w:color w:val="231F20"/>
          <w:spacing w:val="-12"/>
          <w:sz w:val="20"/>
        </w:rPr>
        <w:t> </w:t>
      </w:r>
      <w:r>
        <w:rPr>
          <w:color w:val="231F20"/>
          <w:sz w:val="20"/>
        </w:rPr>
        <w:t>purchase and</w:t>
      </w:r>
      <w:r>
        <w:rPr>
          <w:color w:val="231F20"/>
          <w:spacing w:val="-16"/>
          <w:sz w:val="20"/>
        </w:rPr>
        <w:t> </w:t>
      </w:r>
      <w:r>
        <w:rPr>
          <w:color w:val="231F20"/>
          <w:sz w:val="20"/>
        </w:rPr>
        <w:t>lease</w:t>
      </w:r>
      <w:r>
        <w:rPr>
          <w:color w:val="231F20"/>
          <w:spacing w:val="-16"/>
          <w:sz w:val="20"/>
        </w:rPr>
        <w:t> </w:t>
      </w:r>
      <w:r>
        <w:rPr>
          <w:color w:val="231F20"/>
          <w:sz w:val="20"/>
        </w:rPr>
        <w:t>of</w:t>
      </w:r>
      <w:r>
        <w:rPr>
          <w:color w:val="231F20"/>
          <w:spacing w:val="-16"/>
          <w:sz w:val="20"/>
        </w:rPr>
        <w:t> </w:t>
      </w:r>
      <w:r>
        <w:rPr>
          <w:color w:val="231F20"/>
          <w:sz w:val="20"/>
        </w:rPr>
        <w:t>additional</w:t>
      </w:r>
      <w:r>
        <w:rPr>
          <w:color w:val="231F20"/>
          <w:spacing w:val="-16"/>
          <w:sz w:val="20"/>
        </w:rPr>
        <w:t> </w:t>
      </w:r>
      <w:r>
        <w:rPr>
          <w:color w:val="231F20"/>
          <w:sz w:val="20"/>
        </w:rPr>
        <w:t>pre-owned</w:t>
      </w:r>
      <w:r>
        <w:rPr>
          <w:color w:val="231F20"/>
          <w:spacing w:val="-16"/>
          <w:sz w:val="20"/>
        </w:rPr>
        <w:t> </w:t>
      </w:r>
      <w:r>
        <w:rPr>
          <w:color w:val="231F20"/>
          <w:sz w:val="20"/>
        </w:rPr>
        <w:t>737-700</w:t>
      </w:r>
      <w:r>
        <w:rPr>
          <w:color w:val="231F20"/>
          <w:spacing w:val="-16"/>
          <w:sz w:val="20"/>
        </w:rPr>
        <w:t> </w:t>
      </w:r>
      <w:r>
        <w:rPr>
          <w:color w:val="231F20"/>
          <w:sz w:val="20"/>
        </w:rPr>
        <w:t>aircraft</w:t>
      </w:r>
      <w:r>
        <w:rPr>
          <w:color w:val="231F20"/>
          <w:spacing w:val="-16"/>
          <w:sz w:val="20"/>
        </w:rPr>
        <w:t> </w:t>
      </w:r>
      <w:r>
        <w:rPr>
          <w:color w:val="231F20"/>
          <w:sz w:val="20"/>
        </w:rPr>
        <w:t>from</w:t>
      </w:r>
      <w:r>
        <w:rPr>
          <w:color w:val="231F20"/>
          <w:spacing w:val="-16"/>
          <w:sz w:val="20"/>
        </w:rPr>
        <w:t> </w:t>
      </w:r>
      <w:r>
        <w:rPr>
          <w:color w:val="231F20"/>
          <w:sz w:val="20"/>
        </w:rPr>
        <w:t>third</w:t>
      </w:r>
      <w:r>
        <w:rPr>
          <w:color w:val="231F20"/>
          <w:spacing w:val="-16"/>
          <w:sz w:val="20"/>
        </w:rPr>
        <w:t> </w:t>
      </w:r>
      <w:r>
        <w:rPr>
          <w:color w:val="231F20"/>
          <w:sz w:val="20"/>
        </w:rPr>
        <w:t>parties.</w:t>
      </w:r>
    </w:p>
    <w:p>
      <w:pPr>
        <w:pStyle w:val="ListParagraph"/>
        <w:numPr>
          <w:ilvl w:val="1"/>
          <w:numId w:val="7"/>
        </w:numPr>
        <w:tabs>
          <w:tab w:pos="899" w:val="left" w:leader="none"/>
          <w:tab w:pos="900" w:val="left" w:leader="none"/>
        </w:tabs>
        <w:spacing w:line="249" w:lineRule="auto" w:before="181" w:after="0"/>
        <w:ind w:left="900" w:right="178" w:hanging="300"/>
        <w:jc w:val="left"/>
        <w:rPr>
          <w:sz w:val="20"/>
        </w:rPr>
      </w:pPr>
      <w:r>
        <w:rPr>
          <w:color w:val="231F20"/>
          <w:sz w:val="20"/>
          <w:u w:val="single" w:color="231F20"/>
        </w:rPr>
        <w:t>The continued incorporation of a larger aircraft, the Boeing 737-800, into Southwest’s fleet. </w:t>
      </w:r>
      <w:r>
        <w:rPr>
          <w:color w:val="231F20"/>
          <w:sz w:val="20"/>
        </w:rPr>
        <w:t>To further support its fleet modernization efforts, the Company received a total of 18 Boeing 737-800s during 2013. As of December 31, 2013, the Company’s active fleet included 52 737-800s. The</w:t>
      </w:r>
      <w:r>
        <w:rPr>
          <w:color w:val="231F20"/>
          <w:spacing w:val="3"/>
          <w:sz w:val="20"/>
        </w:rPr>
        <w:t> </w:t>
      </w:r>
      <w:r>
        <w:rPr>
          <w:color w:val="231F20"/>
          <w:sz w:val="20"/>
        </w:rPr>
        <w:t>Boeing</w:t>
      </w:r>
    </w:p>
    <w:p>
      <w:pPr>
        <w:pStyle w:val="BodyText"/>
        <w:spacing w:before="1"/>
        <w:ind w:left="900"/>
      </w:pPr>
      <w:r>
        <w:rPr>
          <w:color w:val="231F20"/>
        </w:rPr>
        <w:t>737-800 (i) is better suited for potential new destinations, including near-international locations,</w:t>
      </w:r>
    </w:p>
    <w:p>
      <w:pPr>
        <w:pStyle w:val="ListParagraph"/>
        <w:numPr>
          <w:ilvl w:val="0"/>
          <w:numId w:val="8"/>
        </w:numPr>
        <w:tabs>
          <w:tab w:pos="1196" w:val="left" w:leader="none"/>
        </w:tabs>
        <w:spacing w:line="249" w:lineRule="auto" w:before="10" w:after="0"/>
        <w:ind w:left="900" w:right="117" w:firstLine="0"/>
        <w:jc w:val="left"/>
        <w:rPr>
          <w:sz w:val="20"/>
        </w:rPr>
      </w:pPr>
      <w:r>
        <w:rPr>
          <w:color w:val="231F20"/>
          <w:sz w:val="20"/>
        </w:rPr>
        <w:t>provides the Company with the opportunity to generate additional revenue by replacing current aircraft on specified routes and locations that are restricted due to space constraints or slot controls,</w:t>
      </w:r>
      <w:r>
        <w:rPr>
          <w:color w:val="231F20"/>
          <w:spacing w:val="13"/>
          <w:sz w:val="20"/>
        </w:rPr>
        <w:t> </w:t>
      </w:r>
      <w:r>
        <w:rPr>
          <w:color w:val="231F20"/>
          <w:sz w:val="20"/>
        </w:rPr>
        <w:t>and</w:t>
      </w:r>
    </w:p>
    <w:p>
      <w:pPr>
        <w:pStyle w:val="ListParagraph"/>
        <w:numPr>
          <w:ilvl w:val="0"/>
          <w:numId w:val="8"/>
        </w:numPr>
        <w:tabs>
          <w:tab w:pos="1252" w:val="left" w:leader="none"/>
        </w:tabs>
        <w:spacing w:line="240" w:lineRule="auto" w:before="1" w:after="0"/>
        <w:ind w:left="1252" w:right="0" w:hanging="352"/>
        <w:jc w:val="left"/>
        <w:rPr>
          <w:sz w:val="20"/>
        </w:rPr>
      </w:pPr>
      <w:r>
        <w:rPr>
          <w:color w:val="231F20"/>
          <w:sz w:val="20"/>
        </w:rPr>
        <w:t>operates at a lower unit cost than other aircraft in the Company’s existing</w:t>
      </w:r>
      <w:r>
        <w:rPr>
          <w:color w:val="231F20"/>
          <w:spacing w:val="5"/>
          <w:sz w:val="20"/>
        </w:rPr>
        <w:t> </w:t>
      </w:r>
      <w:r>
        <w:rPr>
          <w:color w:val="231F20"/>
          <w:sz w:val="20"/>
        </w:rPr>
        <w:t>fleet.</w:t>
      </w:r>
    </w:p>
    <w:p>
      <w:pPr>
        <w:spacing w:after="0" w:line="240" w:lineRule="auto"/>
        <w:jc w:val="left"/>
        <w:rPr>
          <w:sz w:val="20"/>
        </w:rPr>
        <w:sectPr>
          <w:pgSz w:w="11880" w:h="15480"/>
          <w:pgMar w:header="0" w:footer="1253" w:top="1240" w:bottom="1440" w:left="1280" w:right="1280"/>
        </w:sectPr>
      </w:pPr>
    </w:p>
    <w:p>
      <w:pPr>
        <w:pStyle w:val="ListParagraph"/>
        <w:numPr>
          <w:ilvl w:val="1"/>
          <w:numId w:val="7"/>
        </w:numPr>
        <w:tabs>
          <w:tab w:pos="899" w:val="left" w:leader="none"/>
          <w:tab w:pos="900" w:val="left" w:leader="none"/>
        </w:tabs>
        <w:spacing w:line="249" w:lineRule="auto" w:before="73" w:after="0"/>
        <w:ind w:left="900" w:right="297" w:hanging="300"/>
        <w:jc w:val="left"/>
        <w:rPr>
          <w:sz w:val="20"/>
        </w:rPr>
      </w:pPr>
      <w:r>
        <w:rPr>
          <w:color w:val="231F20"/>
          <w:sz w:val="20"/>
          <w:u w:val="single" w:color="231F20"/>
        </w:rPr>
        <w:t>International Capabilities and New Reservation System. </w:t>
      </w:r>
      <w:r>
        <w:rPr>
          <w:color w:val="231F20"/>
          <w:sz w:val="20"/>
        </w:rPr>
        <w:t>In January 2014, the Company began selling its first international itineraries to be flown by Southwest aircraft and announced plans to begin Southwest service to Jamaica (Montego Bay), The Bahamas (Nassau), and Aruba (Oranjestad) beginning July 1, 2014. The Company expects to launch Southwest international service to Mexico (Cancun, Mexico City, and Cabo San Lucas) and Dominican Republic (Punta Cana) by the end of 2014. The Company worked with Amadeus IT Group to implement Amadeus’ Altea reservations solution to support the Company’s international service. The contract also provides the option for Southwest to migrate its domestic business to Amadeus in the</w:t>
      </w:r>
      <w:r>
        <w:rPr>
          <w:color w:val="231F20"/>
          <w:spacing w:val="5"/>
          <w:sz w:val="20"/>
        </w:rPr>
        <w:t> </w:t>
      </w:r>
      <w:r>
        <w:rPr>
          <w:color w:val="231F20"/>
          <w:sz w:val="20"/>
        </w:rPr>
        <w:t>future.</w:t>
      </w:r>
    </w:p>
    <w:p>
      <w:pPr>
        <w:pStyle w:val="ListParagraph"/>
        <w:numPr>
          <w:ilvl w:val="1"/>
          <w:numId w:val="7"/>
        </w:numPr>
        <w:tabs>
          <w:tab w:pos="899" w:val="left" w:leader="none"/>
          <w:tab w:pos="900" w:val="left" w:leader="none"/>
        </w:tabs>
        <w:spacing w:line="249" w:lineRule="auto" w:before="145" w:after="0"/>
        <w:ind w:left="900" w:right="115" w:hanging="300"/>
        <w:jc w:val="left"/>
        <w:rPr>
          <w:sz w:val="20"/>
        </w:rPr>
      </w:pPr>
      <w:r>
        <w:rPr>
          <w:color w:val="231F20"/>
          <w:sz w:val="20"/>
          <w:u w:val="single" w:color="231F20"/>
        </w:rPr>
        <w:t>Southwest’s Rapid Rewards frequent flyer program. </w:t>
      </w:r>
      <w:r>
        <w:rPr>
          <w:color w:val="231F20"/>
          <w:sz w:val="20"/>
        </w:rPr>
        <w:t>In March 2011, Southwest launched its current Rapid Rewards frequent flyer program, under which members earn points for every dollar spent. The results of the program have exceeded the Company’s expectations with respect to the number of new frequent flyer members, the amount spent per member on airfare, the number of flights taken by members, the number of Southwest’s co-branded Chase</w:t>
      </w:r>
      <w:r>
        <w:rPr>
          <w:color w:val="231F20"/>
          <w:position w:val="5"/>
          <w:sz w:val="15"/>
        </w:rPr>
        <w:t>® </w:t>
      </w:r>
      <w:r>
        <w:rPr>
          <w:color w:val="231F20"/>
          <w:sz w:val="20"/>
        </w:rPr>
        <w:t>Visa credit card holders added, the number of points sold to business partners, and the number of frequent flyer points purchased by program members.</w:t>
      </w:r>
    </w:p>
    <w:p>
      <w:pPr>
        <w:pStyle w:val="BodyText"/>
        <w:spacing w:line="249" w:lineRule="auto" w:before="145"/>
        <w:ind w:left="100" w:right="134" w:firstLine="490"/>
      </w:pPr>
      <w:r>
        <w:rPr>
          <w:color w:val="231F20"/>
        </w:rPr>
        <w:t>In addition, the Company implemented other initiatives designed to increase revenues during 2013 and future periods. During first quarter 2013, Southwest began selling open premium boarding positions systemwide at the gate for a $40 charge per flight, increased the amount Customers pay for its EarlyBird Check-in product from $10 per one-way ticket to $12.50 per one-way ticket, and increased the fees charged for certain checked excess baggage. On AirTran flights, the charge for a Customer’s first checked bag increased to $25, and a second checked bag now costs $35. On Southwest flights, a Customer may still check up to two bags, up to 50 pounds each, free of charge, but the charge for a third or subsequent checked bag, or for any bag in excess of 50 pounds, increased to $75 each. On September 13, 2013, Southwest implemented a No Show policy that applies to nonrefundable fares that are not canceled or changed by a Customer at least ten minutes prior to a flight’s scheduled departure. If a Customer has booked a nonrefundable fare anywhere in his/her itinerary and that portion of the flight is not used and not canceled or changed by the Customer at least ten minutes prior to scheduled departure, all unused funds on the full itinerary will be forfeited, and the remaining reservation will be canceled. See Note 1 to the Consolidated Financial</w:t>
      </w:r>
      <w:r>
        <w:rPr>
          <w:color w:val="231F20"/>
          <w:spacing w:val="3"/>
        </w:rPr>
        <w:t> </w:t>
      </w:r>
      <w:r>
        <w:rPr>
          <w:color w:val="231F20"/>
        </w:rPr>
        <w:t>Statements.</w:t>
      </w:r>
    </w:p>
    <w:p>
      <w:pPr>
        <w:pStyle w:val="BodyText"/>
        <w:spacing w:line="249" w:lineRule="auto" w:before="145"/>
        <w:ind w:left="100" w:right="125" w:firstLine="490"/>
      </w:pPr>
      <w:r>
        <w:rPr>
          <w:color w:val="231F20"/>
        </w:rPr>
        <w:t>During 2013, the Company became the first and only carrier to offer gate-to-gate WiFi connectivity, which means Customers can now utilize satellite WiFi throughout their entire trip with no interruptions. In addition, Southwest has supplemented its WiFi capability with the option for Customers to view movies-on-demand, as well as a free package of live television channels, all of which can be watched from the Customer’s own personal portable electronic device. Also during 2013, the Company became the first airline to offer a Messaging-only option. Messaging is currently only available for Apple’s iMessage service, but is expected to expand in early 2014 to other messaging platforms.</w:t>
      </w:r>
    </w:p>
    <w:p>
      <w:pPr>
        <w:pStyle w:val="BodyText"/>
        <w:spacing w:line="249" w:lineRule="auto" w:before="145"/>
        <w:ind w:left="100" w:right="157" w:firstLine="490"/>
      </w:pPr>
      <w:r>
        <w:rPr>
          <w:color w:val="231F20"/>
        </w:rPr>
        <w:t>As part of the Company’s expected near-international service, the Company has agreed to manage the construction of international facilities at Houston’s William P. Hobby Airport and Fort Lauderdale-Hollywood International Airport. The Company entered into a Memorandum of Agreement (“MOA”) with the City of Houston (“City”), effective June 2012, to expand the existing Houston Hobby airport facility, including the building of five gates and an international processing facility. Construction began during third quarter 2013 and is estimated to be completed during the second half of 2015. In addition, the Company entered into an agreement with Broward County, Florida during fourth quarter 2013 that includes construction of the Terminal 1 Modernization Project and a new five gate Concourse A with an international processing facility. Construction is anticipated to begin in 2014 and to be completed in early 2017.</w:t>
      </w:r>
    </w:p>
    <w:p>
      <w:pPr>
        <w:pStyle w:val="BodyText"/>
        <w:spacing w:line="249" w:lineRule="auto" w:before="145"/>
        <w:ind w:left="100" w:right="252" w:firstLine="490"/>
      </w:pPr>
      <w:r>
        <w:rPr>
          <w:color w:val="231F20"/>
        </w:rPr>
        <w:t>During fourth quarter 2013, the Company took steps to supplement its existing service at New York LaGuardia Airport by acquiring 12 takeoff and landing slots (for six roundtrip flights) at LaGuardia. The acquired slots were divested by AMR Corporation, the parent company of American Airlines, Inc., as part of its merger with US Airways Group, Inc. Also in connection with the divestiture, the Company gained ownership through the purchase of ten takeoff and landing slots (for five roundtrip flights) at LaGuardia that it previously</w:t>
      </w:r>
    </w:p>
    <w:p>
      <w:pPr>
        <w:spacing w:after="0" w:line="249" w:lineRule="auto"/>
        <w:sectPr>
          <w:pgSz w:w="11880" w:h="15480"/>
          <w:pgMar w:header="0" w:footer="1253" w:top="1240" w:bottom="1440" w:left="1280" w:right="1280"/>
        </w:sectPr>
      </w:pPr>
    </w:p>
    <w:p>
      <w:pPr>
        <w:pStyle w:val="BodyText"/>
        <w:spacing w:line="249" w:lineRule="auto" w:before="73"/>
        <w:ind w:left="100" w:right="121"/>
      </w:pPr>
      <w:r>
        <w:rPr>
          <w:color w:val="231F20"/>
        </w:rPr>
        <w:t>operated under a lease from American. The Company plans to supplement its existing service utilizing the newly acquired slots at LaGuardia beginning in May 2014. In January 2014, the Company was notified of its winning bid to acquire 54 takeoff and landing slots (for 27 roundtrip flights) at Washington Reagan National Airport, which also must be divested in connection with the merger between American and US Airways. The acquisition of these slots, which is subject to final approval of the Department of Justice and customary written agreements, will supplement the Company’s existing service at Washington Reagan. Although the transaction is not yet final, the Company expects to fund the purchase utilizing cash on hand. Also, during 2013 the Company launched Southwest service to San Juan, Puerto Rico, Southwest’s first destination outside the continental United States. In addition, the Company announced its decision to close three cities in its network. On June 7, 2014, Southwest plans to cease operations at Branson Airport, Key West International Airport, and Jackson-Evers International Airport.</w:t>
      </w:r>
    </w:p>
    <w:p>
      <w:pPr>
        <w:pStyle w:val="BodyText"/>
        <w:spacing w:before="10"/>
        <w:rPr>
          <w:sz w:val="17"/>
        </w:rPr>
      </w:pPr>
    </w:p>
    <w:p>
      <w:pPr>
        <w:pStyle w:val="BodyText"/>
        <w:ind w:left="590"/>
      </w:pPr>
      <w:r>
        <w:rPr>
          <w:color w:val="231F20"/>
        </w:rPr>
        <w:t>The Company continues to return significant value to its Shareholders. During 2013, the Company returned</w:t>
      </w:r>
    </w:p>
    <w:p>
      <w:pPr>
        <w:pStyle w:val="BodyText"/>
        <w:spacing w:line="249" w:lineRule="auto" w:before="9"/>
        <w:ind w:left="100" w:right="238"/>
      </w:pPr>
      <w:r>
        <w:rPr>
          <w:color w:val="231F20"/>
        </w:rPr>
        <w:t>$540 million to its Shareholders through the Company’s buyback of shares on the open market and two separate accelerated share repurchase programs (“ASR Programs”). See Part II, Item 5 for further information on the Company’s share repurchase authorizations. In addition, the Company returned a total of $71 million to Shareholders through dividends paid during 2013. Beginning with the Company’s second quarter dividend declaration, the cash payment per share has been $.04, which equates to an approximate $100 million return to Shareholders on an annualized basis.</w:t>
      </w:r>
    </w:p>
    <w:p>
      <w:pPr>
        <w:pStyle w:val="BodyText"/>
        <w:spacing w:before="10"/>
        <w:rPr>
          <w:sz w:val="17"/>
        </w:rPr>
      </w:pPr>
    </w:p>
    <w:p>
      <w:pPr>
        <w:pStyle w:val="BodyText"/>
        <w:spacing w:line="249" w:lineRule="auto"/>
        <w:ind w:left="100" w:right="176" w:firstLine="490"/>
      </w:pPr>
      <w:r>
        <w:rPr>
          <w:color w:val="231F20"/>
        </w:rPr>
        <w:t>At the current time, the Company plans to continue its route network and schedule optimization efforts. As of January 22, 2013, the Company was scheduled to receive 33 new 737-800 aircraft from Boeing and 12 pre- owned 737-700s it has agreed to purchase or lease from third parties during 2014. The Company also expects to retire some of its older 737-300 and 737-500 aircraft, as well as transition a number of 717-200 aircraft out of active service as part of the Company’s lease/sublease agreements with Delta. See Note 8 to the Consolidated Financial Statements. In total, the Company currently expects 2014 ASMs to be in line with 2013 as it continues to optimize its network and execute on its strategic plan.</w:t>
      </w:r>
    </w:p>
    <w:p>
      <w:pPr>
        <w:pStyle w:val="BodyText"/>
        <w:spacing w:before="10"/>
        <w:rPr>
          <w:sz w:val="17"/>
        </w:rPr>
      </w:pPr>
    </w:p>
    <w:p>
      <w:pPr>
        <w:pStyle w:val="Heading4"/>
        <w:ind w:left="300"/>
        <w:rPr>
          <w:i/>
        </w:rPr>
      </w:pPr>
      <w:r>
        <w:rPr>
          <w:i/>
          <w:color w:val="231F20"/>
        </w:rPr>
        <w:t>2013 compared with 2012</w:t>
      </w:r>
    </w:p>
    <w:p>
      <w:pPr>
        <w:pStyle w:val="BodyText"/>
        <w:spacing w:before="7"/>
        <w:rPr>
          <w:b/>
          <w:i/>
          <w:sz w:val="18"/>
        </w:rPr>
      </w:pPr>
    </w:p>
    <w:p>
      <w:pPr>
        <w:pStyle w:val="BodyText"/>
        <w:ind w:left="590"/>
      </w:pPr>
      <w:r>
        <w:rPr>
          <w:color w:val="231F20"/>
        </w:rPr>
        <w:t>The Company’s 2013 net income of $754 million ($1.05 per share, diluted) increased by $333 million, or</w:t>
      </w:r>
    </w:p>
    <w:p>
      <w:pPr>
        <w:pStyle w:val="BodyText"/>
        <w:spacing w:line="249" w:lineRule="auto" w:before="9"/>
        <w:ind w:left="100" w:right="127"/>
      </w:pPr>
      <w:r>
        <w:rPr>
          <w:color w:val="231F20"/>
        </w:rPr>
        <w:t>79.1 percent, compared to its 2012 net income of $421 million ($0.56 per share, diluted). Excluding the impact of special items, the Company’s 2013 net income on a non-GAAP basis increased 93.0 percent compared to 2012. Both significant increases were primarily due to a combination of (i) higher passenger revenues, primarily achieved through higher average airfares, and (ii) lower fuel costs, primarily due to lower jet fuel prices.</w:t>
      </w:r>
    </w:p>
    <w:p>
      <w:pPr>
        <w:pStyle w:val="BodyText"/>
        <w:spacing w:before="10"/>
        <w:rPr>
          <w:sz w:val="17"/>
        </w:rPr>
      </w:pPr>
    </w:p>
    <w:p>
      <w:pPr>
        <w:pStyle w:val="Heading3"/>
      </w:pPr>
      <w:r>
        <w:rPr>
          <w:color w:val="231F20"/>
        </w:rPr>
        <w:t>Operating Revenues</w:t>
      </w:r>
    </w:p>
    <w:p>
      <w:pPr>
        <w:pStyle w:val="BodyText"/>
        <w:spacing w:before="7"/>
        <w:rPr>
          <w:b/>
          <w:sz w:val="18"/>
        </w:rPr>
      </w:pPr>
    </w:p>
    <w:p>
      <w:pPr>
        <w:pStyle w:val="BodyText"/>
        <w:spacing w:line="249" w:lineRule="auto" w:before="1"/>
        <w:ind w:left="100" w:right="119" w:firstLine="490"/>
      </w:pPr>
      <w:r>
        <w:rPr>
          <w:color w:val="231F20"/>
        </w:rPr>
        <w:t>Operating revenues for 2013 increased by $611 million, or 3.6 percent, compared to 2012. The majority of this increase was due to a $628 million, or 3.9 percent, increase in Passenger revenues. Approximately 60 percent of the increase in Passenger revenues was attributable to the 2.4 percent increase in Passenger yield and driven by increased fares. The remainder of the increase in Passenger revenues was due to the 1.7 percent increase in capacity. Based on bookings and revenue trends thus far, the Company currently expects a year-over-year increase in unit revenues for first quarter</w:t>
      </w:r>
      <w:r>
        <w:rPr>
          <w:color w:val="231F20"/>
          <w:spacing w:val="4"/>
        </w:rPr>
        <w:t> </w:t>
      </w:r>
      <w:r>
        <w:rPr>
          <w:color w:val="231F20"/>
        </w:rPr>
        <w:t>2014.</w:t>
      </w:r>
    </w:p>
    <w:p>
      <w:pPr>
        <w:pStyle w:val="BodyText"/>
        <w:spacing w:before="10"/>
        <w:rPr>
          <w:sz w:val="17"/>
        </w:rPr>
      </w:pPr>
    </w:p>
    <w:p>
      <w:pPr>
        <w:pStyle w:val="BodyText"/>
        <w:spacing w:line="249" w:lineRule="auto"/>
        <w:ind w:left="100" w:right="212" w:firstLine="490"/>
      </w:pPr>
      <w:r>
        <w:rPr>
          <w:color w:val="231F20"/>
        </w:rPr>
        <w:t>Freight revenues for 2013 increased by $4 million, or 2.5 percent, compared to 2012, primarily due to higher average rates charged as a result of fuel surcharges. Other revenues for 2013 decreased by $21 million, or</w:t>
      </w:r>
    </w:p>
    <w:p>
      <w:pPr>
        <w:pStyle w:val="BodyText"/>
        <w:spacing w:line="249" w:lineRule="auto"/>
        <w:ind w:left="100" w:right="144"/>
      </w:pPr>
      <w:r>
        <w:rPr>
          <w:color w:val="231F20"/>
        </w:rPr>
        <w:t>2.5 percent, compared to 2012. This was primarily due to a decrease in ancillary revenues as a result of the adoption of Southwest’s more Customer-friendly fee policies for Customers that purchase travel on AirTran through southwest.com. Other revenues for 2013 included approximately $105 million in baggage fees collected from AirTran Customers, versus approximately $146 million for 2012. The Company currently expects this trend to continue as the integration process moves forward. Consequently, the Company currently expects Freight and Other revenues, combined, in first quarter 2014 to decrease compared to first quarter 2013.</w:t>
      </w:r>
    </w:p>
    <w:p>
      <w:pPr>
        <w:spacing w:after="0" w:line="249" w:lineRule="auto"/>
        <w:sectPr>
          <w:pgSz w:w="11880" w:h="15480"/>
          <w:pgMar w:header="0" w:footer="1253" w:top="1240" w:bottom="1440" w:left="1280" w:right="1260"/>
        </w:sectPr>
      </w:pPr>
    </w:p>
    <w:p>
      <w:pPr>
        <w:pStyle w:val="Heading3"/>
        <w:spacing w:before="73"/>
        <w:ind w:left="160"/>
      </w:pPr>
      <w:r>
        <w:rPr>
          <w:color w:val="231F20"/>
        </w:rPr>
        <w:t>Operating expenses</w:t>
      </w:r>
    </w:p>
    <w:p>
      <w:pPr>
        <w:pStyle w:val="BodyText"/>
        <w:spacing w:line="249" w:lineRule="auto" w:before="189"/>
        <w:ind w:left="160" w:right="417" w:firstLine="490"/>
      </w:pPr>
      <w:r>
        <w:rPr>
          <w:color w:val="231F20"/>
        </w:rPr>
        <w:t>Historically, except for changes in the price of fuel, changes in most Operating expenses for airlines are largely driven by changes in capacity, or ASMs. However, 2013 was affected by a significant decrease in Acquisition and integration expense which was not driven by capacity. The following table presents the Company’s Operating expenses per ASM for 2013 and 2012, followed by explanations of these changes on a per ASM basis and/or on a dollar basis:</w:t>
      </w:r>
    </w:p>
    <w:p>
      <w:pPr>
        <w:tabs>
          <w:tab w:pos="6731" w:val="left" w:leader="none"/>
          <w:tab w:pos="8354" w:val="left" w:leader="none"/>
        </w:tabs>
        <w:spacing w:before="179"/>
        <w:ind w:left="3940" w:right="0" w:firstLine="0"/>
        <w:jc w:val="left"/>
        <w:rPr>
          <w:b/>
          <w:sz w:val="18"/>
        </w:rPr>
      </w:pPr>
      <w:r>
        <w:rPr>
          <w:b/>
          <w:color w:val="231F20"/>
          <w:sz w:val="18"/>
        </w:rPr>
        <w:t>Year ended</w:t>
      </w:r>
      <w:r>
        <w:rPr>
          <w:b/>
          <w:color w:val="231F20"/>
          <w:spacing w:val="-1"/>
          <w:sz w:val="18"/>
        </w:rPr>
        <w:t> </w:t>
      </w:r>
      <w:r>
        <w:rPr>
          <w:b/>
          <w:color w:val="231F20"/>
          <w:sz w:val="18"/>
        </w:rPr>
        <w:t>December 31,</w:t>
        <w:tab/>
        <w:t>Per ASM</w:t>
        <w:tab/>
        <w:t>Percent</w:t>
      </w:r>
    </w:p>
    <w:p>
      <w:pPr>
        <w:spacing w:after="0"/>
        <w:jc w:val="left"/>
        <w:rPr>
          <w:sz w:val="18"/>
        </w:rPr>
        <w:sectPr>
          <w:footerReference w:type="default" r:id="rId24"/>
          <w:pgSz w:w="11880" w:h="15480"/>
          <w:pgMar w:footer="1253" w:header="0" w:top="1240" w:bottom="1440" w:left="1220" w:right="1020"/>
        </w:sectPr>
      </w:pPr>
    </w:p>
    <w:p>
      <w:pPr>
        <w:tabs>
          <w:tab w:pos="4059" w:val="left" w:leader="none"/>
          <w:tab w:pos="5439" w:val="left" w:leader="none"/>
        </w:tabs>
        <w:spacing w:before="13"/>
        <w:ind w:left="160" w:right="0" w:firstLine="0"/>
        <w:jc w:val="left"/>
        <w:rPr>
          <w:b/>
          <w:sz w:val="18"/>
        </w:rPr>
      </w:pPr>
      <w:r>
        <w:rPr>
          <w:color w:val="231F20"/>
          <w:sz w:val="18"/>
        </w:rPr>
        <w:t>(in cents, except for percentages)</w:t>
        <w:tab/>
      </w:r>
      <w:r>
        <w:rPr>
          <w:b/>
          <w:color w:val="231F20"/>
          <w:sz w:val="18"/>
        </w:rPr>
        <w:t>2013</w:t>
        <w:tab/>
        <w:t>2012</w:t>
      </w:r>
    </w:p>
    <w:p>
      <w:pPr>
        <w:spacing w:before="13"/>
        <w:ind w:left="160" w:right="0" w:firstLine="0"/>
        <w:jc w:val="left"/>
        <w:rPr>
          <w:b/>
          <w:sz w:val="18"/>
        </w:rPr>
      </w:pPr>
      <w:r>
        <w:rPr/>
        <w:br w:type="column"/>
      </w:r>
      <w:r>
        <w:rPr>
          <w:b/>
          <w:color w:val="231F20"/>
          <w:sz w:val="18"/>
        </w:rPr>
        <w:t>change</w:t>
      </w:r>
    </w:p>
    <w:p>
      <w:pPr>
        <w:spacing w:before="13"/>
        <w:ind w:left="160" w:right="0" w:firstLine="0"/>
        <w:jc w:val="left"/>
        <w:rPr>
          <w:b/>
          <w:sz w:val="18"/>
        </w:rPr>
      </w:pPr>
      <w:r>
        <w:rPr/>
        <w:br w:type="column"/>
      </w:r>
      <w:r>
        <w:rPr>
          <w:b/>
          <w:color w:val="231F20"/>
          <w:sz w:val="18"/>
        </w:rPr>
        <w:t>change</w:t>
      </w:r>
    </w:p>
    <w:p>
      <w:pPr>
        <w:spacing w:after="0"/>
        <w:jc w:val="left"/>
        <w:rPr>
          <w:sz w:val="18"/>
        </w:rPr>
        <w:sectPr>
          <w:type w:val="continuous"/>
          <w:pgSz w:w="11880" w:h="15480"/>
          <w:pgMar w:top="1200" w:bottom="280" w:left="1220" w:right="1020"/>
          <w:cols w:num="3" w:equalWidth="0">
            <w:col w:w="5801" w:space="859"/>
            <w:col w:w="701" w:space="860"/>
            <w:col w:w="1419"/>
          </w:cols>
        </w:sectPr>
      </w:pPr>
    </w:p>
    <w:p>
      <w:pPr>
        <w:tabs>
          <w:tab w:pos="5070" w:val="left" w:leader="none"/>
          <w:tab w:pos="6450" w:val="left" w:leader="none"/>
          <w:tab w:pos="8010" w:val="left" w:leader="none"/>
        </w:tabs>
        <w:spacing w:line="20" w:lineRule="exact"/>
        <w:ind w:left="3690" w:right="0" w:firstLine="0"/>
        <w:rPr>
          <w:sz w:val="2"/>
        </w:rPr>
      </w:pPr>
      <w:r>
        <w:rPr>
          <w:sz w:val="2"/>
        </w:rPr>
        <w:pict>
          <v:group style="width:55pt;height:1pt;mso-position-horizontal-relative:char;mso-position-vertical-relative:line" coordorigin="0,0" coordsize="1100,20">
            <v:line style="position:absolute" from="10,10" to="1090,10" stroked="true" strokeweight="1pt" strokecolor="#231f20">
              <v:stroke dashstyle="solid"/>
            </v:line>
          </v:group>
        </w:pict>
      </w:r>
      <w:r>
        <w:rPr>
          <w:sz w:val="2"/>
        </w:rPr>
      </w:r>
      <w:r>
        <w:rPr>
          <w:sz w:val="2"/>
        </w:rPr>
        <w:tab/>
      </w:r>
      <w:r>
        <w:rPr>
          <w:sz w:val="2"/>
        </w:rPr>
        <w:pict>
          <v:group style="width:55pt;height:1pt;mso-position-horizontal-relative:char;mso-position-vertical-relative:line" coordorigin="0,0" coordsize="1100,20">
            <v:line style="position:absolute" from="10,10" to="1090,10" stroked="true" strokeweight="1pt" strokecolor="#231f20">
              <v:stroke dashstyle="solid"/>
            </v:line>
          </v:group>
        </w:pict>
      </w:r>
      <w:r>
        <w:rPr>
          <w:sz w:val="2"/>
        </w:rPr>
      </w:r>
      <w:r>
        <w:rPr>
          <w:sz w:val="2"/>
        </w:rPr>
        <w:tab/>
      </w:r>
      <w:r>
        <w:rPr>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z w:val="2"/>
        </w:rPr>
      </w:r>
      <w:r>
        <w:rPr>
          <w:sz w:val="2"/>
        </w:rPr>
        <w:tab/>
      </w:r>
      <w:r>
        <w:rPr>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z w:val="2"/>
        </w:rPr>
      </w:r>
    </w:p>
    <w:p>
      <w:pPr>
        <w:pStyle w:val="BodyText"/>
        <w:spacing w:before="10"/>
        <w:rPr>
          <w:b/>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90"/>
        <w:gridCol w:w="1170"/>
        <w:gridCol w:w="210"/>
        <w:gridCol w:w="1170"/>
        <w:gridCol w:w="210"/>
        <w:gridCol w:w="1560"/>
        <w:gridCol w:w="1520"/>
      </w:tblGrid>
      <w:tr>
        <w:trPr>
          <w:trHeight w:val="208" w:hRule="exact"/>
        </w:trPr>
        <w:tc>
          <w:tcPr>
            <w:tcW w:w="3590" w:type="dxa"/>
          </w:tcPr>
          <w:p>
            <w:pPr>
              <w:pStyle w:val="TableParagraph"/>
              <w:spacing w:line="197" w:lineRule="exact"/>
              <w:ind w:left="50"/>
              <w:jc w:val="left"/>
              <w:rPr>
                <w:sz w:val="18"/>
              </w:rPr>
            </w:pPr>
            <w:r>
              <w:rPr>
                <w:color w:val="231F20"/>
                <w:sz w:val="18"/>
              </w:rPr>
              <w:t>Salaries, wages, and benefits   . . . . . . . . . . . . </w:t>
            </w:r>
          </w:p>
        </w:tc>
        <w:tc>
          <w:tcPr>
            <w:tcW w:w="1170" w:type="dxa"/>
          </w:tcPr>
          <w:p>
            <w:pPr>
              <w:pStyle w:val="TableParagraph"/>
              <w:spacing w:line="197" w:lineRule="exact"/>
              <w:rPr>
                <w:sz w:val="18"/>
              </w:rPr>
            </w:pPr>
            <w:r>
              <w:rPr>
                <w:color w:val="231F20"/>
                <w:sz w:val="18"/>
              </w:rPr>
              <w:t>3.86¢</w:t>
            </w:r>
          </w:p>
        </w:tc>
        <w:tc>
          <w:tcPr>
            <w:tcW w:w="210" w:type="dxa"/>
          </w:tcPr>
          <w:p>
            <w:pPr/>
          </w:p>
        </w:tc>
        <w:tc>
          <w:tcPr>
            <w:tcW w:w="1170" w:type="dxa"/>
          </w:tcPr>
          <w:p>
            <w:pPr>
              <w:pStyle w:val="TableParagraph"/>
              <w:spacing w:line="197" w:lineRule="exact"/>
              <w:rPr>
                <w:sz w:val="18"/>
              </w:rPr>
            </w:pPr>
            <w:r>
              <w:rPr>
                <w:color w:val="231F20"/>
                <w:sz w:val="18"/>
              </w:rPr>
              <w:t>3.69¢</w:t>
            </w:r>
          </w:p>
        </w:tc>
        <w:tc>
          <w:tcPr>
            <w:tcW w:w="210" w:type="dxa"/>
          </w:tcPr>
          <w:p>
            <w:pPr/>
          </w:p>
        </w:tc>
        <w:tc>
          <w:tcPr>
            <w:tcW w:w="1560" w:type="dxa"/>
          </w:tcPr>
          <w:p>
            <w:pPr>
              <w:pStyle w:val="TableParagraph"/>
              <w:spacing w:line="197" w:lineRule="exact"/>
              <w:ind w:left="945"/>
              <w:jc w:val="left"/>
              <w:rPr>
                <w:sz w:val="18"/>
              </w:rPr>
            </w:pPr>
            <w:r>
              <w:rPr>
                <w:color w:val="231F20"/>
                <w:sz w:val="18"/>
              </w:rPr>
              <w:t>0.17¢</w:t>
            </w:r>
          </w:p>
        </w:tc>
        <w:tc>
          <w:tcPr>
            <w:tcW w:w="1520" w:type="dxa"/>
          </w:tcPr>
          <w:p>
            <w:pPr>
              <w:pStyle w:val="TableParagraph"/>
              <w:spacing w:line="197" w:lineRule="exact"/>
              <w:ind w:right="107"/>
              <w:rPr>
                <w:sz w:val="18"/>
              </w:rPr>
            </w:pPr>
            <w:r>
              <w:rPr>
                <w:color w:val="231F20"/>
                <w:sz w:val="18"/>
              </w:rPr>
              <w:t>4.6%</w:t>
            </w:r>
          </w:p>
        </w:tc>
      </w:tr>
      <w:tr>
        <w:trPr>
          <w:trHeight w:val="220" w:hRule="exact"/>
        </w:trPr>
        <w:tc>
          <w:tcPr>
            <w:tcW w:w="3590" w:type="dxa"/>
          </w:tcPr>
          <w:p>
            <w:pPr>
              <w:pStyle w:val="TableParagraph"/>
              <w:spacing w:before="1"/>
              <w:ind w:left="50"/>
              <w:jc w:val="left"/>
              <w:rPr>
                <w:sz w:val="18"/>
              </w:rPr>
            </w:pPr>
            <w:r>
              <w:rPr>
                <w:color w:val="231F20"/>
                <w:sz w:val="18"/>
              </w:rPr>
              <w:t>Fuel and oil  . . . . . . . . . . . . . . . . . . . . . . . . . . </w:t>
            </w:r>
          </w:p>
        </w:tc>
        <w:tc>
          <w:tcPr>
            <w:tcW w:w="1170" w:type="dxa"/>
          </w:tcPr>
          <w:p>
            <w:pPr>
              <w:pStyle w:val="TableParagraph"/>
              <w:spacing w:before="1"/>
              <w:ind w:right="88"/>
              <w:rPr>
                <w:sz w:val="18"/>
              </w:rPr>
            </w:pPr>
            <w:r>
              <w:rPr>
                <w:color w:val="231F20"/>
                <w:sz w:val="18"/>
              </w:rPr>
              <w:t>4.42</w:t>
            </w:r>
          </w:p>
        </w:tc>
        <w:tc>
          <w:tcPr>
            <w:tcW w:w="210" w:type="dxa"/>
          </w:tcPr>
          <w:p>
            <w:pPr/>
          </w:p>
        </w:tc>
        <w:tc>
          <w:tcPr>
            <w:tcW w:w="1170" w:type="dxa"/>
          </w:tcPr>
          <w:p>
            <w:pPr>
              <w:pStyle w:val="TableParagraph"/>
              <w:spacing w:before="1"/>
              <w:ind w:right="88"/>
              <w:rPr>
                <w:sz w:val="18"/>
              </w:rPr>
            </w:pPr>
            <w:r>
              <w:rPr>
                <w:color w:val="231F20"/>
                <w:sz w:val="18"/>
              </w:rPr>
              <w:t>4.78</w:t>
            </w:r>
          </w:p>
        </w:tc>
        <w:tc>
          <w:tcPr>
            <w:tcW w:w="210" w:type="dxa"/>
          </w:tcPr>
          <w:p>
            <w:pPr/>
          </w:p>
        </w:tc>
        <w:tc>
          <w:tcPr>
            <w:tcW w:w="1560" w:type="dxa"/>
          </w:tcPr>
          <w:p>
            <w:pPr>
              <w:pStyle w:val="TableParagraph"/>
              <w:spacing w:before="1"/>
              <w:ind w:left="885"/>
              <w:jc w:val="left"/>
              <w:rPr>
                <w:sz w:val="18"/>
              </w:rPr>
            </w:pPr>
            <w:r>
              <w:rPr>
                <w:color w:val="231F20"/>
                <w:sz w:val="18"/>
              </w:rPr>
              <w:t>(0.36)</w:t>
            </w:r>
          </w:p>
        </w:tc>
        <w:tc>
          <w:tcPr>
            <w:tcW w:w="1520" w:type="dxa"/>
          </w:tcPr>
          <w:p>
            <w:pPr>
              <w:pStyle w:val="TableParagraph"/>
              <w:spacing w:before="1"/>
              <w:ind w:right="197"/>
              <w:rPr>
                <w:sz w:val="18"/>
              </w:rPr>
            </w:pPr>
            <w:r>
              <w:rPr>
                <w:color w:val="231F20"/>
                <w:sz w:val="18"/>
              </w:rPr>
              <w:t>(7.5)</w:t>
            </w:r>
          </w:p>
        </w:tc>
      </w:tr>
      <w:tr>
        <w:trPr>
          <w:trHeight w:val="220" w:hRule="exact"/>
        </w:trPr>
        <w:tc>
          <w:tcPr>
            <w:tcW w:w="3590" w:type="dxa"/>
          </w:tcPr>
          <w:p>
            <w:pPr>
              <w:pStyle w:val="TableParagraph"/>
              <w:spacing w:before="1"/>
              <w:ind w:left="50"/>
              <w:jc w:val="left"/>
              <w:rPr>
                <w:sz w:val="18"/>
              </w:rPr>
            </w:pPr>
            <w:r>
              <w:rPr>
                <w:color w:val="231F20"/>
                <w:sz w:val="18"/>
              </w:rPr>
              <w:t>Maintenance materials and repairs  . . . . . . . . </w:t>
            </w:r>
          </w:p>
        </w:tc>
        <w:tc>
          <w:tcPr>
            <w:tcW w:w="1170" w:type="dxa"/>
          </w:tcPr>
          <w:p>
            <w:pPr>
              <w:pStyle w:val="TableParagraph"/>
              <w:spacing w:before="1"/>
              <w:ind w:right="88"/>
              <w:rPr>
                <w:sz w:val="18"/>
              </w:rPr>
            </w:pPr>
            <w:r>
              <w:rPr>
                <w:color w:val="231F20"/>
                <w:sz w:val="18"/>
              </w:rPr>
              <w:t>0.83</w:t>
            </w:r>
          </w:p>
        </w:tc>
        <w:tc>
          <w:tcPr>
            <w:tcW w:w="210" w:type="dxa"/>
          </w:tcPr>
          <w:p>
            <w:pPr/>
          </w:p>
        </w:tc>
        <w:tc>
          <w:tcPr>
            <w:tcW w:w="1170" w:type="dxa"/>
          </w:tcPr>
          <w:p>
            <w:pPr>
              <w:pStyle w:val="TableParagraph"/>
              <w:spacing w:before="1"/>
              <w:ind w:right="88"/>
              <w:rPr>
                <w:sz w:val="18"/>
              </w:rPr>
            </w:pPr>
            <w:r>
              <w:rPr>
                <w:color w:val="231F20"/>
                <w:sz w:val="18"/>
              </w:rPr>
              <w:t>0.88</w:t>
            </w:r>
          </w:p>
        </w:tc>
        <w:tc>
          <w:tcPr>
            <w:tcW w:w="210" w:type="dxa"/>
          </w:tcPr>
          <w:p>
            <w:pPr/>
          </w:p>
        </w:tc>
        <w:tc>
          <w:tcPr>
            <w:tcW w:w="1560" w:type="dxa"/>
          </w:tcPr>
          <w:p>
            <w:pPr>
              <w:pStyle w:val="TableParagraph"/>
              <w:spacing w:before="1"/>
              <w:ind w:left="885"/>
              <w:jc w:val="left"/>
              <w:rPr>
                <w:sz w:val="18"/>
              </w:rPr>
            </w:pPr>
            <w:r>
              <w:rPr>
                <w:color w:val="231F20"/>
                <w:sz w:val="18"/>
              </w:rPr>
              <w:t>(0.05)</w:t>
            </w:r>
          </w:p>
        </w:tc>
        <w:tc>
          <w:tcPr>
            <w:tcW w:w="1520" w:type="dxa"/>
          </w:tcPr>
          <w:p>
            <w:pPr>
              <w:pStyle w:val="TableParagraph"/>
              <w:spacing w:before="1"/>
              <w:ind w:right="197"/>
              <w:rPr>
                <w:sz w:val="18"/>
              </w:rPr>
            </w:pPr>
            <w:r>
              <w:rPr>
                <w:color w:val="231F20"/>
                <w:sz w:val="18"/>
              </w:rPr>
              <w:t>(5.7)</w:t>
            </w:r>
          </w:p>
        </w:tc>
      </w:tr>
      <w:tr>
        <w:trPr>
          <w:trHeight w:val="220" w:hRule="exact"/>
        </w:trPr>
        <w:tc>
          <w:tcPr>
            <w:tcW w:w="3590" w:type="dxa"/>
          </w:tcPr>
          <w:p>
            <w:pPr>
              <w:pStyle w:val="TableParagraph"/>
              <w:spacing w:before="1"/>
              <w:ind w:left="50"/>
              <w:jc w:val="left"/>
              <w:rPr>
                <w:sz w:val="18"/>
              </w:rPr>
            </w:pPr>
            <w:r>
              <w:rPr>
                <w:color w:val="231F20"/>
                <w:sz w:val="18"/>
              </w:rPr>
              <w:t>Aircraft rentals   . . . . . . . . . . . . . . . . . . . . . . . </w:t>
            </w:r>
          </w:p>
        </w:tc>
        <w:tc>
          <w:tcPr>
            <w:tcW w:w="1170" w:type="dxa"/>
          </w:tcPr>
          <w:p>
            <w:pPr>
              <w:pStyle w:val="TableParagraph"/>
              <w:spacing w:before="1"/>
              <w:ind w:right="88"/>
              <w:rPr>
                <w:sz w:val="18"/>
              </w:rPr>
            </w:pPr>
            <w:r>
              <w:rPr>
                <w:color w:val="231F20"/>
                <w:sz w:val="18"/>
              </w:rPr>
              <w:t>0.28</w:t>
            </w:r>
          </w:p>
        </w:tc>
        <w:tc>
          <w:tcPr>
            <w:tcW w:w="210" w:type="dxa"/>
          </w:tcPr>
          <w:p>
            <w:pPr/>
          </w:p>
        </w:tc>
        <w:tc>
          <w:tcPr>
            <w:tcW w:w="1170" w:type="dxa"/>
          </w:tcPr>
          <w:p>
            <w:pPr>
              <w:pStyle w:val="TableParagraph"/>
              <w:spacing w:before="1"/>
              <w:ind w:right="88"/>
              <w:rPr>
                <w:sz w:val="18"/>
              </w:rPr>
            </w:pPr>
            <w:r>
              <w:rPr>
                <w:color w:val="231F20"/>
                <w:sz w:val="18"/>
              </w:rPr>
              <w:t>0.28</w:t>
            </w:r>
          </w:p>
        </w:tc>
        <w:tc>
          <w:tcPr>
            <w:tcW w:w="210" w:type="dxa"/>
          </w:tcPr>
          <w:p>
            <w:pPr/>
          </w:p>
        </w:tc>
        <w:tc>
          <w:tcPr>
            <w:tcW w:w="1560" w:type="dxa"/>
          </w:tcPr>
          <w:p>
            <w:pPr>
              <w:pStyle w:val="TableParagraph"/>
              <w:spacing w:before="1"/>
              <w:ind w:left="990"/>
              <w:jc w:val="left"/>
              <w:rPr>
                <w:sz w:val="18"/>
              </w:rPr>
            </w:pPr>
            <w:r>
              <w:rPr>
                <w:color w:val="231F20"/>
                <w:sz w:val="18"/>
              </w:rPr>
              <w:t>—</w:t>
            </w:r>
          </w:p>
        </w:tc>
        <w:tc>
          <w:tcPr>
            <w:tcW w:w="1520" w:type="dxa"/>
          </w:tcPr>
          <w:p>
            <w:pPr>
              <w:pStyle w:val="TableParagraph"/>
              <w:spacing w:before="1"/>
              <w:ind w:left="990"/>
              <w:jc w:val="left"/>
              <w:rPr>
                <w:sz w:val="18"/>
              </w:rPr>
            </w:pPr>
            <w:r>
              <w:rPr>
                <w:color w:val="231F20"/>
                <w:sz w:val="18"/>
              </w:rPr>
              <w:t>—</w:t>
            </w:r>
          </w:p>
        </w:tc>
      </w:tr>
      <w:tr>
        <w:trPr>
          <w:trHeight w:val="220" w:hRule="exact"/>
        </w:trPr>
        <w:tc>
          <w:tcPr>
            <w:tcW w:w="3590" w:type="dxa"/>
          </w:tcPr>
          <w:p>
            <w:pPr>
              <w:pStyle w:val="TableParagraph"/>
              <w:spacing w:before="1"/>
              <w:ind w:left="50"/>
              <w:jc w:val="left"/>
              <w:rPr>
                <w:sz w:val="18"/>
              </w:rPr>
            </w:pPr>
            <w:r>
              <w:rPr>
                <w:color w:val="231F20"/>
                <w:sz w:val="18"/>
              </w:rPr>
              <w:t>Landing fees and other rentals   . . . . . . . . . . . </w:t>
            </w:r>
          </w:p>
        </w:tc>
        <w:tc>
          <w:tcPr>
            <w:tcW w:w="1170" w:type="dxa"/>
          </w:tcPr>
          <w:p>
            <w:pPr>
              <w:pStyle w:val="TableParagraph"/>
              <w:spacing w:before="1"/>
              <w:ind w:right="88"/>
              <w:rPr>
                <w:sz w:val="18"/>
              </w:rPr>
            </w:pPr>
            <w:r>
              <w:rPr>
                <w:color w:val="231F20"/>
                <w:sz w:val="18"/>
              </w:rPr>
              <w:t>0.85</w:t>
            </w:r>
          </w:p>
        </w:tc>
        <w:tc>
          <w:tcPr>
            <w:tcW w:w="210" w:type="dxa"/>
          </w:tcPr>
          <w:p>
            <w:pPr/>
          </w:p>
        </w:tc>
        <w:tc>
          <w:tcPr>
            <w:tcW w:w="1170" w:type="dxa"/>
          </w:tcPr>
          <w:p>
            <w:pPr>
              <w:pStyle w:val="TableParagraph"/>
              <w:spacing w:before="1"/>
              <w:ind w:right="88"/>
              <w:rPr>
                <w:sz w:val="18"/>
              </w:rPr>
            </w:pPr>
            <w:r>
              <w:rPr>
                <w:color w:val="231F20"/>
                <w:sz w:val="18"/>
              </w:rPr>
              <w:t>0.81</w:t>
            </w:r>
          </w:p>
        </w:tc>
        <w:tc>
          <w:tcPr>
            <w:tcW w:w="210" w:type="dxa"/>
          </w:tcPr>
          <w:p>
            <w:pPr/>
          </w:p>
        </w:tc>
        <w:tc>
          <w:tcPr>
            <w:tcW w:w="1560" w:type="dxa"/>
          </w:tcPr>
          <w:p>
            <w:pPr>
              <w:pStyle w:val="TableParagraph"/>
              <w:spacing w:before="1"/>
              <w:ind w:left="945"/>
              <w:jc w:val="left"/>
              <w:rPr>
                <w:sz w:val="18"/>
              </w:rPr>
            </w:pPr>
            <w:r>
              <w:rPr>
                <w:color w:val="231F20"/>
                <w:sz w:val="18"/>
              </w:rPr>
              <w:t>0.04</w:t>
            </w:r>
          </w:p>
        </w:tc>
        <w:tc>
          <w:tcPr>
            <w:tcW w:w="1520" w:type="dxa"/>
          </w:tcPr>
          <w:p>
            <w:pPr>
              <w:pStyle w:val="TableParagraph"/>
              <w:spacing w:before="1"/>
              <w:ind w:right="257"/>
              <w:rPr>
                <w:sz w:val="18"/>
              </w:rPr>
            </w:pPr>
            <w:r>
              <w:rPr>
                <w:color w:val="231F20"/>
                <w:sz w:val="18"/>
              </w:rPr>
              <w:t>4.9</w:t>
            </w:r>
          </w:p>
        </w:tc>
      </w:tr>
      <w:tr>
        <w:trPr>
          <w:trHeight w:val="220" w:hRule="exact"/>
        </w:trPr>
        <w:tc>
          <w:tcPr>
            <w:tcW w:w="3590" w:type="dxa"/>
          </w:tcPr>
          <w:p>
            <w:pPr>
              <w:pStyle w:val="TableParagraph"/>
              <w:spacing w:before="1"/>
              <w:ind w:left="50"/>
              <w:jc w:val="left"/>
              <w:rPr>
                <w:sz w:val="18"/>
              </w:rPr>
            </w:pPr>
            <w:r>
              <w:rPr>
                <w:color w:val="231F20"/>
                <w:sz w:val="18"/>
              </w:rPr>
              <w:t>Depreciation and amortization  . . . . . . . . . . . </w:t>
            </w:r>
          </w:p>
        </w:tc>
        <w:tc>
          <w:tcPr>
            <w:tcW w:w="1170" w:type="dxa"/>
          </w:tcPr>
          <w:p>
            <w:pPr>
              <w:pStyle w:val="TableParagraph"/>
              <w:spacing w:before="1"/>
              <w:ind w:right="88"/>
              <w:rPr>
                <w:sz w:val="18"/>
              </w:rPr>
            </w:pPr>
            <w:r>
              <w:rPr>
                <w:color w:val="231F20"/>
                <w:sz w:val="18"/>
              </w:rPr>
              <w:t>0.66</w:t>
            </w:r>
          </w:p>
        </w:tc>
        <w:tc>
          <w:tcPr>
            <w:tcW w:w="210" w:type="dxa"/>
          </w:tcPr>
          <w:p>
            <w:pPr/>
          </w:p>
        </w:tc>
        <w:tc>
          <w:tcPr>
            <w:tcW w:w="1170" w:type="dxa"/>
          </w:tcPr>
          <w:p>
            <w:pPr>
              <w:pStyle w:val="TableParagraph"/>
              <w:spacing w:before="1"/>
              <w:ind w:right="88"/>
              <w:rPr>
                <w:sz w:val="18"/>
              </w:rPr>
            </w:pPr>
            <w:r>
              <w:rPr>
                <w:color w:val="231F20"/>
                <w:sz w:val="18"/>
              </w:rPr>
              <w:t>0.66</w:t>
            </w:r>
          </w:p>
        </w:tc>
        <w:tc>
          <w:tcPr>
            <w:tcW w:w="210" w:type="dxa"/>
          </w:tcPr>
          <w:p>
            <w:pPr/>
          </w:p>
        </w:tc>
        <w:tc>
          <w:tcPr>
            <w:tcW w:w="1560" w:type="dxa"/>
          </w:tcPr>
          <w:p>
            <w:pPr>
              <w:pStyle w:val="TableParagraph"/>
              <w:spacing w:before="1"/>
              <w:ind w:left="990"/>
              <w:jc w:val="left"/>
              <w:rPr>
                <w:sz w:val="18"/>
              </w:rPr>
            </w:pPr>
            <w:r>
              <w:rPr>
                <w:color w:val="231F20"/>
                <w:sz w:val="18"/>
              </w:rPr>
              <w:t>—</w:t>
            </w:r>
          </w:p>
        </w:tc>
        <w:tc>
          <w:tcPr>
            <w:tcW w:w="1520" w:type="dxa"/>
          </w:tcPr>
          <w:p>
            <w:pPr>
              <w:pStyle w:val="TableParagraph"/>
              <w:spacing w:before="1"/>
              <w:ind w:left="990"/>
              <w:jc w:val="left"/>
              <w:rPr>
                <w:sz w:val="18"/>
              </w:rPr>
            </w:pPr>
            <w:r>
              <w:rPr>
                <w:color w:val="231F20"/>
                <w:sz w:val="18"/>
              </w:rPr>
              <w:t>—</w:t>
            </w:r>
          </w:p>
        </w:tc>
      </w:tr>
      <w:tr>
        <w:trPr>
          <w:trHeight w:val="220" w:hRule="exact"/>
        </w:trPr>
        <w:tc>
          <w:tcPr>
            <w:tcW w:w="3590" w:type="dxa"/>
          </w:tcPr>
          <w:p>
            <w:pPr>
              <w:pStyle w:val="TableParagraph"/>
              <w:spacing w:before="1"/>
              <w:ind w:left="50"/>
              <w:jc w:val="left"/>
              <w:rPr>
                <w:sz w:val="18"/>
              </w:rPr>
            </w:pPr>
            <w:r>
              <w:rPr>
                <w:color w:val="231F20"/>
                <w:sz w:val="18"/>
              </w:rPr>
              <w:t>Acquisition and integration . . . . . . . . . . . . . . </w:t>
            </w:r>
          </w:p>
        </w:tc>
        <w:tc>
          <w:tcPr>
            <w:tcW w:w="1170" w:type="dxa"/>
          </w:tcPr>
          <w:p>
            <w:pPr>
              <w:pStyle w:val="TableParagraph"/>
              <w:spacing w:before="1"/>
              <w:ind w:right="88"/>
              <w:rPr>
                <w:sz w:val="18"/>
              </w:rPr>
            </w:pPr>
            <w:r>
              <w:rPr>
                <w:color w:val="231F20"/>
                <w:sz w:val="18"/>
              </w:rPr>
              <w:t>0.07</w:t>
            </w:r>
          </w:p>
        </w:tc>
        <w:tc>
          <w:tcPr>
            <w:tcW w:w="210" w:type="dxa"/>
          </w:tcPr>
          <w:p>
            <w:pPr/>
          </w:p>
        </w:tc>
        <w:tc>
          <w:tcPr>
            <w:tcW w:w="1170" w:type="dxa"/>
          </w:tcPr>
          <w:p>
            <w:pPr>
              <w:pStyle w:val="TableParagraph"/>
              <w:spacing w:before="1"/>
              <w:ind w:right="88"/>
              <w:rPr>
                <w:sz w:val="18"/>
              </w:rPr>
            </w:pPr>
            <w:r>
              <w:rPr>
                <w:color w:val="231F20"/>
                <w:sz w:val="18"/>
              </w:rPr>
              <w:t>0.14</w:t>
            </w:r>
          </w:p>
        </w:tc>
        <w:tc>
          <w:tcPr>
            <w:tcW w:w="210" w:type="dxa"/>
          </w:tcPr>
          <w:p>
            <w:pPr/>
          </w:p>
        </w:tc>
        <w:tc>
          <w:tcPr>
            <w:tcW w:w="1560" w:type="dxa"/>
          </w:tcPr>
          <w:p>
            <w:pPr>
              <w:pStyle w:val="TableParagraph"/>
              <w:spacing w:before="1"/>
              <w:ind w:left="885"/>
              <w:jc w:val="left"/>
              <w:rPr>
                <w:sz w:val="18"/>
              </w:rPr>
            </w:pPr>
            <w:r>
              <w:rPr>
                <w:color w:val="231F20"/>
                <w:sz w:val="18"/>
              </w:rPr>
              <w:t>(0.07)</w:t>
            </w:r>
          </w:p>
        </w:tc>
        <w:tc>
          <w:tcPr>
            <w:tcW w:w="1520" w:type="dxa"/>
          </w:tcPr>
          <w:p>
            <w:pPr>
              <w:pStyle w:val="TableParagraph"/>
              <w:spacing w:before="1"/>
              <w:ind w:right="197"/>
              <w:rPr>
                <w:sz w:val="18"/>
              </w:rPr>
            </w:pPr>
            <w:r>
              <w:rPr>
                <w:color w:val="231F20"/>
                <w:sz w:val="18"/>
              </w:rPr>
              <w:t>(50.0)</w:t>
            </w:r>
          </w:p>
        </w:tc>
      </w:tr>
      <w:tr>
        <w:trPr>
          <w:trHeight w:val="245" w:hRule="exact"/>
        </w:trPr>
        <w:tc>
          <w:tcPr>
            <w:tcW w:w="3590" w:type="dxa"/>
          </w:tcPr>
          <w:p>
            <w:pPr>
              <w:pStyle w:val="TableParagraph"/>
              <w:spacing w:before="1"/>
              <w:ind w:left="50"/>
              <w:jc w:val="left"/>
              <w:rPr>
                <w:sz w:val="18"/>
              </w:rPr>
            </w:pPr>
            <w:r>
              <w:rPr>
                <w:color w:val="231F20"/>
                <w:sz w:val="18"/>
              </w:rPr>
              <w:t>Other operating expenses  . . . . . . . . . . . . . . . </w:t>
            </w:r>
          </w:p>
        </w:tc>
        <w:tc>
          <w:tcPr>
            <w:tcW w:w="1170" w:type="dxa"/>
            <w:tcBorders>
              <w:bottom w:val="single" w:sz="4" w:space="0" w:color="231F20"/>
            </w:tcBorders>
          </w:tcPr>
          <w:p>
            <w:pPr>
              <w:pStyle w:val="TableParagraph"/>
              <w:spacing w:before="1"/>
              <w:ind w:right="88"/>
              <w:rPr>
                <w:sz w:val="18"/>
              </w:rPr>
            </w:pPr>
            <w:r>
              <w:rPr>
                <w:color w:val="231F20"/>
                <w:sz w:val="18"/>
              </w:rPr>
              <w:t>1.63</w:t>
            </w:r>
          </w:p>
        </w:tc>
        <w:tc>
          <w:tcPr>
            <w:tcW w:w="210" w:type="dxa"/>
          </w:tcPr>
          <w:p>
            <w:pPr/>
          </w:p>
        </w:tc>
        <w:tc>
          <w:tcPr>
            <w:tcW w:w="1170" w:type="dxa"/>
            <w:tcBorders>
              <w:bottom w:val="single" w:sz="4" w:space="0" w:color="231F20"/>
            </w:tcBorders>
          </w:tcPr>
          <w:p>
            <w:pPr>
              <w:pStyle w:val="TableParagraph"/>
              <w:spacing w:before="1"/>
              <w:ind w:right="88"/>
              <w:rPr>
                <w:sz w:val="18"/>
              </w:rPr>
            </w:pPr>
            <w:r>
              <w:rPr>
                <w:color w:val="231F20"/>
                <w:sz w:val="18"/>
              </w:rPr>
              <w:t>1.61</w:t>
            </w:r>
          </w:p>
        </w:tc>
        <w:tc>
          <w:tcPr>
            <w:tcW w:w="210" w:type="dxa"/>
          </w:tcPr>
          <w:p>
            <w:pPr/>
          </w:p>
        </w:tc>
        <w:tc>
          <w:tcPr>
            <w:tcW w:w="1560" w:type="dxa"/>
            <w:tcBorders>
              <w:bottom w:val="single" w:sz="4" w:space="0" w:color="231F20"/>
            </w:tcBorders>
          </w:tcPr>
          <w:p>
            <w:pPr>
              <w:pStyle w:val="TableParagraph"/>
              <w:spacing w:before="1"/>
              <w:ind w:left="945"/>
              <w:jc w:val="left"/>
              <w:rPr>
                <w:sz w:val="18"/>
              </w:rPr>
            </w:pPr>
            <w:r>
              <w:rPr>
                <w:color w:val="231F20"/>
                <w:sz w:val="18"/>
              </w:rPr>
              <w:t>0.02</w:t>
            </w:r>
          </w:p>
        </w:tc>
        <w:tc>
          <w:tcPr>
            <w:tcW w:w="1520" w:type="dxa"/>
            <w:tcBorders>
              <w:bottom w:val="single" w:sz="4" w:space="0" w:color="231F20"/>
            </w:tcBorders>
          </w:tcPr>
          <w:p>
            <w:pPr>
              <w:pStyle w:val="TableParagraph"/>
              <w:spacing w:before="1"/>
              <w:ind w:right="257"/>
              <w:rPr>
                <w:sz w:val="18"/>
              </w:rPr>
            </w:pPr>
            <w:r>
              <w:rPr>
                <w:color w:val="231F20"/>
                <w:sz w:val="18"/>
              </w:rPr>
              <w:t>1.2</w:t>
            </w:r>
          </w:p>
        </w:tc>
      </w:tr>
      <w:tr>
        <w:trPr>
          <w:trHeight w:val="340" w:hRule="exact"/>
        </w:trPr>
        <w:tc>
          <w:tcPr>
            <w:tcW w:w="3590" w:type="dxa"/>
          </w:tcPr>
          <w:p>
            <w:pPr>
              <w:pStyle w:val="TableParagraph"/>
              <w:spacing w:before="57"/>
              <w:ind w:left="50"/>
              <w:jc w:val="left"/>
              <w:rPr>
                <w:sz w:val="18"/>
              </w:rPr>
            </w:pPr>
            <w:r>
              <w:rPr>
                <w:color w:val="231F20"/>
                <w:sz w:val="18"/>
              </w:rPr>
              <w:t>Total   . . . . . . . . . . . . . . . . . . . . . . . . . . . . . . . </w:t>
            </w:r>
          </w:p>
        </w:tc>
        <w:tc>
          <w:tcPr>
            <w:tcW w:w="1170" w:type="dxa"/>
            <w:tcBorders>
              <w:top w:val="single" w:sz="4" w:space="0" w:color="231F20"/>
              <w:bottom w:val="single" w:sz="4" w:space="0" w:color="231F20"/>
            </w:tcBorders>
          </w:tcPr>
          <w:p>
            <w:pPr>
              <w:pStyle w:val="TableParagraph"/>
              <w:spacing w:before="52"/>
              <w:rPr>
                <w:sz w:val="18"/>
              </w:rPr>
            </w:pPr>
            <w:r>
              <w:rPr>
                <w:color w:val="231F20"/>
                <w:sz w:val="18"/>
              </w:rPr>
              <w:t>12.60¢</w:t>
            </w:r>
          </w:p>
        </w:tc>
        <w:tc>
          <w:tcPr>
            <w:tcW w:w="210" w:type="dxa"/>
          </w:tcPr>
          <w:p>
            <w:pPr/>
          </w:p>
        </w:tc>
        <w:tc>
          <w:tcPr>
            <w:tcW w:w="1170" w:type="dxa"/>
            <w:tcBorders>
              <w:top w:val="single" w:sz="4" w:space="0" w:color="231F20"/>
              <w:bottom w:val="single" w:sz="4" w:space="0" w:color="231F20"/>
            </w:tcBorders>
          </w:tcPr>
          <w:p>
            <w:pPr>
              <w:pStyle w:val="TableParagraph"/>
              <w:spacing w:before="52"/>
              <w:rPr>
                <w:sz w:val="18"/>
              </w:rPr>
            </w:pPr>
            <w:r>
              <w:rPr>
                <w:color w:val="231F20"/>
                <w:sz w:val="18"/>
              </w:rPr>
              <w:t>12.85¢</w:t>
            </w:r>
          </w:p>
        </w:tc>
        <w:tc>
          <w:tcPr>
            <w:tcW w:w="210" w:type="dxa"/>
          </w:tcPr>
          <w:p>
            <w:pPr/>
          </w:p>
        </w:tc>
        <w:tc>
          <w:tcPr>
            <w:tcW w:w="1560" w:type="dxa"/>
            <w:tcBorders>
              <w:top w:val="single" w:sz="4" w:space="0" w:color="231F20"/>
              <w:bottom w:val="single" w:sz="4" w:space="0" w:color="231F20"/>
            </w:tcBorders>
          </w:tcPr>
          <w:p>
            <w:pPr>
              <w:pStyle w:val="TableParagraph"/>
              <w:spacing w:before="52"/>
              <w:ind w:left="885"/>
              <w:jc w:val="left"/>
              <w:rPr>
                <w:sz w:val="18"/>
              </w:rPr>
            </w:pPr>
            <w:r>
              <w:rPr>
                <w:color w:val="231F20"/>
                <w:sz w:val="18"/>
              </w:rPr>
              <w:t>(0.25)¢</w:t>
            </w:r>
          </w:p>
        </w:tc>
        <w:tc>
          <w:tcPr>
            <w:tcW w:w="1520" w:type="dxa"/>
            <w:tcBorders>
              <w:top w:val="single" w:sz="4" w:space="0" w:color="231F20"/>
              <w:bottom w:val="single" w:sz="4" w:space="0" w:color="231F20"/>
            </w:tcBorders>
          </w:tcPr>
          <w:p>
            <w:pPr>
              <w:pStyle w:val="TableParagraph"/>
              <w:spacing w:before="52"/>
              <w:ind w:right="48"/>
              <w:rPr>
                <w:sz w:val="18"/>
              </w:rPr>
            </w:pPr>
            <w:r>
              <w:rPr>
                <w:color w:val="231F20"/>
                <w:sz w:val="18"/>
              </w:rPr>
              <w:t>(1.9)%</w:t>
            </w:r>
          </w:p>
        </w:tc>
      </w:tr>
    </w:tbl>
    <w:p>
      <w:pPr>
        <w:pStyle w:val="BodyText"/>
        <w:spacing w:before="1"/>
        <w:rPr>
          <w:b/>
          <w:sz w:val="12"/>
        </w:rPr>
      </w:pPr>
    </w:p>
    <w:p>
      <w:pPr>
        <w:pStyle w:val="BodyText"/>
        <w:spacing w:line="249" w:lineRule="auto" w:before="89"/>
        <w:ind w:left="160" w:right="412" w:firstLine="490"/>
      </w:pPr>
      <w:r>
        <w:rPr/>
        <w:pict>
          <v:line style="position:absolute;mso-position-horizontal-relative:page;mso-position-vertical-relative:paragraph;z-index:-334072" from="246pt,-9.464063pt" to="300pt,-9.464063pt" stroked="true" strokeweight=".5pt" strokecolor="#231f20">
            <v:stroke dashstyle="solid"/>
            <w10:wrap type="none"/>
          </v:line>
        </w:pict>
      </w:r>
      <w:r>
        <w:rPr/>
        <w:pict>
          <v:line style="position:absolute;mso-position-horizontal-relative:page;mso-position-vertical-relative:paragraph;z-index:-334048" from="315pt,-9.464063pt" to="369pt,-9.464063pt" stroked="true" strokeweight=".5pt" strokecolor="#231f20">
            <v:stroke dashstyle="solid"/>
            <w10:wrap type="none"/>
          </v:line>
        </w:pict>
      </w:r>
      <w:r>
        <w:rPr/>
        <w:pict>
          <v:line style="position:absolute;mso-position-horizontal-relative:page;mso-position-vertical-relative:paragraph;z-index:-334024" from="384pt,-9.464063pt" to="447pt,-9.464063pt" stroked="true" strokeweight=".5pt" strokecolor="#231f20">
            <v:stroke dashstyle="solid"/>
            <w10:wrap type="none"/>
          </v:line>
        </w:pict>
      </w:r>
      <w:r>
        <w:rPr/>
        <w:pict>
          <v:line style="position:absolute;mso-position-horizontal-relative:page;mso-position-vertical-relative:paragraph;z-index:-334000" from="462pt,-9.464063pt" to="525pt,-9.464063pt" stroked="true" strokeweight=".5pt" strokecolor="#231f20">
            <v:stroke dashstyle="solid"/>
            <w10:wrap type="none"/>
          </v:line>
        </w:pict>
      </w:r>
      <w:r>
        <w:rPr>
          <w:color w:val="231F20"/>
        </w:rPr>
        <w:t>Operating expenses for 2013 decreased by $44 million, or 0.3 percent, compared to 2012, while capacity increased 1.7 percent compared to 2012. Operating expenses per ASM for 2013 decreased 1.9 percent compared to 2012. Both the dollar and per ASM decreases were primarily due to a decrease in Fuel and oil expense and in Acquisition and integration expense. On a non-GAAP basis, the Company’s Operating expenses per ASM for 2013, excluding fuel and special items, increased 2.3 percent compared to 2012, primarily due to higher Salaries, wages, and benefits expense. Based on current cost trends, the Company expects its first quarter 2014 unit costs, excluding fuel, special items, and profitsharing to increase in the four to five percent range, compared to first quarter 2013. Approximately two points of this estimated year-over-year increase is attributable to January 2014’s winter storms. See the previous Note Regarding Use of Non-GAAP Financial Measures.</w:t>
      </w:r>
    </w:p>
    <w:p>
      <w:pPr>
        <w:pStyle w:val="BodyText"/>
        <w:spacing w:line="249" w:lineRule="auto" w:before="181"/>
        <w:ind w:left="160" w:right="805" w:firstLine="490"/>
      </w:pPr>
      <w:r>
        <w:rPr>
          <w:color w:val="231F20"/>
        </w:rPr>
        <w:t>Salaries, wages, and benefits expense for 2013 increased by $286 million, or 6.0 percent, compared to 2012. Salaries, wages, and benefits expense per ASM for 2013 increased 4.6 percent compared to 2012.</w:t>
      </w:r>
    </w:p>
    <w:p>
      <w:pPr>
        <w:pStyle w:val="BodyText"/>
        <w:spacing w:line="249" w:lineRule="auto" w:before="1"/>
        <w:ind w:left="160" w:right="428"/>
      </w:pPr>
      <w:r>
        <w:rPr>
          <w:color w:val="231F20"/>
        </w:rPr>
        <w:t>Approximately half of these increases were a result of higher wage rates for a significant portion of the Company’s workforce, and approximately half were a result of higher contributions to Employee retirement plans, including profitsharing and 401(k) matching contributions. The Company’s profitsharing expense is based on profits that exclude the unrealized gains and/or losses the Company records for its fuel hedging program as well as Acquisition and integration costs. Based on current cost trends, the Company expects first quarter 2014 Salaries, wages, and benefits expense per ASM, excluding profitsharing, to increase compared to fourth quarter 2013.</w:t>
      </w:r>
    </w:p>
    <w:p>
      <w:pPr>
        <w:spacing w:after="0" w:line="249" w:lineRule="auto"/>
        <w:sectPr>
          <w:type w:val="continuous"/>
          <w:pgSz w:w="11880" w:h="15480"/>
          <w:pgMar w:top="1200" w:bottom="280" w:left="1220" w:right="1020"/>
        </w:sectPr>
      </w:pPr>
    </w:p>
    <w:p>
      <w:pPr>
        <w:pStyle w:val="BodyText"/>
        <w:spacing w:line="249" w:lineRule="auto" w:before="73"/>
        <w:ind w:left="120" w:right="154" w:firstLine="490"/>
      </w:pPr>
      <w:r>
        <w:rPr>
          <w:color w:val="231F20"/>
        </w:rPr>
        <w:t>The following table sets forth the Company’s unionized Employee groups that are currently in negotiations on collective-bargaining agreements:</w:t>
      </w:r>
    </w:p>
    <w:p>
      <w:pPr>
        <w:pStyle w:val="Heading3"/>
        <w:spacing w:line="209" w:lineRule="exact" w:before="107"/>
        <w:ind w:left="3018"/>
      </w:pPr>
      <w:r>
        <w:rPr>
          <w:color w:val="231F20"/>
        </w:rPr>
        <w:t>Approximate Number</w:t>
      </w:r>
    </w:p>
    <w:p>
      <w:pPr>
        <w:tabs>
          <w:tab w:pos="3394" w:val="left" w:leader="none"/>
          <w:tab w:pos="5733" w:val="left" w:leader="none"/>
          <w:tab w:pos="7811" w:val="left" w:leader="none"/>
        </w:tabs>
        <w:spacing w:line="221" w:lineRule="exact" w:before="0"/>
        <w:ind w:left="120" w:right="0" w:firstLine="0"/>
        <w:jc w:val="left"/>
        <w:rPr>
          <w:b/>
          <w:sz w:val="20"/>
        </w:rPr>
      </w:pPr>
      <w:r>
        <w:rPr/>
        <w:pict>
          <v:line style="position:absolute;mso-position-horizontal-relative:page;mso-position-vertical-relative:paragraph;z-index:2920" from="318.649994pt,12.39607pt" to="448.599994pt,12.39607pt" stroked="true" strokeweight="1pt" strokecolor="#231f20">
            <v:stroke dashstyle="solid"/>
            <w10:wrap type="none"/>
          </v:line>
        </w:pict>
      </w:r>
      <w:r>
        <w:rPr/>
        <w:pict>
          <v:line style="position:absolute;mso-position-horizontal-relative:page;mso-position-vertical-relative:paragraph;z-index:2944" from="453.600006pt,12.39607pt" to="525.000006pt,12.39607pt" stroked="true" strokeweight="1pt" strokecolor="#231f20">
            <v:stroke dashstyle="solid"/>
            <w10:wrap type="none"/>
          </v:line>
        </w:pict>
      </w:r>
      <w:r>
        <w:rPr>
          <w:b/>
          <w:color w:val="231F20"/>
          <w:sz w:val="20"/>
        </w:rPr>
        <w:t>Employee Group</w:t>
        <w:tab/>
        <w:t>of Employees</w:t>
        <w:tab/>
        <w:t>Representatives</w:t>
        <w:tab/>
        <w:t>Amendable</w:t>
      </w:r>
      <w:r>
        <w:rPr>
          <w:b/>
          <w:color w:val="231F20"/>
          <w:spacing w:val="-1"/>
          <w:sz w:val="20"/>
        </w:rPr>
        <w:t> </w:t>
      </w:r>
      <w:r>
        <w:rPr>
          <w:b/>
          <w:color w:val="231F20"/>
          <w:sz w:val="20"/>
        </w:rPr>
        <w:t>Date</w:t>
      </w:r>
    </w:p>
    <w:p>
      <w:pPr>
        <w:spacing w:after="0" w:line="221" w:lineRule="exact"/>
        <w:jc w:val="left"/>
        <w:rPr>
          <w:sz w:val="20"/>
        </w:rPr>
        <w:sectPr>
          <w:footerReference w:type="default" r:id="rId25"/>
          <w:pgSz w:w="11880" w:h="15480"/>
          <w:pgMar w:footer="1253" w:header="0" w:top="1240" w:bottom="1440" w:left="1260" w:right="1260"/>
          <w:pgNumType w:start="51"/>
        </w:sectPr>
      </w:pPr>
    </w:p>
    <w:p>
      <w:pPr>
        <w:tabs>
          <w:tab w:pos="3008" w:val="left" w:leader="none"/>
        </w:tabs>
        <w:spacing w:line="20" w:lineRule="exact"/>
        <w:ind w:left="110" w:right="0" w:firstLine="0"/>
        <w:rPr>
          <w:sz w:val="2"/>
        </w:rPr>
      </w:pPr>
      <w:r>
        <w:rPr>
          <w:sz w:val="2"/>
        </w:rPr>
        <w:pict>
          <v:group style="width:74.1pt;height:1pt;mso-position-horizontal-relative:char;mso-position-vertical-relative:line" coordorigin="0,0" coordsize="1482,20">
            <v:line style="position:absolute" from="10,10" to="1472,10" stroked="true" strokeweight="1pt" strokecolor="#231f20">
              <v:stroke dashstyle="solid"/>
            </v:line>
          </v:group>
        </w:pict>
      </w:r>
      <w:r>
        <w:rPr>
          <w:sz w:val="2"/>
        </w:rPr>
      </w:r>
      <w:r>
        <w:rPr>
          <w:sz w:val="2"/>
        </w:rPr>
        <w:tab/>
      </w:r>
      <w:r>
        <w:rPr>
          <w:sz w:val="2"/>
        </w:rPr>
        <w:pict>
          <v:group style="width:95.75pt;height:1pt;mso-position-horizontal-relative:char;mso-position-vertical-relative:line" coordorigin="0,0" coordsize="1915,20">
            <v:line style="position:absolute" from="10,10" to="1905,10" stroked="true" strokeweight="1pt" strokecolor="#231f20">
              <v:stroke dashstyle="solid"/>
            </v:line>
          </v:group>
        </w:pict>
      </w:r>
      <w:r>
        <w:rPr>
          <w:sz w:val="2"/>
        </w:rPr>
      </w:r>
    </w:p>
    <w:p>
      <w:pPr>
        <w:pStyle w:val="BodyText"/>
        <w:tabs>
          <w:tab w:pos="3790" w:val="left" w:leader="none"/>
          <w:tab w:pos="5112" w:val="left" w:leader="none"/>
        </w:tabs>
        <w:spacing w:line="229" w:lineRule="exact" w:before="58"/>
        <w:ind w:left="120"/>
      </w:pPr>
      <w:r>
        <w:rPr>
          <w:color w:val="231F20"/>
        </w:rPr>
        <w:t>Southwest Pilots  . . . . . . . . . . . .</w:t>
      </w:r>
      <w:r>
        <w:rPr>
          <w:color w:val="231F20"/>
          <w:spacing w:val="8"/>
        </w:rPr>
        <w:t> </w:t>
      </w:r>
      <w:r>
        <w:rPr>
          <w:color w:val="231F20"/>
        </w:rPr>
        <w:t>. .</w:t>
        <w:tab/>
        <w:t>6,200</w:t>
        <w:tab/>
        <w:t>Southwest Airlines</w:t>
      </w:r>
      <w:r>
        <w:rPr>
          <w:color w:val="231F20"/>
          <w:spacing w:val="1"/>
        </w:rPr>
        <w:t> </w:t>
      </w:r>
      <w:r>
        <w:rPr>
          <w:color w:val="231F20"/>
        </w:rPr>
        <w:t>Pilots’</w:t>
      </w:r>
    </w:p>
    <w:p>
      <w:pPr>
        <w:pStyle w:val="BodyText"/>
        <w:tabs>
          <w:tab w:pos="3690" w:val="left" w:leader="none"/>
          <w:tab w:pos="5112" w:val="left" w:leader="none"/>
        </w:tabs>
        <w:ind w:left="120" w:right="345" w:firstLine="4993"/>
      </w:pPr>
      <w:r>
        <w:rPr>
          <w:color w:val="231F20"/>
        </w:rPr>
        <w:t>Association (“SWAPA”) Southwest Flight Attendants . . .</w:t>
      </w:r>
      <w:r>
        <w:rPr>
          <w:color w:val="231F20"/>
          <w:spacing w:val="19"/>
        </w:rPr>
        <w:t> </w:t>
      </w:r>
      <w:r>
        <w:rPr>
          <w:color w:val="231F20"/>
        </w:rPr>
        <w:t>. .</w:t>
        <w:tab/>
        <w:t>10,100</w:t>
        <w:tab/>
        <w:t>Transportation Workers</w:t>
      </w:r>
      <w:r>
        <w:rPr>
          <w:color w:val="231F20"/>
          <w:spacing w:val="3"/>
        </w:rPr>
        <w:t> </w:t>
      </w:r>
      <w:r>
        <w:rPr>
          <w:color w:val="231F20"/>
        </w:rPr>
        <w:t>of</w:t>
      </w:r>
    </w:p>
    <w:p>
      <w:pPr>
        <w:pStyle w:val="BodyText"/>
        <w:spacing w:line="227" w:lineRule="exact" w:before="1"/>
        <w:jc w:val="right"/>
      </w:pPr>
      <w:r>
        <w:rPr>
          <w:color w:val="231F20"/>
        </w:rPr>
        <w:t>America, AFL-CIO, Local 556</w:t>
      </w:r>
    </w:p>
    <w:p>
      <w:pPr>
        <w:pStyle w:val="BodyText"/>
        <w:spacing w:line="229" w:lineRule="exact"/>
        <w:ind w:right="1365"/>
        <w:jc w:val="right"/>
      </w:pPr>
      <w:r>
        <w:rPr>
          <w:color w:val="231F20"/>
        </w:rPr>
        <w:t>(“TWU 556”)</w:t>
      </w:r>
    </w:p>
    <w:p>
      <w:pPr>
        <w:pStyle w:val="BodyText"/>
        <w:spacing w:before="78"/>
        <w:ind w:left="120"/>
      </w:pPr>
      <w:r>
        <w:rPr/>
        <w:br w:type="column"/>
      </w:r>
      <w:r>
        <w:rPr>
          <w:color w:val="231F20"/>
        </w:rPr>
        <w:t>August 2012</w:t>
      </w:r>
    </w:p>
    <w:p>
      <w:pPr>
        <w:pStyle w:val="BodyText"/>
        <w:spacing w:before="7"/>
        <w:rPr>
          <w:sz w:val="19"/>
        </w:rPr>
      </w:pPr>
    </w:p>
    <w:p>
      <w:pPr>
        <w:pStyle w:val="BodyText"/>
        <w:ind w:left="120"/>
      </w:pPr>
      <w:r>
        <w:rPr>
          <w:color w:val="231F20"/>
        </w:rPr>
        <w:t>May 2013</w:t>
      </w:r>
    </w:p>
    <w:p>
      <w:pPr>
        <w:spacing w:after="0"/>
        <w:sectPr>
          <w:type w:val="continuous"/>
          <w:pgSz w:w="11880" w:h="15480"/>
          <w:pgMar w:top="1200" w:bottom="280" w:left="1260" w:right="1260"/>
          <w:cols w:num="2" w:equalWidth="0">
            <w:col w:w="7598" w:space="260"/>
            <w:col w:w="1502"/>
          </w:cols>
        </w:sectPr>
      </w:pPr>
    </w:p>
    <w:p>
      <w:pPr>
        <w:pStyle w:val="BodyText"/>
        <w:ind w:left="320" w:right="12" w:hanging="200"/>
      </w:pPr>
      <w:r>
        <w:rPr>
          <w:color w:val="231F20"/>
        </w:rPr>
        <w:t>Southwest Ramp, Operations, Provisioning, Freight Agents   . .</w:t>
      </w:r>
    </w:p>
    <w:p>
      <w:pPr>
        <w:pStyle w:val="BodyText"/>
        <w:spacing w:before="9"/>
        <w:rPr>
          <w:sz w:val="19"/>
        </w:rPr>
      </w:pPr>
    </w:p>
    <w:p>
      <w:pPr>
        <w:pStyle w:val="BodyText"/>
        <w:ind w:left="320" w:hanging="200"/>
      </w:pPr>
      <w:r>
        <w:rPr>
          <w:color w:val="231F20"/>
        </w:rPr>
        <w:t>Southwest Customer Service Agents, Customer Representatives  . . . . . . . . . . . . . </w:t>
      </w:r>
    </w:p>
    <w:p>
      <w:pPr>
        <w:pStyle w:val="BodyText"/>
        <w:spacing w:before="7"/>
        <w:rPr>
          <w:sz w:val="19"/>
        </w:rPr>
      </w:pPr>
    </w:p>
    <w:p>
      <w:pPr>
        <w:pStyle w:val="BodyText"/>
        <w:ind w:left="320" w:right="12" w:hanging="200"/>
      </w:pPr>
      <w:r>
        <w:rPr>
          <w:color w:val="231F20"/>
        </w:rPr>
        <w:t>Southwest Materials Specialists (formerly known as Stock Clerks) . . . . . . . . . . . . . . . . . . . . </w:t>
      </w:r>
    </w:p>
    <w:p>
      <w:pPr>
        <w:pStyle w:val="BodyText"/>
        <w:tabs>
          <w:tab w:pos="1441" w:val="left" w:leader="none"/>
        </w:tabs>
        <w:ind w:left="1442" w:right="77" w:hanging="1322"/>
      </w:pPr>
      <w:r>
        <w:rPr/>
        <w:br w:type="column"/>
      </w:r>
      <w:r>
        <w:rPr>
          <w:color w:val="231F20"/>
        </w:rPr>
        <w:t>9,500</w:t>
        <w:tab/>
        <w:t>Transportation</w:t>
      </w:r>
      <w:r>
        <w:rPr>
          <w:color w:val="231F20"/>
          <w:spacing w:val="2"/>
        </w:rPr>
        <w:t> </w:t>
      </w:r>
      <w:r>
        <w:rPr>
          <w:color w:val="231F20"/>
        </w:rPr>
        <w:t>Workers</w:t>
      </w:r>
      <w:r>
        <w:rPr>
          <w:color w:val="231F20"/>
          <w:spacing w:val="1"/>
        </w:rPr>
        <w:t> </w:t>
      </w:r>
      <w:r>
        <w:rPr>
          <w:color w:val="231F20"/>
        </w:rPr>
        <w:t>of America, AFL-CIO, Local 555</w:t>
      </w:r>
    </w:p>
    <w:p>
      <w:pPr>
        <w:pStyle w:val="BodyText"/>
        <w:spacing w:line="227" w:lineRule="exact" w:before="2"/>
        <w:ind w:left="1423" w:right="1426"/>
        <w:jc w:val="center"/>
      </w:pPr>
      <w:r>
        <w:rPr>
          <w:color w:val="231F20"/>
        </w:rPr>
        <w:t>(“TWU 555”)</w:t>
      </w:r>
    </w:p>
    <w:p>
      <w:pPr>
        <w:pStyle w:val="BodyText"/>
        <w:tabs>
          <w:tab w:pos="1441" w:val="left" w:leader="none"/>
        </w:tabs>
        <w:ind w:left="1442" w:right="323" w:hanging="1322"/>
      </w:pPr>
      <w:r>
        <w:rPr>
          <w:color w:val="231F20"/>
        </w:rPr>
        <w:t>6,000</w:t>
        <w:tab/>
        <w:t>International</w:t>
      </w:r>
      <w:r>
        <w:rPr>
          <w:color w:val="231F20"/>
          <w:spacing w:val="3"/>
        </w:rPr>
        <w:t> </w:t>
      </w:r>
      <w:r>
        <w:rPr>
          <w:color w:val="231F20"/>
        </w:rPr>
        <w:t>Association</w:t>
      </w:r>
      <w:r>
        <w:rPr>
          <w:color w:val="231F20"/>
          <w:spacing w:val="1"/>
        </w:rPr>
        <w:t> </w:t>
      </w:r>
      <w:r>
        <w:rPr>
          <w:color w:val="231F20"/>
        </w:rPr>
        <w:t>of Machinists and Aerospace Workers, AFL-CIO (“IAM 142”)</w:t>
      </w:r>
    </w:p>
    <w:p>
      <w:pPr>
        <w:pStyle w:val="BodyText"/>
        <w:tabs>
          <w:tab w:pos="1441" w:val="left" w:leader="none"/>
        </w:tabs>
        <w:ind w:left="1442" w:hanging="1172"/>
      </w:pPr>
      <w:r>
        <w:rPr>
          <w:color w:val="231F20"/>
        </w:rPr>
        <w:t>200</w:t>
        <w:tab/>
        <w:t>International</w:t>
      </w:r>
      <w:r>
        <w:rPr>
          <w:color w:val="231F20"/>
          <w:spacing w:val="3"/>
        </w:rPr>
        <w:t> </w:t>
      </w:r>
      <w:r>
        <w:rPr>
          <w:color w:val="231F20"/>
        </w:rPr>
        <w:t>Brotherhood</w:t>
      </w:r>
      <w:r>
        <w:rPr>
          <w:color w:val="231F20"/>
          <w:spacing w:val="1"/>
        </w:rPr>
        <w:t> </w:t>
      </w:r>
      <w:r>
        <w:rPr>
          <w:color w:val="231F20"/>
        </w:rPr>
        <w:t>of Teamsters, Local 19 (“IBT</w:t>
      </w:r>
      <w:r>
        <w:rPr>
          <w:color w:val="231F20"/>
          <w:spacing w:val="2"/>
        </w:rPr>
        <w:t> </w:t>
      </w:r>
      <w:r>
        <w:rPr>
          <w:color w:val="231F20"/>
        </w:rPr>
        <w:t>19”)</w:t>
      </w:r>
    </w:p>
    <w:p>
      <w:pPr>
        <w:pStyle w:val="BodyText"/>
        <w:spacing w:line="228" w:lineRule="exact"/>
        <w:ind w:left="120"/>
      </w:pPr>
      <w:r>
        <w:rPr/>
        <w:br w:type="column"/>
      </w:r>
      <w:r>
        <w:rPr>
          <w:color w:val="231F20"/>
        </w:rPr>
        <w:t>June 2011</w:t>
      </w:r>
    </w:p>
    <w:p>
      <w:pPr>
        <w:pStyle w:val="BodyText"/>
        <w:rPr>
          <w:sz w:val="22"/>
        </w:rPr>
      </w:pPr>
    </w:p>
    <w:p>
      <w:pPr>
        <w:pStyle w:val="BodyText"/>
        <w:spacing w:before="5"/>
        <w:rPr>
          <w:sz w:val="17"/>
        </w:rPr>
      </w:pPr>
    </w:p>
    <w:p>
      <w:pPr>
        <w:pStyle w:val="BodyText"/>
        <w:ind w:left="120"/>
      </w:pPr>
      <w:r>
        <w:rPr>
          <w:color w:val="231F20"/>
        </w:rPr>
        <w:t>October 2012</w:t>
      </w:r>
    </w:p>
    <w:p>
      <w:pPr>
        <w:pStyle w:val="BodyText"/>
        <w:rPr>
          <w:sz w:val="22"/>
        </w:rPr>
      </w:pPr>
    </w:p>
    <w:p>
      <w:pPr>
        <w:pStyle w:val="BodyText"/>
        <w:rPr>
          <w:sz w:val="22"/>
        </w:rPr>
      </w:pPr>
    </w:p>
    <w:p>
      <w:pPr>
        <w:pStyle w:val="BodyText"/>
        <w:spacing w:before="175"/>
        <w:ind w:left="120"/>
      </w:pPr>
      <w:r>
        <w:rPr>
          <w:color w:val="231F20"/>
        </w:rPr>
        <w:t>August 2013</w:t>
      </w:r>
    </w:p>
    <w:p>
      <w:pPr>
        <w:spacing w:after="0"/>
        <w:sectPr>
          <w:type w:val="continuous"/>
          <w:pgSz w:w="11880" w:h="15480"/>
          <w:pgMar w:top="1200" w:bottom="280" w:left="1260" w:right="1260"/>
          <w:cols w:num="3" w:equalWidth="0">
            <w:col w:w="2969" w:space="702"/>
            <w:col w:w="4006" w:space="181"/>
            <w:col w:w="1502"/>
          </w:cols>
        </w:sectPr>
      </w:pPr>
    </w:p>
    <w:p>
      <w:pPr>
        <w:pStyle w:val="BodyText"/>
        <w:tabs>
          <w:tab w:pos="3790" w:val="left" w:leader="none"/>
          <w:tab w:pos="5112" w:val="left" w:leader="none"/>
        </w:tabs>
        <w:spacing w:line="227" w:lineRule="exact"/>
        <w:ind w:left="120"/>
      </w:pPr>
      <w:r>
        <w:rPr>
          <w:color w:val="231F20"/>
        </w:rPr>
        <w:t>Southwest Mechanics  . . . . . . . .</w:t>
      </w:r>
      <w:r>
        <w:rPr>
          <w:color w:val="231F20"/>
          <w:spacing w:val="-3"/>
        </w:rPr>
        <w:t> </w:t>
      </w:r>
      <w:r>
        <w:rPr>
          <w:color w:val="231F20"/>
        </w:rPr>
        <w:t>. .</w:t>
        <w:tab/>
        <w:t>2,200</w:t>
        <w:tab/>
        <w:t>Aircraft Mechanics</w:t>
      </w:r>
      <w:r>
        <w:rPr>
          <w:color w:val="231F20"/>
          <w:spacing w:val="3"/>
        </w:rPr>
        <w:t> </w:t>
      </w:r>
      <w:r>
        <w:rPr>
          <w:color w:val="231F20"/>
        </w:rPr>
        <w:t>Fraternal</w:t>
      </w:r>
    </w:p>
    <w:p>
      <w:pPr>
        <w:pStyle w:val="BodyText"/>
        <w:spacing w:line="229" w:lineRule="exact"/>
        <w:ind w:right="438"/>
        <w:jc w:val="right"/>
      </w:pPr>
      <w:r>
        <w:rPr>
          <w:color w:val="231F20"/>
        </w:rPr>
        <w:t>Association (“AMFA”)</w:t>
      </w:r>
    </w:p>
    <w:p>
      <w:pPr>
        <w:pStyle w:val="BodyText"/>
        <w:spacing w:line="228" w:lineRule="exact"/>
        <w:ind w:left="120"/>
      </w:pPr>
      <w:r>
        <w:rPr/>
        <w:br w:type="column"/>
      </w:r>
      <w:r>
        <w:rPr>
          <w:color w:val="231F20"/>
        </w:rPr>
        <w:t>August 2012</w:t>
      </w:r>
    </w:p>
    <w:p>
      <w:pPr>
        <w:spacing w:after="0" w:line="228" w:lineRule="exact"/>
        <w:sectPr>
          <w:type w:val="continuous"/>
          <w:pgSz w:w="11880" w:h="15480"/>
          <w:pgMar w:top="1200" w:bottom="280" w:left="1260" w:right="1260"/>
          <w:cols w:num="2" w:equalWidth="0">
            <w:col w:w="7439" w:space="419"/>
            <w:col w:w="1502"/>
          </w:cols>
        </w:sectPr>
      </w:pPr>
    </w:p>
    <w:p>
      <w:pPr>
        <w:pStyle w:val="BodyText"/>
        <w:ind w:left="320" w:hanging="200"/>
      </w:pPr>
      <w:r>
        <w:rPr>
          <w:color w:val="231F20"/>
        </w:rPr>
        <w:t>Southwest Flight Simulator Technicians  . . . . . . . . . . . . . . . . </w:t>
      </w:r>
    </w:p>
    <w:p>
      <w:pPr>
        <w:pStyle w:val="BodyText"/>
        <w:tabs>
          <w:tab w:pos="1191" w:val="left" w:leader="none"/>
        </w:tabs>
        <w:ind w:left="1192" w:hanging="1072"/>
      </w:pPr>
      <w:r>
        <w:rPr/>
        <w:br w:type="column"/>
      </w:r>
      <w:r>
        <w:rPr>
          <w:color w:val="231F20"/>
        </w:rPr>
        <w:t>30</w:t>
        <w:tab/>
        <w:t>International</w:t>
      </w:r>
      <w:r>
        <w:rPr>
          <w:color w:val="231F20"/>
          <w:spacing w:val="3"/>
        </w:rPr>
        <w:t> </w:t>
      </w:r>
      <w:r>
        <w:rPr>
          <w:color w:val="231F20"/>
        </w:rPr>
        <w:t>Brotherhood</w:t>
      </w:r>
      <w:r>
        <w:rPr>
          <w:color w:val="231F20"/>
          <w:spacing w:val="1"/>
        </w:rPr>
        <w:t> </w:t>
      </w:r>
      <w:r>
        <w:rPr>
          <w:color w:val="231F20"/>
        </w:rPr>
        <w:t>of Teamsters</w:t>
      </w:r>
      <w:r>
        <w:rPr>
          <w:color w:val="231F20"/>
          <w:spacing w:val="2"/>
        </w:rPr>
        <w:t> </w:t>
      </w:r>
      <w:r>
        <w:rPr>
          <w:color w:val="231F20"/>
        </w:rPr>
        <w:t>(“IBT”)</w:t>
      </w:r>
    </w:p>
    <w:p>
      <w:pPr>
        <w:pStyle w:val="BodyText"/>
        <w:spacing w:line="228" w:lineRule="exact"/>
        <w:ind w:left="120"/>
      </w:pPr>
      <w:r>
        <w:rPr/>
        <w:br w:type="column"/>
      </w:r>
      <w:r>
        <w:rPr>
          <w:color w:val="231F20"/>
        </w:rPr>
        <w:t>October 2013</w:t>
      </w:r>
    </w:p>
    <w:p>
      <w:pPr>
        <w:spacing w:after="0" w:line="228" w:lineRule="exact"/>
        <w:sectPr>
          <w:type w:val="continuous"/>
          <w:pgSz w:w="11880" w:h="15480"/>
          <w:pgMar w:top="1200" w:bottom="280" w:left="1260" w:right="1260"/>
          <w:cols w:num="3" w:equalWidth="0">
            <w:col w:w="2969" w:space="952"/>
            <w:col w:w="3496" w:space="441"/>
            <w:col w:w="1502"/>
          </w:cols>
        </w:sectPr>
      </w:pPr>
    </w:p>
    <w:p>
      <w:pPr>
        <w:pStyle w:val="BodyText"/>
        <w:ind w:left="320" w:hanging="200"/>
      </w:pPr>
      <w:r>
        <w:rPr>
          <w:color w:val="231F20"/>
        </w:rPr>
        <w:t>Southwest Facilities Maintenance Technicians  . . . . . . . . . . . . . . . . </w:t>
      </w:r>
    </w:p>
    <w:p>
      <w:pPr>
        <w:pStyle w:val="BodyText"/>
        <w:tabs>
          <w:tab w:pos="1191" w:val="left" w:leader="none"/>
          <w:tab w:pos="4056" w:val="left" w:leader="none"/>
        </w:tabs>
        <w:ind w:left="120"/>
      </w:pPr>
      <w:r>
        <w:rPr/>
        <w:br w:type="column"/>
      </w:r>
      <w:r>
        <w:rPr>
          <w:color w:val="231F20"/>
        </w:rPr>
        <w:t>40</w:t>
        <w:tab/>
        <w:t>AMFA</w:t>
        <w:tab/>
        <w:t>N/A</w:t>
      </w:r>
    </w:p>
    <w:p>
      <w:pPr>
        <w:spacing w:after="0"/>
        <w:sectPr>
          <w:type w:val="continuous"/>
          <w:pgSz w:w="11880" w:h="15480"/>
          <w:pgMar w:top="1200" w:bottom="280" w:left="1260" w:right="1260"/>
          <w:cols w:num="2" w:equalWidth="0">
            <w:col w:w="2969" w:space="952"/>
            <w:col w:w="5439"/>
          </w:cols>
        </w:sectPr>
      </w:pPr>
    </w:p>
    <w:p>
      <w:pPr>
        <w:pStyle w:val="BodyText"/>
        <w:spacing w:line="249" w:lineRule="auto" w:before="156"/>
        <w:ind w:left="120" w:right="154" w:firstLine="490"/>
        <w:jc w:val="both"/>
      </w:pPr>
      <w:r>
        <w:rPr>
          <w:color w:val="231F20"/>
        </w:rPr>
        <w:t>Fuel and oil expense for 2013 decreased by $357 million, or 5.8 percent, compared to 2012. On a per ASM basis, Fuel and oil expense for 2013 decreased 7.5 percent compared to 2012. Excluding the impact of fuel hedge accounting, approximately 75 percent of both the dollar and per ASM decreases were attributable to reduced fuel price per gallon, with the remainder attributed to improved fuel efficiency. During 2013, the Company’s average economic jet fuel price per gallon, including fuel tax, was $3.12, compared to $3.28 during 2012, a decrease of</w:t>
      </w:r>
    </w:p>
    <w:p>
      <w:pPr>
        <w:pStyle w:val="BodyText"/>
        <w:spacing w:line="249" w:lineRule="auto" w:before="1"/>
        <w:ind w:left="120" w:right="417"/>
      </w:pPr>
      <w:r>
        <w:rPr>
          <w:color w:val="231F20"/>
        </w:rPr>
        <w:t>4.9 percent. In addition, fuel gallons consumed decreased 1.6 percent compared to 2012, while year-over-year capacity increased 1.7 percent. The improvement in fuel efficiency was primarily due to the Company’s continued replacement of older 737-300 and 737-500 aircraft with newer 737-700 and 737-800 aircraft.</w:t>
      </w:r>
    </w:p>
    <w:p>
      <w:pPr>
        <w:pStyle w:val="BodyText"/>
        <w:spacing w:line="249" w:lineRule="auto" w:before="147"/>
        <w:ind w:left="120" w:right="124" w:firstLine="490"/>
      </w:pPr>
      <w:r>
        <w:rPr>
          <w:color w:val="231F20"/>
        </w:rPr>
        <w:t>As a result of the Company’s fuel hedging program and inclusive of accounting for derivatives and hedging, the Company recognized net losses totaling $118 million during 2013 in Fuel and oil expense relating to fuel derivative instruments versus net losses totaling $157 million recognized in Fuel and oil expense in</w:t>
      </w:r>
      <w:r>
        <w:rPr>
          <w:color w:val="231F20"/>
          <w:spacing w:val="11"/>
        </w:rPr>
        <w:t> </w:t>
      </w:r>
      <w:r>
        <w:rPr>
          <w:color w:val="231F20"/>
        </w:rPr>
        <w:t>2012.</w:t>
      </w:r>
    </w:p>
    <w:p>
      <w:pPr>
        <w:pStyle w:val="BodyText"/>
        <w:spacing w:line="249" w:lineRule="auto" w:before="1"/>
        <w:ind w:left="120" w:right="344"/>
      </w:pPr>
      <w:r>
        <w:rPr>
          <w:color w:val="231F20"/>
        </w:rPr>
        <w:t>These totals are inclusive of cash settlements realized from the settlement of fuel derivatives, which were $34 million paid to counterparties in 2013, versus $125 million paid to counterparties in 2012. These totals exclude gains and/or losses recognized from hedge ineffectiveness and from derivatives that do not qualify for hedge accounting, these impacts are recorded as a component of Other (gains) losses, net. See Note 10 to the Consolidated Financial Statements.</w:t>
      </w:r>
    </w:p>
    <w:p>
      <w:pPr>
        <w:pStyle w:val="BodyText"/>
        <w:spacing w:line="249" w:lineRule="auto" w:before="147"/>
        <w:ind w:left="120" w:right="443" w:firstLine="490"/>
      </w:pPr>
      <w:r>
        <w:rPr>
          <w:color w:val="231F20"/>
        </w:rPr>
        <w:t>As of January 17, 2014, on an economic basis, the Company had derivative contracts in place related to expected future fuel consumption as follows:</w:t>
      </w:r>
    </w:p>
    <w:p>
      <w:pPr>
        <w:spacing w:line="180" w:lineRule="exact" w:before="130"/>
        <w:ind w:left="3162" w:right="2904" w:hanging="341"/>
        <w:jc w:val="left"/>
        <w:rPr>
          <w:b/>
          <w:sz w:val="18"/>
        </w:rPr>
      </w:pPr>
      <w:r>
        <w:rPr>
          <w:b/>
          <w:color w:val="231F20"/>
          <w:sz w:val="18"/>
        </w:rPr>
        <w:t>Average percent of estimated fuel consumption covered by fuel derivative contracts at</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80"/>
        <w:gridCol w:w="1063"/>
        <w:gridCol w:w="4977"/>
      </w:tblGrid>
      <w:tr>
        <w:trPr>
          <w:trHeight w:val="240" w:hRule="exact"/>
        </w:trPr>
        <w:tc>
          <w:tcPr>
            <w:tcW w:w="1080" w:type="dxa"/>
            <w:tcBorders>
              <w:bottom w:val="single" w:sz="8" w:space="0" w:color="231F20"/>
            </w:tcBorders>
          </w:tcPr>
          <w:p>
            <w:pPr>
              <w:pStyle w:val="TableParagraph"/>
              <w:spacing w:line="183" w:lineRule="exact"/>
              <w:ind w:right="22"/>
              <w:rPr>
                <w:b/>
                <w:sz w:val="18"/>
              </w:rPr>
            </w:pPr>
            <w:r>
              <w:rPr>
                <w:b/>
                <w:color w:val="231F20"/>
                <w:sz w:val="18"/>
              </w:rPr>
              <w:t>Period</w:t>
            </w:r>
          </w:p>
        </w:tc>
        <w:tc>
          <w:tcPr>
            <w:tcW w:w="1063" w:type="dxa"/>
            <w:tcBorders>
              <w:bottom w:val="single" w:sz="8" w:space="0" w:color="231F20"/>
            </w:tcBorders>
          </w:tcPr>
          <w:p>
            <w:pPr/>
          </w:p>
        </w:tc>
        <w:tc>
          <w:tcPr>
            <w:tcW w:w="4977" w:type="dxa"/>
            <w:tcBorders>
              <w:bottom w:val="single" w:sz="8" w:space="0" w:color="231F20"/>
            </w:tcBorders>
          </w:tcPr>
          <w:p>
            <w:pPr>
              <w:pStyle w:val="TableParagraph"/>
              <w:spacing w:line="183" w:lineRule="exact"/>
              <w:ind w:left="478" w:right="718"/>
              <w:jc w:val="center"/>
              <w:rPr>
                <w:b/>
                <w:sz w:val="18"/>
              </w:rPr>
            </w:pPr>
            <w:r>
              <w:rPr>
                <w:b/>
                <w:color w:val="231F20"/>
                <w:sz w:val="18"/>
              </w:rPr>
              <w:t>varying WTI/Brent crude-equivalent price levels</w:t>
            </w:r>
          </w:p>
        </w:tc>
      </w:tr>
      <w:tr>
        <w:trPr>
          <w:trHeight w:val="450" w:hRule="exact"/>
        </w:trPr>
        <w:tc>
          <w:tcPr>
            <w:tcW w:w="1080" w:type="dxa"/>
            <w:tcBorders>
              <w:top w:val="single" w:sz="8" w:space="0" w:color="231F20"/>
            </w:tcBorders>
          </w:tcPr>
          <w:p>
            <w:pPr>
              <w:pStyle w:val="TableParagraph"/>
              <w:spacing w:before="10"/>
              <w:jc w:val="left"/>
              <w:rPr>
                <w:b/>
                <w:sz w:val="17"/>
              </w:rPr>
            </w:pPr>
          </w:p>
          <w:p>
            <w:pPr>
              <w:pStyle w:val="TableParagraph"/>
              <w:ind w:right="97"/>
              <w:rPr>
                <w:b/>
                <w:sz w:val="18"/>
              </w:rPr>
            </w:pPr>
            <w:r>
              <w:rPr>
                <w:b/>
                <w:color w:val="231F20"/>
                <w:sz w:val="18"/>
              </w:rPr>
              <w:t>2014</w:t>
            </w:r>
          </w:p>
        </w:tc>
        <w:tc>
          <w:tcPr>
            <w:tcW w:w="1063" w:type="dxa"/>
            <w:tcBorders>
              <w:top w:val="single" w:sz="8" w:space="0" w:color="231F20"/>
            </w:tcBorders>
          </w:tcPr>
          <w:p>
            <w:pPr>
              <w:pStyle w:val="TableParagraph"/>
              <w:spacing w:before="10"/>
              <w:jc w:val="left"/>
              <w:rPr>
                <w:b/>
                <w:sz w:val="17"/>
              </w:rPr>
            </w:pPr>
          </w:p>
          <w:p>
            <w:pPr>
              <w:pStyle w:val="TableParagraph"/>
              <w:ind w:left="25"/>
              <w:jc w:val="left"/>
              <w:rPr>
                <w:sz w:val="18"/>
              </w:rPr>
            </w:pPr>
            <w:r>
              <w:rPr>
                <w:color w:val="231F20"/>
                <w:sz w:val="18"/>
              </w:rPr>
              <w:t>. . . . . . </w:t>
            </w:r>
          </w:p>
        </w:tc>
        <w:tc>
          <w:tcPr>
            <w:tcW w:w="4977" w:type="dxa"/>
            <w:tcBorders>
              <w:top w:val="single" w:sz="8" w:space="0" w:color="231F20"/>
            </w:tcBorders>
          </w:tcPr>
          <w:p>
            <w:pPr>
              <w:pStyle w:val="TableParagraph"/>
              <w:spacing w:before="10"/>
              <w:jc w:val="left"/>
              <w:rPr>
                <w:b/>
                <w:sz w:val="17"/>
              </w:rPr>
            </w:pPr>
          </w:p>
          <w:p>
            <w:pPr>
              <w:pStyle w:val="TableParagraph"/>
              <w:ind w:left="478" w:right="718"/>
              <w:jc w:val="center"/>
              <w:rPr>
                <w:sz w:val="18"/>
              </w:rPr>
            </w:pPr>
            <w:r>
              <w:rPr>
                <w:color w:val="231F20"/>
                <w:sz w:val="18"/>
              </w:rPr>
              <w:t>Approx. 20%</w:t>
            </w:r>
          </w:p>
        </w:tc>
      </w:tr>
      <w:tr>
        <w:trPr>
          <w:trHeight w:val="220" w:hRule="exact"/>
        </w:trPr>
        <w:tc>
          <w:tcPr>
            <w:tcW w:w="1080" w:type="dxa"/>
          </w:tcPr>
          <w:p>
            <w:pPr>
              <w:pStyle w:val="TableParagraph"/>
              <w:spacing w:line="193" w:lineRule="exact"/>
              <w:ind w:right="97"/>
              <w:rPr>
                <w:b/>
                <w:sz w:val="18"/>
              </w:rPr>
            </w:pPr>
            <w:r>
              <w:rPr>
                <w:b/>
                <w:color w:val="231F20"/>
                <w:sz w:val="18"/>
              </w:rPr>
              <w:t>2015</w:t>
            </w:r>
          </w:p>
        </w:tc>
        <w:tc>
          <w:tcPr>
            <w:tcW w:w="1063" w:type="dxa"/>
          </w:tcPr>
          <w:p>
            <w:pPr>
              <w:pStyle w:val="TableParagraph"/>
              <w:spacing w:line="193" w:lineRule="exact"/>
              <w:ind w:left="25"/>
              <w:jc w:val="left"/>
              <w:rPr>
                <w:sz w:val="18"/>
              </w:rPr>
            </w:pPr>
            <w:r>
              <w:rPr>
                <w:color w:val="231F20"/>
                <w:sz w:val="18"/>
              </w:rPr>
              <w:t>. . . . . . </w:t>
            </w:r>
          </w:p>
        </w:tc>
        <w:tc>
          <w:tcPr>
            <w:tcW w:w="4977" w:type="dxa"/>
          </w:tcPr>
          <w:p>
            <w:pPr>
              <w:pStyle w:val="TableParagraph"/>
              <w:spacing w:line="193" w:lineRule="exact"/>
              <w:ind w:left="477" w:right="718"/>
              <w:jc w:val="center"/>
              <w:rPr>
                <w:sz w:val="18"/>
              </w:rPr>
            </w:pPr>
            <w:r>
              <w:rPr>
                <w:color w:val="231F20"/>
                <w:sz w:val="18"/>
              </w:rPr>
              <w:t>Approx. 40%</w:t>
            </w:r>
          </w:p>
        </w:tc>
      </w:tr>
      <w:tr>
        <w:trPr>
          <w:trHeight w:val="220" w:hRule="exact"/>
        </w:trPr>
        <w:tc>
          <w:tcPr>
            <w:tcW w:w="1080" w:type="dxa"/>
          </w:tcPr>
          <w:p>
            <w:pPr>
              <w:pStyle w:val="TableParagraph"/>
              <w:spacing w:line="193" w:lineRule="exact"/>
              <w:ind w:right="99"/>
              <w:rPr>
                <w:b/>
                <w:sz w:val="18"/>
              </w:rPr>
            </w:pPr>
            <w:r>
              <w:rPr>
                <w:b/>
                <w:color w:val="231F20"/>
                <w:sz w:val="18"/>
              </w:rPr>
              <w:t>2016</w:t>
            </w:r>
          </w:p>
        </w:tc>
        <w:tc>
          <w:tcPr>
            <w:tcW w:w="1063" w:type="dxa"/>
          </w:tcPr>
          <w:p>
            <w:pPr>
              <w:pStyle w:val="TableParagraph"/>
              <w:spacing w:line="193" w:lineRule="exact"/>
              <w:ind w:left="24"/>
              <w:jc w:val="left"/>
              <w:rPr>
                <w:sz w:val="18"/>
              </w:rPr>
            </w:pPr>
            <w:r>
              <w:rPr>
                <w:color w:val="231F20"/>
                <w:sz w:val="18"/>
              </w:rPr>
              <w:t>. . . . . . </w:t>
            </w:r>
          </w:p>
        </w:tc>
        <w:tc>
          <w:tcPr>
            <w:tcW w:w="4977" w:type="dxa"/>
          </w:tcPr>
          <w:p>
            <w:pPr>
              <w:pStyle w:val="TableParagraph"/>
              <w:spacing w:line="193" w:lineRule="exact"/>
              <w:ind w:left="477" w:right="718"/>
              <w:jc w:val="center"/>
              <w:rPr>
                <w:sz w:val="18"/>
              </w:rPr>
            </w:pPr>
            <w:r>
              <w:rPr>
                <w:color w:val="231F20"/>
                <w:sz w:val="18"/>
              </w:rPr>
              <w:t>Approx. 35%</w:t>
            </w:r>
          </w:p>
        </w:tc>
      </w:tr>
      <w:tr>
        <w:trPr>
          <w:trHeight w:val="210" w:hRule="exact"/>
        </w:trPr>
        <w:tc>
          <w:tcPr>
            <w:tcW w:w="1080" w:type="dxa"/>
          </w:tcPr>
          <w:p>
            <w:pPr>
              <w:pStyle w:val="TableParagraph"/>
              <w:spacing w:line="193" w:lineRule="exact"/>
              <w:ind w:right="98"/>
              <w:rPr>
                <w:b/>
                <w:sz w:val="18"/>
              </w:rPr>
            </w:pPr>
            <w:r>
              <w:rPr>
                <w:b/>
                <w:color w:val="231F20"/>
                <w:sz w:val="18"/>
              </w:rPr>
              <w:t>2017</w:t>
            </w:r>
          </w:p>
        </w:tc>
        <w:tc>
          <w:tcPr>
            <w:tcW w:w="1063" w:type="dxa"/>
          </w:tcPr>
          <w:p>
            <w:pPr>
              <w:pStyle w:val="TableParagraph"/>
              <w:spacing w:line="193" w:lineRule="exact"/>
              <w:ind w:left="24"/>
              <w:jc w:val="left"/>
              <w:rPr>
                <w:sz w:val="18"/>
              </w:rPr>
            </w:pPr>
            <w:r>
              <w:rPr>
                <w:color w:val="231F20"/>
                <w:sz w:val="18"/>
              </w:rPr>
              <w:t>. . . . . . </w:t>
            </w:r>
          </w:p>
        </w:tc>
        <w:tc>
          <w:tcPr>
            <w:tcW w:w="4977" w:type="dxa"/>
          </w:tcPr>
          <w:p>
            <w:pPr>
              <w:pStyle w:val="TableParagraph"/>
              <w:spacing w:line="193" w:lineRule="exact"/>
              <w:ind w:left="477" w:right="718"/>
              <w:jc w:val="center"/>
              <w:rPr>
                <w:sz w:val="18"/>
              </w:rPr>
            </w:pPr>
            <w:r>
              <w:rPr>
                <w:color w:val="231F20"/>
                <w:sz w:val="18"/>
              </w:rPr>
              <w:t>Approx. 50%</w:t>
            </w:r>
          </w:p>
        </w:tc>
      </w:tr>
    </w:tbl>
    <w:p>
      <w:pPr>
        <w:spacing w:after="0" w:line="193" w:lineRule="exact"/>
        <w:jc w:val="center"/>
        <w:rPr>
          <w:sz w:val="18"/>
        </w:rPr>
        <w:sectPr>
          <w:type w:val="continuous"/>
          <w:pgSz w:w="11880" w:h="15480"/>
          <w:pgMar w:top="1200" w:bottom="280" w:left="1260" w:right="1260"/>
        </w:sectPr>
      </w:pPr>
    </w:p>
    <w:p>
      <w:pPr>
        <w:pStyle w:val="BodyText"/>
        <w:spacing w:line="249" w:lineRule="auto" w:before="73"/>
        <w:ind w:left="100" w:right="162" w:firstLine="490"/>
      </w:pPr>
      <w:r>
        <w:rPr>
          <w:color w:val="231F20"/>
        </w:rPr>
        <w:t>As a result of applying hedge accounting in prior periods, a portion of the amounts in Accumulated other comprehensive income (loss) (“AOCI”) are considered “frozen,”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see Note 10 to the Consolidated Financial Statements for further information), as well as the amount of deferred gains/losses in AOCI at December 31, 2013, and the expected future periods in which these items are expected to settle and/or be recognized in earnings (in millions):</w:t>
      </w:r>
    </w:p>
    <w:p>
      <w:pPr>
        <w:spacing w:after="0" w:line="249" w:lineRule="auto"/>
        <w:sectPr>
          <w:pgSz w:w="11880" w:h="15480"/>
          <w:pgMar w:header="0" w:footer="1253" w:top="1240" w:bottom="1440" w:left="1280" w:right="1260"/>
        </w:sectPr>
      </w:pPr>
    </w:p>
    <w:p>
      <w:pPr>
        <w:pStyle w:val="BodyText"/>
        <w:rPr>
          <w:sz w:val="22"/>
        </w:rPr>
      </w:pPr>
    </w:p>
    <w:p>
      <w:pPr>
        <w:pStyle w:val="BodyText"/>
        <w:rPr>
          <w:sz w:val="22"/>
        </w:rPr>
      </w:pPr>
    </w:p>
    <w:p>
      <w:pPr>
        <w:pStyle w:val="BodyText"/>
        <w:spacing w:before="5"/>
        <w:rPr>
          <w:sz w:val="19"/>
        </w:rPr>
      </w:pPr>
    </w:p>
    <w:p>
      <w:pPr>
        <w:pStyle w:val="Heading3"/>
        <w:ind w:left="0"/>
        <w:jc w:val="right"/>
      </w:pPr>
      <w:r>
        <w:rPr>
          <w:color w:val="231F20"/>
        </w:rPr>
        <w:t>Year</w:t>
      </w:r>
    </w:p>
    <w:p>
      <w:pPr>
        <w:spacing w:line="200" w:lineRule="exact" w:before="156"/>
        <w:ind w:left="1779" w:right="479" w:firstLine="0"/>
        <w:jc w:val="center"/>
        <w:rPr>
          <w:b/>
          <w:sz w:val="20"/>
        </w:rPr>
      </w:pPr>
      <w:r>
        <w:rPr/>
        <w:br w:type="column"/>
      </w:r>
      <w:r>
        <w:rPr>
          <w:b/>
          <w:color w:val="231F20"/>
          <w:sz w:val="20"/>
        </w:rPr>
        <w:t>Fair value of fuel</w:t>
      </w:r>
    </w:p>
    <w:p>
      <w:pPr>
        <w:spacing w:line="200" w:lineRule="exact" w:before="0"/>
        <w:ind w:left="1299" w:right="0" w:hanging="3"/>
        <w:jc w:val="center"/>
        <w:rPr>
          <w:b/>
          <w:sz w:val="20"/>
        </w:rPr>
      </w:pPr>
      <w:r>
        <w:rPr>
          <w:b/>
          <w:color w:val="231F20"/>
          <w:sz w:val="20"/>
        </w:rPr>
        <w:t>derivative contracts at December 31, 2013</w:t>
      </w:r>
    </w:p>
    <w:p>
      <w:pPr>
        <w:spacing w:line="200" w:lineRule="exact" w:before="156"/>
        <w:ind w:left="986" w:right="1882" w:firstLine="0"/>
        <w:jc w:val="center"/>
        <w:rPr>
          <w:b/>
          <w:sz w:val="20"/>
        </w:rPr>
      </w:pPr>
      <w:r>
        <w:rPr/>
        <w:br w:type="column"/>
      </w:r>
      <w:r>
        <w:rPr>
          <w:b/>
          <w:color w:val="231F20"/>
          <w:sz w:val="20"/>
        </w:rPr>
        <w:t>Amount of gains (losses) deferred</w:t>
      </w:r>
    </w:p>
    <w:p>
      <w:pPr>
        <w:spacing w:line="200" w:lineRule="exact" w:before="0"/>
        <w:ind w:left="605" w:right="1503" w:firstLine="0"/>
        <w:jc w:val="center"/>
        <w:rPr>
          <w:b/>
          <w:sz w:val="20"/>
        </w:rPr>
      </w:pPr>
      <w:r>
        <w:rPr>
          <w:b/>
          <w:color w:val="231F20"/>
          <w:sz w:val="20"/>
        </w:rPr>
        <w:t>in AOCI at December 31,</w:t>
      </w:r>
      <w:r>
        <w:rPr>
          <w:b/>
          <w:color w:val="231F20"/>
          <w:w w:val="100"/>
          <w:sz w:val="20"/>
        </w:rPr>
        <w:t> </w:t>
      </w:r>
      <w:r>
        <w:rPr>
          <w:b/>
          <w:color w:val="231F20"/>
          <w:sz w:val="20"/>
        </w:rPr>
        <w:t>2013 (net of tax)</w:t>
      </w:r>
    </w:p>
    <w:p>
      <w:pPr>
        <w:spacing w:after="0" w:line="200" w:lineRule="exact"/>
        <w:jc w:val="center"/>
        <w:rPr>
          <w:sz w:val="20"/>
        </w:rPr>
        <w:sectPr>
          <w:type w:val="continuous"/>
          <w:pgSz w:w="11880" w:h="15480"/>
          <w:pgMar w:top="1200" w:bottom="280" w:left="1280" w:right="1260"/>
          <w:cols w:num="3" w:equalWidth="0">
            <w:col w:w="1723" w:space="160"/>
            <w:col w:w="3135" w:space="40"/>
            <w:col w:w="4282"/>
          </w:cols>
        </w:sectPr>
      </w:pPr>
    </w:p>
    <w:p>
      <w:pPr>
        <w:pStyle w:val="BodyText"/>
        <w:spacing w:before="3"/>
        <w:rPr>
          <w:b/>
          <w:sz w:val="2"/>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20"/>
        <w:gridCol w:w="110"/>
        <w:gridCol w:w="2440"/>
        <w:gridCol w:w="160"/>
        <w:gridCol w:w="2540"/>
      </w:tblGrid>
      <w:tr>
        <w:trPr>
          <w:trHeight w:val="304" w:hRule="exact"/>
        </w:trPr>
        <w:tc>
          <w:tcPr>
            <w:tcW w:w="1520" w:type="dxa"/>
            <w:tcBorders>
              <w:top w:val="single" w:sz="8" w:space="0" w:color="231F20"/>
            </w:tcBorders>
          </w:tcPr>
          <w:p>
            <w:pPr>
              <w:pStyle w:val="TableParagraph"/>
              <w:spacing w:before="53"/>
              <w:ind w:left="53" w:right="3"/>
              <w:jc w:val="center"/>
              <w:rPr>
                <w:sz w:val="20"/>
              </w:rPr>
            </w:pPr>
            <w:r>
              <w:rPr>
                <w:color w:val="231F20"/>
                <w:sz w:val="20"/>
              </w:rPr>
              <w:t>2014 . . . . . . . . . . </w:t>
            </w:r>
          </w:p>
        </w:tc>
        <w:tc>
          <w:tcPr>
            <w:tcW w:w="110" w:type="dxa"/>
          </w:tcPr>
          <w:p>
            <w:pPr/>
          </w:p>
        </w:tc>
        <w:tc>
          <w:tcPr>
            <w:tcW w:w="2440" w:type="dxa"/>
            <w:tcBorders>
              <w:top w:val="single" w:sz="8" w:space="0" w:color="231F20"/>
            </w:tcBorders>
          </w:tcPr>
          <w:p>
            <w:pPr>
              <w:pStyle w:val="TableParagraph"/>
              <w:tabs>
                <w:tab w:pos="2159" w:val="left" w:leader="none"/>
              </w:tabs>
              <w:spacing w:before="53"/>
              <w:ind w:right="79"/>
              <w:rPr>
                <w:sz w:val="20"/>
              </w:rPr>
            </w:pPr>
            <w:r>
              <w:rPr>
                <w:color w:val="231F20"/>
                <w:sz w:val="20"/>
              </w:rPr>
              <w:t>$</w:t>
              <w:tab/>
              <w:t>54</w:t>
            </w:r>
          </w:p>
        </w:tc>
        <w:tc>
          <w:tcPr>
            <w:tcW w:w="160" w:type="dxa"/>
          </w:tcPr>
          <w:p>
            <w:pPr/>
          </w:p>
        </w:tc>
        <w:tc>
          <w:tcPr>
            <w:tcW w:w="2540" w:type="dxa"/>
            <w:tcBorders>
              <w:top w:val="single" w:sz="8" w:space="0" w:color="231F20"/>
            </w:tcBorders>
          </w:tcPr>
          <w:p>
            <w:pPr>
              <w:pStyle w:val="TableParagraph"/>
              <w:tabs>
                <w:tab w:pos="2259" w:val="left" w:leader="none"/>
              </w:tabs>
              <w:spacing w:before="53"/>
              <w:jc w:val="left"/>
              <w:rPr>
                <w:sz w:val="20"/>
              </w:rPr>
            </w:pPr>
            <w:r>
              <w:rPr>
                <w:color w:val="231F20"/>
                <w:sz w:val="20"/>
              </w:rPr>
              <w:t>$</w:t>
              <w:tab/>
              <w:t>28</w:t>
            </w:r>
          </w:p>
        </w:tc>
      </w:tr>
      <w:tr>
        <w:trPr>
          <w:trHeight w:val="240" w:hRule="exact"/>
        </w:trPr>
        <w:tc>
          <w:tcPr>
            <w:tcW w:w="1520" w:type="dxa"/>
          </w:tcPr>
          <w:p>
            <w:pPr>
              <w:pStyle w:val="TableParagraph"/>
              <w:spacing w:line="229" w:lineRule="exact"/>
              <w:ind w:left="53" w:right="3"/>
              <w:jc w:val="center"/>
              <w:rPr>
                <w:sz w:val="20"/>
              </w:rPr>
            </w:pPr>
            <w:r>
              <w:rPr>
                <w:color w:val="231F20"/>
                <w:sz w:val="20"/>
              </w:rPr>
              <w:t>2015 . . . . . . . . . . </w:t>
            </w:r>
          </w:p>
        </w:tc>
        <w:tc>
          <w:tcPr>
            <w:tcW w:w="110" w:type="dxa"/>
          </w:tcPr>
          <w:p>
            <w:pPr/>
          </w:p>
        </w:tc>
        <w:tc>
          <w:tcPr>
            <w:tcW w:w="2440" w:type="dxa"/>
          </w:tcPr>
          <w:p>
            <w:pPr>
              <w:pStyle w:val="TableParagraph"/>
              <w:spacing w:line="229" w:lineRule="exact"/>
              <w:ind w:right="79"/>
              <w:rPr>
                <w:sz w:val="20"/>
              </w:rPr>
            </w:pPr>
            <w:r>
              <w:rPr>
                <w:color w:val="231F20"/>
                <w:sz w:val="20"/>
              </w:rPr>
              <w:t>77</w:t>
            </w:r>
          </w:p>
        </w:tc>
        <w:tc>
          <w:tcPr>
            <w:tcW w:w="160" w:type="dxa"/>
          </w:tcPr>
          <w:p>
            <w:pPr/>
          </w:p>
        </w:tc>
        <w:tc>
          <w:tcPr>
            <w:tcW w:w="2540" w:type="dxa"/>
          </w:tcPr>
          <w:p>
            <w:pPr>
              <w:pStyle w:val="TableParagraph"/>
              <w:spacing w:line="229" w:lineRule="exact"/>
              <w:ind w:right="11"/>
              <w:rPr>
                <w:sz w:val="20"/>
              </w:rPr>
            </w:pPr>
            <w:r>
              <w:rPr>
                <w:color w:val="231F20"/>
                <w:sz w:val="20"/>
              </w:rPr>
              <w:t>(34)</w:t>
            </w:r>
          </w:p>
        </w:tc>
      </w:tr>
      <w:tr>
        <w:trPr>
          <w:trHeight w:val="240" w:hRule="exact"/>
        </w:trPr>
        <w:tc>
          <w:tcPr>
            <w:tcW w:w="1520" w:type="dxa"/>
          </w:tcPr>
          <w:p>
            <w:pPr>
              <w:pStyle w:val="TableParagraph"/>
              <w:spacing w:line="229" w:lineRule="exact"/>
              <w:ind w:left="53" w:right="3"/>
              <w:jc w:val="center"/>
              <w:rPr>
                <w:sz w:val="20"/>
              </w:rPr>
            </w:pPr>
            <w:r>
              <w:rPr>
                <w:color w:val="231F20"/>
                <w:sz w:val="20"/>
              </w:rPr>
              <w:t>2016 . . . . . . . . . . </w:t>
            </w:r>
          </w:p>
        </w:tc>
        <w:tc>
          <w:tcPr>
            <w:tcW w:w="110" w:type="dxa"/>
          </w:tcPr>
          <w:p>
            <w:pPr/>
          </w:p>
        </w:tc>
        <w:tc>
          <w:tcPr>
            <w:tcW w:w="2440" w:type="dxa"/>
          </w:tcPr>
          <w:p>
            <w:pPr>
              <w:pStyle w:val="TableParagraph"/>
              <w:spacing w:line="229" w:lineRule="exact"/>
              <w:ind w:right="79"/>
              <w:rPr>
                <w:sz w:val="20"/>
              </w:rPr>
            </w:pPr>
            <w:r>
              <w:rPr>
                <w:color w:val="231F20"/>
                <w:sz w:val="20"/>
              </w:rPr>
              <w:t>77</w:t>
            </w:r>
          </w:p>
        </w:tc>
        <w:tc>
          <w:tcPr>
            <w:tcW w:w="160" w:type="dxa"/>
          </w:tcPr>
          <w:p>
            <w:pPr/>
          </w:p>
        </w:tc>
        <w:tc>
          <w:tcPr>
            <w:tcW w:w="2540" w:type="dxa"/>
          </w:tcPr>
          <w:p>
            <w:pPr>
              <w:pStyle w:val="TableParagraph"/>
              <w:spacing w:line="229" w:lineRule="exact"/>
              <w:ind w:right="11"/>
              <w:rPr>
                <w:sz w:val="20"/>
              </w:rPr>
            </w:pPr>
            <w:r>
              <w:rPr>
                <w:color w:val="231F20"/>
                <w:sz w:val="20"/>
              </w:rPr>
              <w:t>(1)</w:t>
            </w:r>
          </w:p>
        </w:tc>
      </w:tr>
      <w:tr>
        <w:trPr>
          <w:trHeight w:val="261" w:hRule="exact"/>
        </w:trPr>
        <w:tc>
          <w:tcPr>
            <w:tcW w:w="1520" w:type="dxa"/>
          </w:tcPr>
          <w:p>
            <w:pPr>
              <w:pStyle w:val="TableParagraph"/>
              <w:spacing w:line="229" w:lineRule="exact"/>
              <w:ind w:left="53" w:right="4"/>
              <w:jc w:val="center"/>
              <w:rPr>
                <w:sz w:val="20"/>
              </w:rPr>
            </w:pPr>
            <w:r>
              <w:rPr>
                <w:color w:val="231F20"/>
                <w:sz w:val="20"/>
              </w:rPr>
              <w:t>2017 . . . . . . . . . . </w:t>
            </w:r>
          </w:p>
        </w:tc>
        <w:tc>
          <w:tcPr>
            <w:tcW w:w="110" w:type="dxa"/>
          </w:tcPr>
          <w:p>
            <w:pPr/>
          </w:p>
        </w:tc>
        <w:tc>
          <w:tcPr>
            <w:tcW w:w="2440" w:type="dxa"/>
            <w:tcBorders>
              <w:bottom w:val="single" w:sz="4" w:space="0" w:color="231F20"/>
            </w:tcBorders>
          </w:tcPr>
          <w:p>
            <w:pPr>
              <w:pStyle w:val="TableParagraph"/>
              <w:spacing w:line="229" w:lineRule="exact"/>
              <w:ind w:right="11"/>
              <w:rPr>
                <w:sz w:val="20"/>
              </w:rPr>
            </w:pPr>
            <w:r>
              <w:rPr>
                <w:color w:val="231F20"/>
                <w:sz w:val="20"/>
              </w:rPr>
              <w:t>(28)</w:t>
            </w:r>
          </w:p>
        </w:tc>
        <w:tc>
          <w:tcPr>
            <w:tcW w:w="160" w:type="dxa"/>
          </w:tcPr>
          <w:p>
            <w:pPr/>
          </w:p>
        </w:tc>
        <w:tc>
          <w:tcPr>
            <w:tcW w:w="2540" w:type="dxa"/>
            <w:tcBorders>
              <w:bottom w:val="single" w:sz="4" w:space="0" w:color="231F20"/>
            </w:tcBorders>
          </w:tcPr>
          <w:p>
            <w:pPr>
              <w:pStyle w:val="TableParagraph"/>
              <w:spacing w:line="229" w:lineRule="exact"/>
              <w:ind w:right="11"/>
              <w:rPr>
                <w:sz w:val="20"/>
              </w:rPr>
            </w:pPr>
            <w:r>
              <w:rPr>
                <w:color w:val="231F20"/>
                <w:sz w:val="20"/>
              </w:rPr>
              <w:t>(5)</w:t>
            </w:r>
          </w:p>
        </w:tc>
      </w:tr>
      <w:tr>
        <w:trPr>
          <w:trHeight w:val="320" w:hRule="exact"/>
        </w:trPr>
        <w:tc>
          <w:tcPr>
            <w:tcW w:w="1520" w:type="dxa"/>
          </w:tcPr>
          <w:p>
            <w:pPr>
              <w:pStyle w:val="TableParagraph"/>
              <w:spacing w:before="58"/>
              <w:ind w:left="53" w:right="4"/>
              <w:jc w:val="center"/>
              <w:rPr>
                <w:sz w:val="20"/>
              </w:rPr>
            </w:pPr>
            <w:r>
              <w:rPr>
                <w:color w:val="231F20"/>
                <w:sz w:val="20"/>
              </w:rPr>
              <w:t>Total   . . . . . . . . . </w:t>
            </w:r>
          </w:p>
        </w:tc>
        <w:tc>
          <w:tcPr>
            <w:tcW w:w="110" w:type="dxa"/>
          </w:tcPr>
          <w:p>
            <w:pPr/>
          </w:p>
        </w:tc>
        <w:tc>
          <w:tcPr>
            <w:tcW w:w="2440" w:type="dxa"/>
            <w:tcBorders>
              <w:top w:val="single" w:sz="4" w:space="0" w:color="231F20"/>
              <w:bottom w:val="single" w:sz="4" w:space="0" w:color="231F20"/>
            </w:tcBorders>
          </w:tcPr>
          <w:p>
            <w:pPr>
              <w:pStyle w:val="TableParagraph"/>
              <w:tabs>
                <w:tab w:pos="2059" w:val="left" w:leader="none"/>
              </w:tabs>
              <w:spacing w:before="53"/>
              <w:ind w:right="79"/>
              <w:rPr>
                <w:sz w:val="20"/>
              </w:rPr>
            </w:pPr>
            <w:r>
              <w:rPr>
                <w:color w:val="231F20"/>
                <w:sz w:val="20"/>
              </w:rPr>
              <w:t>$</w:t>
              <w:tab/>
              <w:t>180</w:t>
            </w:r>
          </w:p>
        </w:tc>
        <w:tc>
          <w:tcPr>
            <w:tcW w:w="160" w:type="dxa"/>
          </w:tcPr>
          <w:p>
            <w:pPr/>
          </w:p>
        </w:tc>
        <w:tc>
          <w:tcPr>
            <w:tcW w:w="2540" w:type="dxa"/>
            <w:tcBorders>
              <w:top w:val="single" w:sz="4" w:space="0" w:color="231F20"/>
              <w:bottom w:val="single" w:sz="4" w:space="0" w:color="231F20"/>
            </w:tcBorders>
          </w:tcPr>
          <w:p>
            <w:pPr>
              <w:pStyle w:val="TableParagraph"/>
              <w:tabs>
                <w:tab w:pos="2192" w:val="left" w:leader="none"/>
              </w:tabs>
              <w:spacing w:before="53"/>
              <w:jc w:val="left"/>
              <w:rPr>
                <w:sz w:val="20"/>
              </w:rPr>
            </w:pPr>
            <w:r>
              <w:rPr>
                <w:color w:val="231F20"/>
                <w:sz w:val="20"/>
              </w:rPr>
              <w:t>$</w:t>
              <w:tab/>
              <w:t>(12)</w:t>
            </w:r>
          </w:p>
        </w:tc>
      </w:tr>
    </w:tbl>
    <w:p>
      <w:pPr>
        <w:pStyle w:val="BodyText"/>
        <w:spacing w:before="2"/>
        <w:rPr>
          <w:b/>
          <w:sz w:val="11"/>
        </w:rPr>
      </w:pPr>
    </w:p>
    <w:p>
      <w:pPr>
        <w:pStyle w:val="BodyText"/>
        <w:spacing w:line="249" w:lineRule="auto" w:before="89"/>
        <w:ind w:left="100" w:right="128" w:firstLine="490"/>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2014, and full year 2014 jet fuel prices at different crude oil assumptions as of January 17, 2014, and for expected premium costs associated with settling contracts each period, respectively.</w:t>
      </w:r>
    </w:p>
    <w:p>
      <w:pPr>
        <w:spacing w:line="180" w:lineRule="exact" w:before="152" w:after="43"/>
        <w:ind w:left="6930" w:right="101" w:hanging="1136"/>
        <w:jc w:val="left"/>
        <w:rPr>
          <w:b/>
          <w:sz w:val="18"/>
        </w:rPr>
      </w:pPr>
      <w:r>
        <w:rPr>
          <w:b/>
          <w:color w:val="231F20"/>
          <w:sz w:val="18"/>
        </w:rPr>
        <w:t>Estimated economic jet fuel price per gallon, including taxes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60"/>
        <w:gridCol w:w="4580"/>
        <w:gridCol w:w="1706"/>
        <w:gridCol w:w="1873"/>
      </w:tblGrid>
      <w:tr>
        <w:trPr>
          <w:trHeight w:val="430" w:hRule="exact"/>
        </w:trPr>
        <w:tc>
          <w:tcPr>
            <w:tcW w:w="960" w:type="dxa"/>
            <w:vMerge w:val="restart"/>
          </w:tcPr>
          <w:p>
            <w:pPr/>
          </w:p>
        </w:tc>
        <w:tc>
          <w:tcPr>
            <w:tcW w:w="4580" w:type="dxa"/>
            <w:tcBorders>
              <w:bottom w:val="single" w:sz="8" w:space="0" w:color="231F20"/>
            </w:tcBorders>
          </w:tcPr>
          <w:p>
            <w:pPr>
              <w:pStyle w:val="TableParagraph"/>
              <w:spacing w:line="180" w:lineRule="exact" w:before="36"/>
              <w:ind w:left="1177" w:right="1800" w:hanging="362"/>
              <w:jc w:val="left"/>
              <w:rPr>
                <w:b/>
                <w:sz w:val="18"/>
              </w:rPr>
            </w:pPr>
            <w:r>
              <w:rPr>
                <w:b/>
                <w:color w:val="231F20"/>
                <w:sz w:val="18"/>
              </w:rPr>
              <w:t>Average Brent Crude Oil price per barrel</w:t>
            </w:r>
          </w:p>
        </w:tc>
        <w:tc>
          <w:tcPr>
            <w:tcW w:w="1706" w:type="dxa"/>
            <w:tcBorders>
              <w:top w:val="single" w:sz="8" w:space="0" w:color="231F20"/>
              <w:bottom w:val="single" w:sz="8" w:space="0" w:color="231F20"/>
            </w:tcBorders>
          </w:tcPr>
          <w:p>
            <w:pPr>
              <w:pStyle w:val="TableParagraph"/>
              <w:spacing w:before="9"/>
              <w:jc w:val="left"/>
              <w:rPr>
                <w:b/>
                <w:sz w:val="15"/>
              </w:rPr>
            </w:pPr>
          </w:p>
          <w:p>
            <w:pPr>
              <w:pStyle w:val="TableParagraph"/>
              <w:ind w:left="188" w:right="222"/>
              <w:jc w:val="center"/>
              <w:rPr>
                <w:b/>
                <w:sz w:val="18"/>
              </w:rPr>
            </w:pPr>
            <w:r>
              <w:rPr>
                <w:b/>
                <w:color w:val="231F20"/>
                <w:sz w:val="18"/>
              </w:rPr>
              <w:t>1Q 2014 (2)</w:t>
            </w:r>
          </w:p>
        </w:tc>
        <w:tc>
          <w:tcPr>
            <w:tcW w:w="1873" w:type="dxa"/>
            <w:tcBorders>
              <w:top w:val="single" w:sz="8" w:space="0" w:color="231F20"/>
              <w:bottom w:val="single" w:sz="8" w:space="0" w:color="231F20"/>
            </w:tcBorders>
          </w:tcPr>
          <w:p>
            <w:pPr>
              <w:pStyle w:val="TableParagraph"/>
              <w:spacing w:before="9"/>
              <w:jc w:val="left"/>
              <w:rPr>
                <w:b/>
                <w:sz w:val="15"/>
              </w:rPr>
            </w:pPr>
          </w:p>
          <w:p>
            <w:pPr>
              <w:pStyle w:val="TableParagraph"/>
              <w:ind w:left="223" w:right="215"/>
              <w:jc w:val="center"/>
              <w:rPr>
                <w:b/>
                <w:sz w:val="18"/>
              </w:rPr>
            </w:pPr>
            <w:r>
              <w:rPr>
                <w:b/>
                <w:color w:val="231F20"/>
                <w:sz w:val="18"/>
              </w:rPr>
              <w:t>Full Year 2014 (2)</w:t>
            </w:r>
          </w:p>
        </w:tc>
      </w:tr>
      <w:tr>
        <w:trPr>
          <w:trHeight w:val="280" w:hRule="exact"/>
        </w:trPr>
        <w:tc>
          <w:tcPr>
            <w:tcW w:w="960" w:type="dxa"/>
            <w:vMerge/>
          </w:tcPr>
          <w:p>
            <w:pPr/>
          </w:p>
        </w:tc>
        <w:tc>
          <w:tcPr>
            <w:tcW w:w="4580" w:type="dxa"/>
            <w:tcBorders>
              <w:top w:val="single" w:sz="8" w:space="0" w:color="231F20"/>
            </w:tcBorders>
          </w:tcPr>
          <w:p>
            <w:pPr>
              <w:pStyle w:val="TableParagraph"/>
              <w:spacing w:before="52"/>
              <w:rPr>
                <w:sz w:val="18"/>
              </w:rPr>
            </w:pPr>
            <w:r>
              <w:rPr>
                <w:b/>
                <w:color w:val="231F20"/>
                <w:sz w:val="18"/>
              </w:rPr>
              <w:t>$85 </w:t>
            </w:r>
            <w:r>
              <w:rPr>
                <w:color w:val="231F20"/>
                <w:sz w:val="18"/>
              </w:rPr>
              <w:t>. . . . . . . . . . . . . . . . . . . . . . . . . . . . . </w:t>
            </w:r>
          </w:p>
        </w:tc>
        <w:tc>
          <w:tcPr>
            <w:tcW w:w="1706" w:type="dxa"/>
            <w:tcBorders>
              <w:top w:val="single" w:sz="8" w:space="0" w:color="231F20"/>
            </w:tcBorders>
          </w:tcPr>
          <w:p>
            <w:pPr>
              <w:pStyle w:val="TableParagraph"/>
              <w:spacing w:before="52"/>
              <w:ind w:left="188" w:right="222"/>
              <w:jc w:val="center"/>
              <w:rPr>
                <w:sz w:val="18"/>
              </w:rPr>
            </w:pPr>
            <w:r>
              <w:rPr>
                <w:color w:val="231F20"/>
                <w:sz w:val="18"/>
              </w:rPr>
              <w:t>$2.60 - $2.65</w:t>
            </w:r>
          </w:p>
        </w:tc>
        <w:tc>
          <w:tcPr>
            <w:tcW w:w="1873" w:type="dxa"/>
            <w:tcBorders>
              <w:top w:val="single" w:sz="8" w:space="0" w:color="231F20"/>
            </w:tcBorders>
          </w:tcPr>
          <w:p>
            <w:pPr>
              <w:pStyle w:val="TableParagraph"/>
              <w:spacing w:before="52"/>
              <w:ind w:left="222" w:right="215"/>
              <w:jc w:val="center"/>
              <w:rPr>
                <w:sz w:val="18"/>
              </w:rPr>
            </w:pPr>
            <w:r>
              <w:rPr>
                <w:color w:val="231F20"/>
                <w:sz w:val="18"/>
              </w:rPr>
              <w:t>$2.45 - $2.50</w:t>
            </w:r>
          </w:p>
        </w:tc>
      </w:tr>
      <w:tr>
        <w:trPr>
          <w:trHeight w:val="220" w:hRule="exact"/>
        </w:trPr>
        <w:tc>
          <w:tcPr>
            <w:tcW w:w="960" w:type="dxa"/>
            <w:vMerge/>
          </w:tcPr>
          <w:p>
            <w:pPr/>
          </w:p>
        </w:tc>
        <w:tc>
          <w:tcPr>
            <w:tcW w:w="4580" w:type="dxa"/>
          </w:tcPr>
          <w:p>
            <w:pPr>
              <w:pStyle w:val="TableParagraph"/>
              <w:spacing w:before="1"/>
              <w:rPr>
                <w:sz w:val="18"/>
              </w:rPr>
            </w:pPr>
            <w:r>
              <w:rPr>
                <w:b/>
                <w:color w:val="231F20"/>
                <w:sz w:val="18"/>
              </w:rPr>
              <w:t>$95 </w:t>
            </w:r>
            <w:r>
              <w:rPr>
                <w:color w:val="231F20"/>
                <w:sz w:val="18"/>
              </w:rPr>
              <w:t>. . . . . . . . . . . . . . . . . . . . . . . . . . . . . </w:t>
            </w:r>
          </w:p>
        </w:tc>
        <w:tc>
          <w:tcPr>
            <w:tcW w:w="1706" w:type="dxa"/>
          </w:tcPr>
          <w:p>
            <w:pPr>
              <w:pStyle w:val="TableParagraph"/>
              <w:spacing w:before="1"/>
              <w:ind w:left="188" w:right="222"/>
              <w:jc w:val="center"/>
              <w:rPr>
                <w:sz w:val="18"/>
              </w:rPr>
            </w:pPr>
            <w:r>
              <w:rPr>
                <w:color w:val="231F20"/>
                <w:sz w:val="18"/>
              </w:rPr>
              <w:t>$2.80 - $2.85</w:t>
            </w:r>
          </w:p>
        </w:tc>
        <w:tc>
          <w:tcPr>
            <w:tcW w:w="1873" w:type="dxa"/>
          </w:tcPr>
          <w:p>
            <w:pPr>
              <w:pStyle w:val="TableParagraph"/>
              <w:spacing w:before="1"/>
              <w:ind w:left="222" w:right="215"/>
              <w:jc w:val="center"/>
              <w:rPr>
                <w:sz w:val="18"/>
              </w:rPr>
            </w:pPr>
            <w:r>
              <w:rPr>
                <w:color w:val="231F20"/>
                <w:sz w:val="18"/>
              </w:rPr>
              <w:t>$2.70 - $2.75</w:t>
            </w:r>
          </w:p>
        </w:tc>
      </w:tr>
      <w:tr>
        <w:trPr>
          <w:trHeight w:val="220" w:hRule="exact"/>
        </w:trPr>
        <w:tc>
          <w:tcPr>
            <w:tcW w:w="960" w:type="dxa"/>
            <w:vMerge/>
          </w:tcPr>
          <w:p>
            <w:pPr/>
          </w:p>
        </w:tc>
        <w:tc>
          <w:tcPr>
            <w:tcW w:w="4580" w:type="dxa"/>
          </w:tcPr>
          <w:p>
            <w:pPr>
              <w:pStyle w:val="TableParagraph"/>
              <w:spacing w:before="1"/>
              <w:rPr>
                <w:sz w:val="18"/>
              </w:rPr>
            </w:pPr>
            <w:r>
              <w:rPr>
                <w:b/>
                <w:color w:val="231F20"/>
                <w:sz w:val="18"/>
              </w:rPr>
              <w:t>Current Market (1) </w:t>
            </w:r>
            <w:r>
              <w:rPr>
                <w:color w:val="231F20"/>
                <w:sz w:val="18"/>
              </w:rPr>
              <w:t>. . . . . . . . . . . . . . . . . . . . . . </w:t>
            </w:r>
          </w:p>
        </w:tc>
        <w:tc>
          <w:tcPr>
            <w:tcW w:w="1706" w:type="dxa"/>
          </w:tcPr>
          <w:p>
            <w:pPr>
              <w:pStyle w:val="TableParagraph"/>
              <w:spacing w:before="1"/>
              <w:ind w:left="188" w:right="222"/>
              <w:jc w:val="center"/>
              <w:rPr>
                <w:sz w:val="18"/>
              </w:rPr>
            </w:pPr>
            <w:r>
              <w:rPr>
                <w:color w:val="231F20"/>
                <w:sz w:val="18"/>
              </w:rPr>
              <w:t>$3.05 - $3.10</w:t>
            </w:r>
          </w:p>
        </w:tc>
        <w:tc>
          <w:tcPr>
            <w:tcW w:w="1873" w:type="dxa"/>
          </w:tcPr>
          <w:p>
            <w:pPr>
              <w:pStyle w:val="TableParagraph"/>
              <w:spacing w:before="1"/>
              <w:ind w:left="222" w:right="215"/>
              <w:jc w:val="center"/>
              <w:rPr>
                <w:sz w:val="18"/>
              </w:rPr>
            </w:pPr>
            <w:r>
              <w:rPr>
                <w:color w:val="231F20"/>
                <w:sz w:val="18"/>
              </w:rPr>
              <w:t>$2.95 - $3.00</w:t>
            </w:r>
          </w:p>
        </w:tc>
      </w:tr>
      <w:tr>
        <w:trPr>
          <w:trHeight w:val="220" w:hRule="exact"/>
        </w:trPr>
        <w:tc>
          <w:tcPr>
            <w:tcW w:w="960" w:type="dxa"/>
            <w:vMerge/>
          </w:tcPr>
          <w:p>
            <w:pPr/>
          </w:p>
        </w:tc>
        <w:tc>
          <w:tcPr>
            <w:tcW w:w="4580" w:type="dxa"/>
          </w:tcPr>
          <w:p>
            <w:pPr>
              <w:pStyle w:val="TableParagraph"/>
              <w:spacing w:before="1"/>
              <w:rPr>
                <w:sz w:val="18"/>
              </w:rPr>
            </w:pPr>
            <w:r>
              <w:rPr>
                <w:b/>
                <w:color w:val="231F20"/>
                <w:sz w:val="18"/>
              </w:rPr>
              <w:t>$115  </w:t>
            </w:r>
            <w:r>
              <w:rPr>
                <w:color w:val="231F20"/>
                <w:sz w:val="18"/>
              </w:rPr>
              <w:t>. . . . . . . . . . . . . . . . . . . . . . . . . . . . </w:t>
            </w:r>
          </w:p>
        </w:tc>
        <w:tc>
          <w:tcPr>
            <w:tcW w:w="1706" w:type="dxa"/>
          </w:tcPr>
          <w:p>
            <w:pPr>
              <w:pStyle w:val="TableParagraph"/>
              <w:spacing w:before="1"/>
              <w:ind w:left="188" w:right="222"/>
              <w:jc w:val="center"/>
              <w:rPr>
                <w:sz w:val="18"/>
              </w:rPr>
            </w:pPr>
            <w:r>
              <w:rPr>
                <w:color w:val="231F20"/>
                <w:sz w:val="18"/>
              </w:rPr>
              <w:t>$3.15 - $3.20</w:t>
            </w:r>
          </w:p>
        </w:tc>
        <w:tc>
          <w:tcPr>
            <w:tcW w:w="1873" w:type="dxa"/>
          </w:tcPr>
          <w:p>
            <w:pPr>
              <w:pStyle w:val="TableParagraph"/>
              <w:spacing w:before="1"/>
              <w:ind w:left="222" w:right="215"/>
              <w:jc w:val="center"/>
              <w:rPr>
                <w:sz w:val="18"/>
              </w:rPr>
            </w:pPr>
            <w:r>
              <w:rPr>
                <w:color w:val="231F20"/>
                <w:sz w:val="18"/>
              </w:rPr>
              <w:t>$3.20 - $3.25</w:t>
            </w:r>
          </w:p>
        </w:tc>
      </w:tr>
      <w:tr>
        <w:trPr>
          <w:trHeight w:val="220" w:hRule="exact"/>
        </w:trPr>
        <w:tc>
          <w:tcPr>
            <w:tcW w:w="960" w:type="dxa"/>
            <w:vMerge/>
          </w:tcPr>
          <w:p>
            <w:pPr/>
          </w:p>
        </w:tc>
        <w:tc>
          <w:tcPr>
            <w:tcW w:w="4580" w:type="dxa"/>
          </w:tcPr>
          <w:p>
            <w:pPr>
              <w:pStyle w:val="TableParagraph"/>
              <w:spacing w:before="1"/>
              <w:rPr>
                <w:sz w:val="18"/>
              </w:rPr>
            </w:pPr>
            <w:r>
              <w:rPr>
                <w:b/>
                <w:color w:val="231F20"/>
                <w:sz w:val="18"/>
              </w:rPr>
              <w:t>$125  </w:t>
            </w:r>
            <w:r>
              <w:rPr>
                <w:color w:val="231F20"/>
                <w:sz w:val="18"/>
              </w:rPr>
              <w:t>. . . . . . . . . . . . . . . . . . . . . . . . . . . . </w:t>
            </w:r>
          </w:p>
        </w:tc>
        <w:tc>
          <w:tcPr>
            <w:tcW w:w="1706" w:type="dxa"/>
          </w:tcPr>
          <w:p>
            <w:pPr>
              <w:pStyle w:val="TableParagraph"/>
              <w:spacing w:before="1"/>
              <w:ind w:left="188" w:right="222"/>
              <w:jc w:val="center"/>
              <w:rPr>
                <w:sz w:val="18"/>
              </w:rPr>
            </w:pPr>
            <w:r>
              <w:rPr>
                <w:color w:val="231F20"/>
                <w:sz w:val="18"/>
              </w:rPr>
              <w:t>$3.30 - $3.35</w:t>
            </w:r>
          </w:p>
        </w:tc>
        <w:tc>
          <w:tcPr>
            <w:tcW w:w="1873" w:type="dxa"/>
          </w:tcPr>
          <w:p>
            <w:pPr>
              <w:pStyle w:val="TableParagraph"/>
              <w:spacing w:before="1"/>
              <w:ind w:left="222" w:right="215"/>
              <w:jc w:val="center"/>
              <w:rPr>
                <w:sz w:val="18"/>
              </w:rPr>
            </w:pPr>
            <w:r>
              <w:rPr>
                <w:color w:val="231F20"/>
                <w:sz w:val="18"/>
              </w:rPr>
              <w:t>$3.40 - $3.45</w:t>
            </w:r>
          </w:p>
        </w:tc>
      </w:tr>
      <w:tr>
        <w:trPr>
          <w:trHeight w:val="325" w:hRule="exact"/>
        </w:trPr>
        <w:tc>
          <w:tcPr>
            <w:tcW w:w="960" w:type="dxa"/>
            <w:tcBorders>
              <w:bottom w:val="single" w:sz="4" w:space="0" w:color="231F20"/>
            </w:tcBorders>
          </w:tcPr>
          <w:p>
            <w:pPr/>
          </w:p>
        </w:tc>
        <w:tc>
          <w:tcPr>
            <w:tcW w:w="4580" w:type="dxa"/>
          </w:tcPr>
          <w:p>
            <w:pPr>
              <w:pStyle w:val="TableParagraph"/>
              <w:spacing w:before="1"/>
              <w:rPr>
                <w:sz w:val="18"/>
              </w:rPr>
            </w:pPr>
            <w:r>
              <w:rPr>
                <w:b/>
                <w:color w:val="231F20"/>
                <w:sz w:val="18"/>
              </w:rPr>
              <w:t>Estimated Premium Costs (3)   </w:t>
            </w:r>
            <w:r>
              <w:rPr>
                <w:color w:val="231F20"/>
                <w:sz w:val="18"/>
              </w:rPr>
              <w:t>. . . . . . . . . . . . . . . . . </w:t>
            </w:r>
          </w:p>
        </w:tc>
        <w:tc>
          <w:tcPr>
            <w:tcW w:w="1706" w:type="dxa"/>
          </w:tcPr>
          <w:p>
            <w:pPr>
              <w:pStyle w:val="TableParagraph"/>
              <w:spacing w:before="1"/>
              <w:ind w:left="189" w:right="222"/>
              <w:jc w:val="center"/>
              <w:rPr>
                <w:sz w:val="18"/>
              </w:rPr>
            </w:pPr>
            <w:r>
              <w:rPr>
                <w:color w:val="231F20"/>
                <w:sz w:val="18"/>
              </w:rPr>
              <w:t>$15 - $20 million</w:t>
            </w:r>
          </w:p>
        </w:tc>
        <w:tc>
          <w:tcPr>
            <w:tcW w:w="1873" w:type="dxa"/>
          </w:tcPr>
          <w:p>
            <w:pPr>
              <w:pStyle w:val="TableParagraph"/>
              <w:spacing w:before="1"/>
              <w:ind w:left="223" w:right="215"/>
              <w:jc w:val="center"/>
              <w:rPr>
                <w:sz w:val="18"/>
              </w:rPr>
            </w:pPr>
            <w:r>
              <w:rPr>
                <w:color w:val="231F20"/>
                <w:sz w:val="18"/>
              </w:rPr>
              <w:t>$60 - $70 million</w:t>
            </w:r>
          </w:p>
        </w:tc>
      </w:tr>
    </w:tbl>
    <w:p>
      <w:pPr>
        <w:pStyle w:val="ListParagraph"/>
        <w:numPr>
          <w:ilvl w:val="0"/>
          <w:numId w:val="9"/>
        </w:numPr>
        <w:tabs>
          <w:tab w:pos="500" w:val="left" w:leader="none"/>
        </w:tabs>
        <w:spacing w:line="249" w:lineRule="auto" w:before="48" w:after="0"/>
        <w:ind w:left="500" w:right="211" w:hanging="400"/>
        <w:jc w:val="left"/>
        <w:rPr>
          <w:sz w:val="20"/>
        </w:rPr>
      </w:pPr>
      <w:r>
        <w:rPr>
          <w:color w:val="231F20"/>
          <w:sz w:val="20"/>
        </w:rPr>
        <w:t>Brent crude oil average market prices as of January 17, 2014, were approximately $106 and $104 per barrel for first quarter 2014 and full year 2014,</w:t>
      </w:r>
      <w:r>
        <w:rPr>
          <w:color w:val="231F20"/>
          <w:spacing w:val="3"/>
          <w:sz w:val="20"/>
        </w:rPr>
        <w:t> </w:t>
      </w:r>
      <w:r>
        <w:rPr>
          <w:color w:val="231F20"/>
          <w:sz w:val="20"/>
        </w:rPr>
        <w:t>respectively.</w:t>
      </w:r>
    </w:p>
    <w:p>
      <w:pPr>
        <w:pStyle w:val="ListParagraph"/>
        <w:numPr>
          <w:ilvl w:val="0"/>
          <w:numId w:val="9"/>
        </w:numPr>
        <w:tabs>
          <w:tab w:pos="500" w:val="left" w:leader="none"/>
        </w:tabs>
        <w:spacing w:line="249" w:lineRule="auto" w:before="1" w:after="0"/>
        <w:ind w:left="500" w:right="233" w:hanging="400"/>
        <w:jc w:val="left"/>
        <w:rPr>
          <w:sz w:val="20"/>
        </w:rPr>
      </w:pPr>
      <w:r>
        <w:rPr>
          <w:color w:val="231F20"/>
          <w:sz w:val="20"/>
        </w:rPr>
        <w:t>The Company currently has approximately 10 percent of its first quarter 2014 estimated fuel consumption covered by fuel derivative contracts at varying crude oil-equivalent prices; and approximately 30 percent at Gulf Coast jet fuel-equivalent prices. For full year 2014, the Company currently has</w:t>
      </w:r>
      <w:r>
        <w:rPr>
          <w:color w:val="231F20"/>
          <w:spacing w:val="8"/>
          <w:sz w:val="20"/>
        </w:rPr>
        <w:t> </w:t>
      </w:r>
      <w:r>
        <w:rPr>
          <w:color w:val="231F20"/>
          <w:sz w:val="20"/>
        </w:rPr>
        <w:t>approximately</w:t>
      </w:r>
    </w:p>
    <w:p>
      <w:pPr>
        <w:pStyle w:val="BodyText"/>
        <w:spacing w:line="249" w:lineRule="auto" w:before="1"/>
        <w:ind w:left="500" w:right="317"/>
      </w:pPr>
      <w:r>
        <w:rPr>
          <w:color w:val="231F20"/>
        </w:rPr>
        <w:t>15 percent of its estimated fuel consumption covered by fuel derivative contracts at varying crude oil- equivalent prices; and approximately 5 percent at Gulf Coast jet fuel-equivalent prices. The economic fuel price per gallon sensitivities provided above assume the relationship between Brent crude oil and refined products based on market prices as of January 17, 2014.</w:t>
      </w:r>
    </w:p>
    <w:p>
      <w:pPr>
        <w:pStyle w:val="ListParagraph"/>
        <w:numPr>
          <w:ilvl w:val="0"/>
          <w:numId w:val="9"/>
        </w:numPr>
        <w:tabs>
          <w:tab w:pos="500" w:val="left" w:leader="none"/>
        </w:tabs>
        <w:spacing w:line="240" w:lineRule="auto" w:before="1" w:after="0"/>
        <w:ind w:left="500" w:right="0" w:hanging="400"/>
        <w:jc w:val="left"/>
        <w:rPr>
          <w:sz w:val="20"/>
        </w:rPr>
      </w:pPr>
      <w:r>
        <w:rPr>
          <w:color w:val="231F20"/>
          <w:sz w:val="20"/>
        </w:rPr>
        <w:t>Premium costs are recognized as a component of Other (gains) losses</w:t>
      </w:r>
      <w:r>
        <w:rPr>
          <w:color w:val="231F20"/>
          <w:spacing w:val="6"/>
          <w:sz w:val="20"/>
        </w:rPr>
        <w:t> </w:t>
      </w:r>
      <w:r>
        <w:rPr>
          <w:color w:val="231F20"/>
          <w:sz w:val="20"/>
        </w:rPr>
        <w:t>net.</w:t>
      </w:r>
    </w:p>
    <w:p>
      <w:pPr>
        <w:pStyle w:val="BodyText"/>
        <w:spacing w:line="249" w:lineRule="auto" w:before="179"/>
        <w:ind w:left="100" w:right="190" w:firstLine="490"/>
        <w:jc w:val="both"/>
      </w:pPr>
      <w:r>
        <w:rPr>
          <w:color w:val="231F20"/>
        </w:rPr>
        <w:t>Maintenance materials and repairs expense for 2013 decreased by $52 million, or 4.6 percent, compared to 2012. On a per ASM basis, Maintenance materials and repairs expense for 2013 decreased 5.7 percent compared to 2012. Both the dollar and per ASM decreases were primarily attributable to a reduction in engine repairs and</w:t>
      </w:r>
    </w:p>
    <w:p>
      <w:pPr>
        <w:spacing w:after="0" w:line="249" w:lineRule="auto"/>
        <w:jc w:val="both"/>
        <w:sectPr>
          <w:type w:val="continuous"/>
          <w:pgSz w:w="11880" w:h="15480"/>
          <w:pgMar w:top="1200" w:bottom="280" w:left="1280" w:right="1260"/>
        </w:sectPr>
      </w:pPr>
    </w:p>
    <w:p>
      <w:pPr>
        <w:pStyle w:val="BodyText"/>
        <w:spacing w:line="249" w:lineRule="auto" w:before="73"/>
        <w:ind w:left="100" w:right="121"/>
      </w:pPr>
      <w:r>
        <w:rPr>
          <w:color w:val="231F20"/>
        </w:rPr>
        <w:t>materials expense due to (i) retirements of the Company’s 737-300 and 737-500 aircraft, and (ii) the transition of the Company’s 717-200 fleet out of active service for delivery to Delta. See Note 8 to the Consolidated Financial Statements for further information. The Company currently expects Maintenance materials and repairs expense per ASM for first quarter 2014 to decrease compared to first quarter 2013.</w:t>
      </w:r>
    </w:p>
    <w:p>
      <w:pPr>
        <w:pStyle w:val="BodyText"/>
        <w:spacing w:line="249" w:lineRule="auto" w:before="150"/>
        <w:ind w:left="100" w:right="105" w:firstLine="490"/>
      </w:pPr>
      <w:r>
        <w:rPr>
          <w:color w:val="231F20"/>
        </w:rPr>
        <w:t>Aircraft rentals expense for 2013 increased by $6 million, or 1.7 percent, compared to 2012, primarily due to expense associated with two 737-800 aircraft received in 2013 and the full year impact of five Boeing 737-800 aircraft received in 2012, all of which are accounted for as operating leases. On a per ASM basis Aircraft rentals expense for 2013 was flat compared to 2012. The Company currently expects Aircraft rentals expense per ASM for first quarter 2014 to be comparable to fourth quarter 2013.</w:t>
      </w:r>
    </w:p>
    <w:p>
      <w:pPr>
        <w:pStyle w:val="BodyText"/>
        <w:spacing w:line="249" w:lineRule="auto" w:before="150"/>
        <w:ind w:left="100" w:right="147" w:firstLine="490"/>
      </w:pPr>
      <w:r>
        <w:rPr>
          <w:color w:val="231F20"/>
        </w:rPr>
        <w:t>Landing fees and other rentals expense for 2013 increased by $60 million, or 5.8 percent, compared to 2012. On a per ASM basis, Landing fees and other rentals expense for 2013 increased 4.9 percent compared to 2012. Both the dollar and per ASM increases were due to higher fixed and variable rental rates charged by several airports over the last 12 months due to additional space being occupied by the Company in some locations and/or as a result of higher airport debt service costs passed through to the airlines in certain cities. The Company currently expects Landing fees and other rentals expense per ASM for first quarter 2014 to increase compared to first quarter 2013.</w:t>
      </w:r>
    </w:p>
    <w:p>
      <w:pPr>
        <w:pStyle w:val="BodyText"/>
        <w:spacing w:line="249" w:lineRule="auto" w:before="150"/>
        <w:ind w:left="100" w:right="204" w:firstLine="490"/>
      </w:pPr>
      <w:r>
        <w:rPr>
          <w:color w:val="231F20"/>
        </w:rPr>
        <w:t>Depreciation and amortization expense for 2013 increased by $23 million, or 2.7 percent, compared to 2012, primarily due to depreciation associated with large software projects that have been placed into service over the past 12 months. Aircraft depreciation was relatively flat year-over-year, as the increase in expense related to the purchase of new 737-800 aircraft was offset by a decline in expense from the retirement of older owned 737-300 and 737-500 aircraft. On a per ASM basis, Depreciation and amortization expense for 2013 was relatively flat compared to 2012. The Company currently expects Depreciation and amortization expense per ASM for first quarter 2014 to increase compared to fourth quarter 2013.</w:t>
      </w:r>
    </w:p>
    <w:p>
      <w:pPr>
        <w:pStyle w:val="BodyText"/>
        <w:spacing w:before="150"/>
        <w:ind w:left="590"/>
      </w:pPr>
      <w:r>
        <w:rPr>
          <w:color w:val="231F20"/>
        </w:rPr>
        <w:t>Acquisition and integration expense for 2013 decreased by $97 million, or 53.0 percent, compared to 2012.</w:t>
      </w:r>
    </w:p>
    <w:p>
      <w:pPr>
        <w:pStyle w:val="BodyText"/>
        <w:spacing w:line="249" w:lineRule="auto" w:before="9"/>
        <w:ind w:left="100" w:right="337"/>
      </w:pPr>
      <w:r>
        <w:rPr>
          <w:color w:val="231F20"/>
        </w:rPr>
        <w:t>The decrease was primarily due to charges recorded in 2012 related to the Company’s 717-200 lease and sublease agreements. During 2013, the Company recorded $86 million in Acquisition and integration expense, which primarily consisted of costs related to a lease contract termination, Employee training, technology integration projects, and facility integration expenses. See Note 2 to the Consolidated Financial Statements.</w:t>
      </w:r>
    </w:p>
    <w:p>
      <w:pPr>
        <w:pStyle w:val="BodyText"/>
        <w:spacing w:line="249" w:lineRule="auto" w:before="149"/>
        <w:ind w:left="100" w:right="343" w:firstLine="490"/>
      </w:pPr>
      <w:r>
        <w:rPr>
          <w:color w:val="231F20"/>
        </w:rPr>
        <w:t>Other operating expense for 2013 increased by $87 million, or 4.3 percent, compared to 2012. On a per ASM basis, Other operating expense for 2013 increased 1.2 percent compared to 2012. Approximately half of both the dollar and per ASM increases were the result of increased Customer usage of WiFi onboard the Company’s aircraft and approximately half were the result of higher consulting and contract programming expenses, net of capitalized costs. The Company currently expects Other operating expenses per ASM for first quarter 2014 to increase compared to first quarter 2013.</w:t>
      </w:r>
    </w:p>
    <w:p>
      <w:pPr>
        <w:pStyle w:val="BodyText"/>
        <w:spacing w:line="249" w:lineRule="auto" w:before="149"/>
        <w:ind w:left="100" w:right="154" w:firstLine="490"/>
      </w:pPr>
      <w:r>
        <w:rPr>
          <w:color w:val="231F20"/>
        </w:rPr>
        <w:t>Through the 2003 Emergency Wartime Supplemental Appropriations Act (the “Wartime Act”), the federal government has provided war-risk insurance coverage to commercial carriers, including for losses from terrorism, for passengers, third parties (ground damage), and the aircraft hull. The government-provided supplemental coverage from the Wartime Act is currently set to expire on September 30, 2014. It is uncertain whether further extensions will be granted. The withdrawal of government support of airline war-risk insurance would require the Company to obtain war-risk insurance coverage commercially. Such commercial insurance could have material differences in coverage than currently provided by the U.S. government and may not be adequate to protect the Company’s risk of loss from future acts of terrorism.</w:t>
      </w:r>
    </w:p>
    <w:p>
      <w:pPr>
        <w:pStyle w:val="Heading3"/>
        <w:spacing w:before="149"/>
        <w:ind w:left="350"/>
      </w:pPr>
      <w:r>
        <w:rPr>
          <w:color w:val="231F20"/>
        </w:rPr>
        <w:t>Other</w:t>
      </w:r>
    </w:p>
    <w:p>
      <w:pPr>
        <w:pStyle w:val="BodyText"/>
        <w:spacing w:line="249" w:lineRule="auto" w:before="158"/>
        <w:ind w:left="100" w:right="109" w:firstLine="490"/>
      </w:pPr>
      <w:r>
        <w:rPr>
          <w:color w:val="231F20"/>
        </w:rPr>
        <w:t>Other expenses (income) include interest expense, capitalized interest, interest income, and other gains and losses. Interest expense for 2013 decreased by $16 million, or 10.9 percent, compared to 2012, primarily due to the repayment of the Company’s $385 million 6.5% notes in March 2012. The Company currently expects Interest expense for first quarter 2014 to increase slightly as compared to fourth quarter 2013.</w:t>
      </w:r>
    </w:p>
    <w:p>
      <w:pPr>
        <w:spacing w:after="0" w:line="249" w:lineRule="auto"/>
        <w:sectPr>
          <w:pgSz w:w="11880" w:h="15480"/>
          <w:pgMar w:header="0" w:footer="1253" w:top="1240" w:bottom="1440" w:left="1280" w:right="1300"/>
        </w:sectPr>
      </w:pPr>
    </w:p>
    <w:p>
      <w:pPr>
        <w:pStyle w:val="BodyText"/>
        <w:spacing w:line="249" w:lineRule="auto" w:before="73"/>
        <w:ind w:left="160" w:right="196" w:firstLine="490"/>
      </w:pPr>
      <w:r>
        <w:rPr>
          <w:color w:val="231F20"/>
        </w:rPr>
        <w:t>Capitalized interest for 2013 increased by $3 million, or 14.3 percent, compared to 2012, primarily due to an increase in average progress payment balances for scheduled future aircraft deliveries.</w:t>
      </w:r>
    </w:p>
    <w:p>
      <w:pPr>
        <w:pStyle w:val="BodyText"/>
        <w:spacing w:line="249" w:lineRule="auto" w:before="181"/>
        <w:ind w:left="160" w:right="474" w:firstLine="490"/>
      </w:pPr>
      <w:r>
        <w:rPr>
          <w:color w:val="231F20"/>
        </w:rPr>
        <w:t>Interest income for 2013 decreased by $1 million, or 14.3 percent, compared to 2012, primarily due to lower interest rates.</w:t>
      </w:r>
    </w:p>
    <w:p>
      <w:pPr>
        <w:pStyle w:val="BodyText"/>
        <w:spacing w:line="249" w:lineRule="auto" w:before="181"/>
        <w:ind w:left="160" w:right="203" w:firstLine="490"/>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2013, and 2012:</w:t>
      </w:r>
    </w:p>
    <w:p>
      <w:pPr>
        <w:pStyle w:val="Heading3"/>
        <w:spacing w:before="141" w:after="39"/>
        <w:ind w:left="6120"/>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95"/>
        <w:gridCol w:w="935"/>
        <w:gridCol w:w="160"/>
        <w:gridCol w:w="1180"/>
      </w:tblGrid>
      <w:tr>
        <w:trPr>
          <w:trHeight w:val="248" w:hRule="exact"/>
        </w:trPr>
        <w:tc>
          <w:tcPr>
            <w:tcW w:w="6095" w:type="dxa"/>
            <w:tcBorders>
              <w:bottom w:val="single" w:sz="8" w:space="0" w:color="231F20"/>
            </w:tcBorders>
          </w:tcPr>
          <w:p>
            <w:pPr>
              <w:pStyle w:val="TableParagraph"/>
              <w:spacing w:line="221" w:lineRule="exact"/>
              <w:ind w:left="50"/>
              <w:jc w:val="left"/>
              <w:rPr>
                <w:sz w:val="20"/>
              </w:rPr>
            </w:pPr>
            <w:r>
              <w:rPr>
                <w:color w:val="231F20"/>
                <w:sz w:val="20"/>
              </w:rPr>
              <w:t>(in millions)</w:t>
            </w:r>
          </w:p>
        </w:tc>
        <w:tc>
          <w:tcPr>
            <w:tcW w:w="935" w:type="dxa"/>
            <w:tcBorders>
              <w:bottom w:val="single" w:sz="8" w:space="0" w:color="231F20"/>
            </w:tcBorders>
          </w:tcPr>
          <w:p>
            <w:pPr>
              <w:pStyle w:val="TableParagraph"/>
              <w:spacing w:line="221" w:lineRule="exact"/>
              <w:ind w:left="144"/>
              <w:jc w:val="left"/>
              <w:rPr>
                <w:b/>
                <w:sz w:val="20"/>
              </w:rPr>
            </w:pPr>
            <w:r>
              <w:rPr>
                <w:b/>
                <w:color w:val="231F20"/>
                <w:sz w:val="20"/>
              </w:rPr>
              <w:t>2013</w:t>
            </w:r>
          </w:p>
        </w:tc>
        <w:tc>
          <w:tcPr>
            <w:tcW w:w="160" w:type="dxa"/>
            <w:tcBorders>
              <w:bottom w:val="single" w:sz="8" w:space="0" w:color="231F20"/>
            </w:tcBorders>
          </w:tcPr>
          <w:p>
            <w:pPr/>
          </w:p>
        </w:tc>
        <w:tc>
          <w:tcPr>
            <w:tcW w:w="1180" w:type="dxa"/>
            <w:tcBorders>
              <w:bottom w:val="single" w:sz="8" w:space="0" w:color="231F20"/>
            </w:tcBorders>
          </w:tcPr>
          <w:p>
            <w:pPr>
              <w:pStyle w:val="TableParagraph"/>
              <w:spacing w:line="221" w:lineRule="exact"/>
              <w:ind w:left="390"/>
              <w:jc w:val="left"/>
              <w:rPr>
                <w:b/>
                <w:sz w:val="20"/>
              </w:rPr>
            </w:pPr>
            <w:r>
              <w:rPr>
                <w:b/>
                <w:color w:val="231F20"/>
                <w:sz w:val="20"/>
              </w:rPr>
              <w:t>2012</w:t>
            </w:r>
          </w:p>
        </w:tc>
      </w:tr>
      <w:tr>
        <w:trPr>
          <w:trHeight w:val="484" w:hRule="exact"/>
        </w:trPr>
        <w:tc>
          <w:tcPr>
            <w:tcW w:w="6095" w:type="dxa"/>
            <w:tcBorders>
              <w:top w:val="single" w:sz="8" w:space="0" w:color="231F20"/>
            </w:tcBorders>
          </w:tcPr>
          <w:p>
            <w:pPr>
              <w:pStyle w:val="TableParagraph"/>
              <w:spacing w:before="3"/>
              <w:jc w:val="left"/>
              <w:rPr>
                <w:b/>
                <w:sz w:val="20"/>
              </w:rPr>
            </w:pPr>
          </w:p>
          <w:p>
            <w:pPr>
              <w:pStyle w:val="TableParagraph"/>
              <w:ind w:left="50"/>
              <w:jc w:val="left"/>
              <w:rPr>
                <w:sz w:val="20"/>
              </w:rPr>
            </w:pPr>
            <w:r>
              <w:rPr>
                <w:color w:val="231F20"/>
                <w:sz w:val="20"/>
              </w:rPr>
              <w:t>Mark-to-market impact from fuel contracts settling in future</w:t>
            </w:r>
          </w:p>
        </w:tc>
        <w:tc>
          <w:tcPr>
            <w:tcW w:w="935" w:type="dxa"/>
            <w:tcBorders>
              <w:top w:val="single" w:sz="8" w:space="0" w:color="231F20"/>
            </w:tcBorders>
          </w:tcPr>
          <w:p>
            <w:pPr/>
          </w:p>
        </w:tc>
        <w:tc>
          <w:tcPr>
            <w:tcW w:w="160" w:type="dxa"/>
            <w:tcBorders>
              <w:top w:val="single" w:sz="8" w:space="0" w:color="231F20"/>
            </w:tcBorders>
          </w:tcPr>
          <w:p>
            <w:pPr/>
          </w:p>
        </w:tc>
        <w:tc>
          <w:tcPr>
            <w:tcW w:w="1180" w:type="dxa"/>
            <w:tcBorders>
              <w:top w:val="single" w:sz="8" w:space="0" w:color="231F20"/>
            </w:tcBorders>
          </w:tcPr>
          <w:p>
            <w:pPr/>
          </w:p>
        </w:tc>
      </w:tr>
      <w:tr>
        <w:trPr>
          <w:trHeight w:val="240" w:hRule="exact"/>
        </w:trPr>
        <w:tc>
          <w:tcPr>
            <w:tcW w:w="6095" w:type="dxa"/>
          </w:tcPr>
          <w:p>
            <w:pPr>
              <w:pStyle w:val="TableParagraph"/>
              <w:spacing w:line="229" w:lineRule="exact"/>
              <w:ind w:right="144"/>
              <w:rPr>
                <w:sz w:val="20"/>
              </w:rPr>
            </w:pPr>
            <w:r>
              <w:rPr>
                <w:color w:val="231F20"/>
                <w:sz w:val="20"/>
              </w:rPr>
              <w:t>periods . . . . . . . . . . . . . . . . . . . . . . . . . . . . . . . . . . . . . . . . . . . . . . . . .  $</w:t>
            </w:r>
          </w:p>
        </w:tc>
        <w:tc>
          <w:tcPr>
            <w:tcW w:w="935" w:type="dxa"/>
          </w:tcPr>
          <w:p>
            <w:pPr>
              <w:pStyle w:val="TableParagraph"/>
              <w:spacing w:line="229" w:lineRule="exact"/>
              <w:ind w:right="11"/>
              <w:rPr>
                <w:sz w:val="20"/>
              </w:rPr>
            </w:pPr>
            <w:r>
              <w:rPr>
                <w:color w:val="231F20"/>
                <w:sz w:val="20"/>
              </w:rPr>
              <w:t>(103)</w:t>
            </w:r>
          </w:p>
        </w:tc>
        <w:tc>
          <w:tcPr>
            <w:tcW w:w="160" w:type="dxa"/>
          </w:tcPr>
          <w:p>
            <w:pPr/>
          </w:p>
        </w:tc>
        <w:tc>
          <w:tcPr>
            <w:tcW w:w="1180" w:type="dxa"/>
          </w:tcPr>
          <w:p>
            <w:pPr>
              <w:pStyle w:val="TableParagraph"/>
              <w:tabs>
                <w:tab w:pos="732" w:val="left" w:leader="none"/>
              </w:tabs>
              <w:spacing w:line="229" w:lineRule="exact"/>
              <w:ind w:right="11"/>
              <w:rPr>
                <w:sz w:val="20"/>
              </w:rPr>
            </w:pPr>
            <w:r>
              <w:rPr>
                <w:color w:val="231F20"/>
                <w:sz w:val="20"/>
              </w:rPr>
              <w:t>$</w:t>
              <w:tab/>
              <w:t>(221)</w:t>
            </w:r>
          </w:p>
        </w:tc>
      </w:tr>
      <w:tr>
        <w:trPr>
          <w:trHeight w:val="240" w:hRule="exact"/>
        </w:trPr>
        <w:tc>
          <w:tcPr>
            <w:tcW w:w="6095" w:type="dxa"/>
          </w:tcPr>
          <w:p>
            <w:pPr>
              <w:pStyle w:val="TableParagraph"/>
              <w:spacing w:line="229" w:lineRule="exact"/>
              <w:ind w:left="50"/>
              <w:jc w:val="left"/>
              <w:rPr>
                <w:sz w:val="20"/>
              </w:rPr>
            </w:pPr>
            <w:r>
              <w:rPr>
                <w:color w:val="231F20"/>
                <w:sz w:val="20"/>
              </w:rPr>
              <w:t>Ineffectiveness from fuel hedges settling in future periods  . . . . . . . . . . </w:t>
            </w:r>
          </w:p>
        </w:tc>
        <w:tc>
          <w:tcPr>
            <w:tcW w:w="935" w:type="dxa"/>
          </w:tcPr>
          <w:p>
            <w:pPr>
              <w:pStyle w:val="TableParagraph"/>
              <w:spacing w:line="229" w:lineRule="exact"/>
              <w:ind w:right="79"/>
              <w:rPr>
                <w:sz w:val="20"/>
              </w:rPr>
            </w:pPr>
            <w:r>
              <w:rPr>
                <w:color w:val="231F20"/>
                <w:sz w:val="20"/>
              </w:rPr>
              <w:t>11</w:t>
            </w:r>
          </w:p>
        </w:tc>
        <w:tc>
          <w:tcPr>
            <w:tcW w:w="160" w:type="dxa"/>
          </w:tcPr>
          <w:p>
            <w:pPr/>
          </w:p>
        </w:tc>
        <w:tc>
          <w:tcPr>
            <w:tcW w:w="1180" w:type="dxa"/>
          </w:tcPr>
          <w:p>
            <w:pPr>
              <w:pStyle w:val="TableParagraph"/>
              <w:spacing w:line="229" w:lineRule="exact"/>
              <w:ind w:right="79"/>
              <w:rPr>
                <w:sz w:val="20"/>
              </w:rPr>
            </w:pPr>
            <w:r>
              <w:rPr>
                <w:color w:val="231F20"/>
                <w:sz w:val="20"/>
              </w:rPr>
              <w:t>42</w:t>
            </w:r>
          </w:p>
        </w:tc>
      </w:tr>
      <w:tr>
        <w:trPr>
          <w:trHeight w:val="240" w:hRule="exact"/>
        </w:trPr>
        <w:tc>
          <w:tcPr>
            <w:tcW w:w="6095" w:type="dxa"/>
          </w:tcPr>
          <w:p>
            <w:pPr>
              <w:pStyle w:val="TableParagraph"/>
              <w:spacing w:line="229" w:lineRule="exact"/>
              <w:ind w:left="50"/>
              <w:jc w:val="left"/>
              <w:rPr>
                <w:sz w:val="20"/>
              </w:rPr>
            </w:pPr>
            <w:r>
              <w:rPr>
                <w:color w:val="231F20"/>
                <w:sz w:val="20"/>
              </w:rPr>
              <w:t>Realized ineffectiveness and mark-to-market (gains) or losses  . . . . . . . </w:t>
            </w:r>
          </w:p>
        </w:tc>
        <w:tc>
          <w:tcPr>
            <w:tcW w:w="935" w:type="dxa"/>
          </w:tcPr>
          <w:p>
            <w:pPr>
              <w:pStyle w:val="TableParagraph"/>
              <w:spacing w:line="229" w:lineRule="exact"/>
              <w:ind w:right="79"/>
              <w:rPr>
                <w:sz w:val="20"/>
              </w:rPr>
            </w:pPr>
            <w:r>
              <w:rPr>
                <w:color w:val="231F20"/>
                <w:sz w:val="20"/>
              </w:rPr>
              <w:t>3</w:t>
            </w:r>
          </w:p>
        </w:tc>
        <w:tc>
          <w:tcPr>
            <w:tcW w:w="160" w:type="dxa"/>
          </w:tcPr>
          <w:p>
            <w:pPr/>
          </w:p>
        </w:tc>
        <w:tc>
          <w:tcPr>
            <w:tcW w:w="1180" w:type="dxa"/>
          </w:tcPr>
          <w:p>
            <w:pPr>
              <w:pStyle w:val="TableParagraph"/>
              <w:spacing w:line="229" w:lineRule="exact"/>
              <w:ind w:right="11"/>
              <w:rPr>
                <w:sz w:val="20"/>
              </w:rPr>
            </w:pPr>
            <w:r>
              <w:rPr>
                <w:color w:val="231F20"/>
                <w:sz w:val="20"/>
              </w:rPr>
              <w:t>(42)</w:t>
            </w:r>
          </w:p>
        </w:tc>
      </w:tr>
      <w:tr>
        <w:trPr>
          <w:trHeight w:val="240" w:hRule="exact"/>
        </w:trPr>
        <w:tc>
          <w:tcPr>
            <w:tcW w:w="6095" w:type="dxa"/>
          </w:tcPr>
          <w:p>
            <w:pPr>
              <w:pStyle w:val="TableParagraph"/>
              <w:spacing w:line="229" w:lineRule="exact"/>
              <w:ind w:left="50"/>
              <w:jc w:val="left"/>
              <w:rPr>
                <w:sz w:val="20"/>
              </w:rPr>
            </w:pPr>
            <w:r>
              <w:rPr>
                <w:color w:val="231F20"/>
                <w:sz w:val="20"/>
              </w:rPr>
              <w:t>Premium cost of fuel contracts  . . . . . . . . . . . . . . . . . . . . . . . . . . . . . . . . </w:t>
            </w:r>
          </w:p>
        </w:tc>
        <w:tc>
          <w:tcPr>
            <w:tcW w:w="935" w:type="dxa"/>
          </w:tcPr>
          <w:p>
            <w:pPr>
              <w:pStyle w:val="TableParagraph"/>
              <w:spacing w:line="229" w:lineRule="exact"/>
              <w:ind w:right="79"/>
              <w:rPr>
                <w:sz w:val="20"/>
              </w:rPr>
            </w:pPr>
            <w:r>
              <w:rPr>
                <w:color w:val="231F20"/>
                <w:sz w:val="20"/>
              </w:rPr>
              <w:t>60</w:t>
            </w:r>
          </w:p>
        </w:tc>
        <w:tc>
          <w:tcPr>
            <w:tcW w:w="160" w:type="dxa"/>
          </w:tcPr>
          <w:p>
            <w:pPr/>
          </w:p>
        </w:tc>
        <w:tc>
          <w:tcPr>
            <w:tcW w:w="1180" w:type="dxa"/>
          </w:tcPr>
          <w:p>
            <w:pPr>
              <w:pStyle w:val="TableParagraph"/>
              <w:spacing w:line="229" w:lineRule="exact"/>
              <w:ind w:right="79"/>
              <w:rPr>
                <w:sz w:val="20"/>
              </w:rPr>
            </w:pPr>
            <w:r>
              <w:rPr>
                <w:color w:val="231F20"/>
                <w:sz w:val="20"/>
              </w:rPr>
              <w:t>36</w:t>
            </w:r>
          </w:p>
        </w:tc>
      </w:tr>
      <w:tr>
        <w:trPr>
          <w:trHeight w:val="261" w:hRule="exact"/>
        </w:trPr>
        <w:tc>
          <w:tcPr>
            <w:tcW w:w="6095" w:type="dxa"/>
          </w:tcPr>
          <w:p>
            <w:pPr>
              <w:pStyle w:val="TableParagraph"/>
              <w:spacing w:line="229" w:lineRule="exact"/>
              <w:ind w:left="50"/>
              <w:jc w:val="left"/>
              <w:rPr>
                <w:sz w:val="20"/>
              </w:rPr>
            </w:pPr>
            <w:r>
              <w:rPr>
                <w:color w:val="231F20"/>
                <w:sz w:val="20"/>
              </w:rPr>
              <w:t>Other  . . . . . . . . . . . . . . . . . . . . . . . . . . . . . . . . . . . . . . . . . . . . . . . . . . . . </w:t>
            </w:r>
          </w:p>
        </w:tc>
        <w:tc>
          <w:tcPr>
            <w:tcW w:w="935" w:type="dxa"/>
            <w:tcBorders>
              <w:bottom w:val="single" w:sz="4" w:space="0" w:color="231F20"/>
            </w:tcBorders>
          </w:tcPr>
          <w:p>
            <w:pPr>
              <w:pStyle w:val="TableParagraph"/>
              <w:spacing w:line="229" w:lineRule="exact"/>
              <w:ind w:right="11"/>
              <w:rPr>
                <w:sz w:val="20"/>
              </w:rPr>
            </w:pPr>
            <w:r>
              <w:rPr>
                <w:color w:val="231F20"/>
                <w:sz w:val="20"/>
              </w:rPr>
              <w:t>(3)</w:t>
            </w:r>
          </w:p>
        </w:tc>
        <w:tc>
          <w:tcPr>
            <w:tcW w:w="160" w:type="dxa"/>
          </w:tcPr>
          <w:p>
            <w:pPr/>
          </w:p>
        </w:tc>
        <w:tc>
          <w:tcPr>
            <w:tcW w:w="1180" w:type="dxa"/>
            <w:tcBorders>
              <w:bottom w:val="single" w:sz="4" w:space="0" w:color="231F20"/>
            </w:tcBorders>
          </w:tcPr>
          <w:p>
            <w:pPr>
              <w:pStyle w:val="TableParagraph"/>
              <w:spacing w:line="229" w:lineRule="exact"/>
              <w:ind w:right="79"/>
              <w:rPr>
                <w:sz w:val="20"/>
              </w:rPr>
            </w:pPr>
            <w:r>
              <w:rPr>
                <w:color w:val="231F20"/>
                <w:sz w:val="20"/>
              </w:rPr>
              <w:t>4</w:t>
            </w:r>
          </w:p>
        </w:tc>
      </w:tr>
      <w:tr>
        <w:trPr>
          <w:trHeight w:val="288" w:hRule="exact"/>
        </w:trPr>
        <w:tc>
          <w:tcPr>
            <w:tcW w:w="6095" w:type="dxa"/>
          </w:tcPr>
          <w:p>
            <w:pPr>
              <w:pStyle w:val="TableParagraph"/>
              <w:spacing w:before="58"/>
              <w:ind w:right="143"/>
              <w:rPr>
                <w:sz w:val="20"/>
              </w:rPr>
            </w:pPr>
            <w:r>
              <w:rPr>
                <w:color w:val="231F20"/>
                <w:sz w:val="20"/>
              </w:rPr>
              <w:t>$</w:t>
            </w:r>
          </w:p>
        </w:tc>
        <w:tc>
          <w:tcPr>
            <w:tcW w:w="935" w:type="dxa"/>
            <w:tcBorders>
              <w:top w:val="single" w:sz="4" w:space="0" w:color="231F20"/>
            </w:tcBorders>
          </w:tcPr>
          <w:p>
            <w:pPr>
              <w:pStyle w:val="TableParagraph"/>
              <w:spacing w:before="53"/>
              <w:ind w:right="11"/>
              <w:rPr>
                <w:sz w:val="20"/>
              </w:rPr>
            </w:pPr>
            <w:r>
              <w:rPr>
                <w:color w:val="231F20"/>
                <w:sz w:val="20"/>
              </w:rPr>
              <w:t>(32)</w:t>
            </w:r>
          </w:p>
        </w:tc>
        <w:tc>
          <w:tcPr>
            <w:tcW w:w="160" w:type="dxa"/>
          </w:tcPr>
          <w:p>
            <w:pPr/>
          </w:p>
        </w:tc>
        <w:tc>
          <w:tcPr>
            <w:tcW w:w="1180" w:type="dxa"/>
            <w:tcBorders>
              <w:top w:val="single" w:sz="4" w:space="0" w:color="231F20"/>
            </w:tcBorders>
          </w:tcPr>
          <w:p>
            <w:pPr>
              <w:pStyle w:val="TableParagraph"/>
              <w:tabs>
                <w:tab w:pos="732" w:val="left" w:leader="none"/>
              </w:tabs>
              <w:spacing w:before="53"/>
              <w:ind w:right="11"/>
              <w:rPr>
                <w:sz w:val="20"/>
              </w:rPr>
            </w:pPr>
            <w:r>
              <w:rPr>
                <w:color w:val="231F20"/>
                <w:sz w:val="20"/>
              </w:rPr>
              <w:t>$</w:t>
              <w:tab/>
              <w:t>(181)</w:t>
            </w:r>
          </w:p>
        </w:tc>
      </w:tr>
    </w:tbl>
    <w:p>
      <w:pPr>
        <w:spacing w:before="190"/>
        <w:ind w:left="360" w:right="0" w:firstLine="0"/>
        <w:jc w:val="left"/>
        <w:rPr>
          <w:b/>
          <w:sz w:val="20"/>
        </w:rPr>
      </w:pPr>
      <w:r>
        <w:rPr>
          <w:b/>
          <w:color w:val="231F20"/>
          <w:sz w:val="20"/>
        </w:rPr>
        <w:t>Income Taxes</w:t>
      </w:r>
    </w:p>
    <w:p>
      <w:pPr>
        <w:pStyle w:val="BodyText"/>
        <w:spacing w:line="249" w:lineRule="auto" w:before="190"/>
        <w:ind w:left="160" w:right="92" w:firstLine="490"/>
      </w:pPr>
      <w:r>
        <w:rPr>
          <w:color w:val="231F20"/>
        </w:rPr>
        <w:t>The Company’s effective tax rate was approximately 37.6 percent for 2013, compared to 38.5 percent for 2012. On a non-GAAP basis, the Company currently projects a full year 2014 effective tax rate of approximately 37 to 39 percent based on forecasted financial results. However, the Company’s effective tax rate during interim periods of 2014 may differ significantly from this full-year estimate.</w:t>
      </w:r>
    </w:p>
    <w:p>
      <w:pPr>
        <w:spacing w:after="0" w:line="249" w:lineRule="auto"/>
        <w:sectPr>
          <w:pgSz w:w="11880" w:h="15480"/>
          <w:pgMar w:header="0" w:footer="1253" w:top="1240" w:bottom="1440" w:left="1220" w:right="1340"/>
        </w:sectPr>
      </w:pPr>
    </w:p>
    <w:p>
      <w:pPr>
        <w:pStyle w:val="Heading3"/>
        <w:spacing w:line="249" w:lineRule="auto" w:before="73"/>
        <w:ind w:left="160" w:right="94"/>
      </w:pPr>
      <w:r>
        <w:rPr>
          <w:color w:val="231F20"/>
        </w:rPr>
        <w:t>Reconciliation of Reported Amounts to non-GAAP Financial Measures (unaudited) (in millions, except per share and per ASM amounts)</w:t>
      </w:r>
    </w:p>
    <w:p>
      <w:pPr>
        <w:spacing w:line="182" w:lineRule="exact" w:before="158"/>
        <w:ind w:left="0" w:right="1810" w:firstLine="0"/>
        <w:jc w:val="right"/>
        <w:rPr>
          <w:b/>
          <w:sz w:val="16"/>
        </w:rPr>
      </w:pPr>
      <w:r>
        <w:rPr>
          <w:b/>
          <w:color w:val="231F20"/>
          <w:sz w:val="16"/>
        </w:rPr>
        <w:t>Year ended</w:t>
      </w:r>
    </w:p>
    <w:p>
      <w:pPr>
        <w:tabs>
          <w:tab w:pos="1866" w:val="left" w:leader="none"/>
        </w:tabs>
        <w:spacing w:line="262" w:lineRule="exact" w:before="0"/>
        <w:ind w:left="0" w:right="278" w:firstLine="0"/>
        <w:jc w:val="right"/>
        <w:rPr>
          <w:b/>
          <w:sz w:val="16"/>
        </w:rPr>
      </w:pPr>
      <w:r>
        <w:rPr/>
        <w:pict>
          <v:shape style="position:absolute;margin-left:66.5pt;margin-top:10.869141pt;width:458.5pt;height:460.75pt;mso-position-horizontal-relative:page;mso-position-vertical-relative:paragraph;z-index:32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5"/>
                    <w:gridCol w:w="1040"/>
                    <w:gridCol w:w="200"/>
                    <w:gridCol w:w="960"/>
                    <w:gridCol w:w="160"/>
                    <w:gridCol w:w="885"/>
                  </w:tblGrid>
                  <w:tr>
                    <w:trPr>
                      <w:trHeight w:val="260" w:hRule="exact"/>
                    </w:trPr>
                    <w:tc>
                      <w:tcPr>
                        <w:tcW w:w="5925" w:type="dxa"/>
                      </w:tcPr>
                      <w:p>
                        <w:pPr/>
                      </w:p>
                    </w:tc>
                    <w:tc>
                      <w:tcPr>
                        <w:tcW w:w="1040" w:type="dxa"/>
                        <w:tcBorders>
                          <w:top w:val="single" w:sz="8" w:space="0" w:color="231F20"/>
                          <w:bottom w:val="single" w:sz="8" w:space="0" w:color="231F20"/>
                        </w:tcBorders>
                      </w:tcPr>
                      <w:p>
                        <w:pPr>
                          <w:pStyle w:val="TableParagraph"/>
                          <w:spacing w:before="30"/>
                          <w:ind w:left="399"/>
                          <w:jc w:val="left"/>
                          <w:rPr>
                            <w:b/>
                            <w:sz w:val="16"/>
                          </w:rPr>
                        </w:pPr>
                        <w:r>
                          <w:rPr>
                            <w:b/>
                            <w:color w:val="231F20"/>
                            <w:sz w:val="16"/>
                          </w:rPr>
                          <w:t>2012</w:t>
                        </w:r>
                      </w:p>
                    </w:tc>
                    <w:tc>
                      <w:tcPr>
                        <w:tcW w:w="2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30"/>
                          <w:ind w:left="320"/>
                          <w:jc w:val="left"/>
                          <w:rPr>
                            <w:b/>
                            <w:sz w:val="16"/>
                          </w:rPr>
                        </w:pPr>
                        <w:r>
                          <w:rPr>
                            <w:b/>
                            <w:color w:val="231F20"/>
                            <w:sz w:val="16"/>
                          </w:rPr>
                          <w:t>2011</w:t>
                        </w:r>
                      </w:p>
                    </w:tc>
                    <w:tc>
                      <w:tcPr>
                        <w:tcW w:w="160" w:type="dxa"/>
                      </w:tcPr>
                      <w:p>
                        <w:pPr/>
                      </w:p>
                    </w:tc>
                    <w:tc>
                      <w:tcPr>
                        <w:tcW w:w="885" w:type="dxa"/>
                        <w:tcBorders>
                          <w:bottom w:val="single" w:sz="8" w:space="0" w:color="231F20"/>
                        </w:tcBorders>
                      </w:tcPr>
                      <w:p>
                        <w:pPr>
                          <w:pStyle w:val="TableParagraph"/>
                          <w:spacing w:before="40"/>
                          <w:ind w:right="178"/>
                          <w:rPr>
                            <w:b/>
                            <w:sz w:val="16"/>
                          </w:rPr>
                        </w:pPr>
                        <w:r>
                          <w:rPr>
                            <w:b/>
                            <w:color w:val="231F20"/>
                            <w:w w:val="95"/>
                            <w:sz w:val="16"/>
                          </w:rPr>
                          <w:t>Change</w:t>
                        </w:r>
                      </w:p>
                    </w:tc>
                  </w:tr>
                  <w:tr>
                    <w:trPr>
                      <w:trHeight w:val="408" w:hRule="exact"/>
                    </w:trPr>
                    <w:tc>
                      <w:tcPr>
                        <w:tcW w:w="5925" w:type="dxa"/>
                      </w:tcPr>
                      <w:p>
                        <w:pPr>
                          <w:pStyle w:val="TableParagraph"/>
                          <w:spacing w:before="2"/>
                          <w:jc w:val="left"/>
                          <w:rPr>
                            <w:sz w:val="19"/>
                          </w:rPr>
                        </w:pPr>
                      </w:p>
                      <w:p>
                        <w:pPr>
                          <w:pStyle w:val="TableParagraph"/>
                          <w:ind w:left="50"/>
                          <w:jc w:val="left"/>
                          <w:rPr>
                            <w:sz w:val="16"/>
                          </w:rPr>
                        </w:pPr>
                        <w:r>
                          <w:rPr>
                            <w:b/>
                            <w:color w:val="231F20"/>
                            <w:sz w:val="16"/>
                          </w:rPr>
                          <w:t>Fuel and oil expense, unhedged  </w:t>
                        </w:r>
                        <w:r>
                          <w:rPr>
                            <w:color w:val="231F20"/>
                            <w:sz w:val="16"/>
                          </w:rPr>
                          <w:t>. . . . . . . . . . . . . . . . . . . . . . . . . . . . . . . . . . . . . . . . . . . . . </w:t>
                        </w:r>
                      </w:p>
                    </w:tc>
                    <w:tc>
                      <w:tcPr>
                        <w:tcW w:w="1040" w:type="dxa"/>
                        <w:tcBorders>
                          <w:top w:val="single" w:sz="8" w:space="0" w:color="231F20"/>
                        </w:tcBorders>
                      </w:tcPr>
                      <w:p>
                        <w:pPr>
                          <w:pStyle w:val="TableParagraph"/>
                          <w:spacing w:before="3"/>
                          <w:jc w:val="left"/>
                          <w:rPr>
                            <w:sz w:val="18"/>
                          </w:rPr>
                        </w:pPr>
                      </w:p>
                      <w:p>
                        <w:pPr>
                          <w:pStyle w:val="TableParagraph"/>
                          <w:tabs>
                            <w:tab w:pos="519" w:val="left" w:leader="none"/>
                          </w:tabs>
                          <w:ind w:right="77"/>
                          <w:rPr>
                            <w:sz w:val="16"/>
                          </w:rPr>
                        </w:pPr>
                        <w:r>
                          <w:rPr>
                            <w:color w:val="231F20"/>
                            <w:sz w:val="16"/>
                          </w:rPr>
                          <w:t>$</w:t>
                          <w:tab/>
                        </w:r>
                        <w:r>
                          <w:rPr>
                            <w:color w:val="231F20"/>
                            <w:spacing w:val="-1"/>
                            <w:sz w:val="16"/>
                          </w:rPr>
                          <w:t>5,963</w:t>
                        </w:r>
                      </w:p>
                    </w:tc>
                    <w:tc>
                      <w:tcPr>
                        <w:tcW w:w="200" w:type="dxa"/>
                      </w:tcPr>
                      <w:p>
                        <w:pPr/>
                      </w:p>
                    </w:tc>
                    <w:tc>
                      <w:tcPr>
                        <w:tcW w:w="960" w:type="dxa"/>
                        <w:tcBorders>
                          <w:top w:val="single" w:sz="8" w:space="0" w:color="231F20"/>
                        </w:tcBorders>
                      </w:tcPr>
                      <w:p>
                        <w:pPr>
                          <w:pStyle w:val="TableParagraph"/>
                          <w:spacing w:before="3"/>
                          <w:jc w:val="left"/>
                          <w:rPr>
                            <w:sz w:val="18"/>
                          </w:rPr>
                        </w:pPr>
                      </w:p>
                      <w:p>
                        <w:pPr>
                          <w:pStyle w:val="TableParagraph"/>
                          <w:tabs>
                            <w:tab w:pos="519" w:val="left" w:leader="none"/>
                          </w:tabs>
                          <w:ind w:right="77"/>
                          <w:rPr>
                            <w:sz w:val="16"/>
                          </w:rPr>
                        </w:pPr>
                        <w:r>
                          <w:rPr>
                            <w:color w:val="231F20"/>
                            <w:sz w:val="16"/>
                          </w:rPr>
                          <w:t>$</w:t>
                          <w:tab/>
                        </w:r>
                        <w:r>
                          <w:rPr>
                            <w:color w:val="231F20"/>
                            <w:spacing w:val="-1"/>
                            <w:sz w:val="16"/>
                          </w:rPr>
                          <w:t>5,580</w:t>
                        </w:r>
                      </w:p>
                    </w:tc>
                    <w:tc>
                      <w:tcPr>
                        <w:tcW w:w="160" w:type="dxa"/>
                      </w:tcPr>
                      <w:p>
                        <w:pPr/>
                      </w:p>
                    </w:tc>
                    <w:tc>
                      <w:tcPr>
                        <w:tcW w:w="885" w:type="dxa"/>
                        <w:tcBorders>
                          <w:top w:val="single" w:sz="8" w:space="0" w:color="231F20"/>
                        </w:tcBorders>
                      </w:tcPr>
                      <w:p>
                        <w:pPr/>
                      </w:p>
                    </w:tc>
                  </w:tr>
                  <w:tr>
                    <w:trPr>
                      <w:trHeight w:val="217" w:hRule="exact"/>
                    </w:trPr>
                    <w:tc>
                      <w:tcPr>
                        <w:tcW w:w="5925" w:type="dxa"/>
                      </w:tcPr>
                      <w:p>
                        <w:pPr>
                          <w:pStyle w:val="TableParagraph"/>
                          <w:spacing w:line="177" w:lineRule="exact"/>
                          <w:ind w:left="50"/>
                          <w:jc w:val="left"/>
                          <w:rPr>
                            <w:sz w:val="16"/>
                          </w:rPr>
                        </w:pPr>
                        <w:r>
                          <w:rPr>
                            <w:color w:val="231F20"/>
                            <w:sz w:val="16"/>
                          </w:rPr>
                          <w:t>Add: Fuel hedge losses included in Fuel and oil expense   . . . . . . . . . . . . . . . . . . . . . . . . . . </w:t>
                        </w:r>
                      </w:p>
                    </w:tc>
                    <w:tc>
                      <w:tcPr>
                        <w:tcW w:w="1040" w:type="dxa"/>
                        <w:tcBorders>
                          <w:bottom w:val="single" w:sz="4" w:space="0" w:color="231F20"/>
                        </w:tcBorders>
                      </w:tcPr>
                      <w:p>
                        <w:pPr>
                          <w:pStyle w:val="TableParagraph"/>
                          <w:spacing w:line="177" w:lineRule="exact"/>
                          <w:ind w:right="77"/>
                          <w:rPr>
                            <w:sz w:val="16"/>
                          </w:rPr>
                        </w:pPr>
                        <w:r>
                          <w:rPr>
                            <w:color w:val="231F20"/>
                            <w:sz w:val="16"/>
                          </w:rPr>
                          <w:t>157</w:t>
                        </w:r>
                      </w:p>
                    </w:tc>
                    <w:tc>
                      <w:tcPr>
                        <w:tcW w:w="200" w:type="dxa"/>
                      </w:tcPr>
                      <w:p>
                        <w:pPr/>
                      </w:p>
                    </w:tc>
                    <w:tc>
                      <w:tcPr>
                        <w:tcW w:w="960" w:type="dxa"/>
                        <w:tcBorders>
                          <w:bottom w:val="single" w:sz="4" w:space="0" w:color="231F20"/>
                        </w:tcBorders>
                      </w:tcPr>
                      <w:p>
                        <w:pPr>
                          <w:pStyle w:val="TableParagraph"/>
                          <w:spacing w:line="177" w:lineRule="exact"/>
                          <w:ind w:right="77"/>
                          <w:rPr>
                            <w:sz w:val="16"/>
                          </w:rPr>
                        </w:pPr>
                        <w:r>
                          <w:rPr>
                            <w:color w:val="231F20"/>
                            <w:sz w:val="16"/>
                          </w:rPr>
                          <w:t>64</w:t>
                        </w:r>
                      </w:p>
                    </w:tc>
                    <w:tc>
                      <w:tcPr>
                        <w:tcW w:w="160" w:type="dxa"/>
                      </w:tcPr>
                      <w:p>
                        <w:pPr/>
                      </w:p>
                    </w:tc>
                    <w:tc>
                      <w:tcPr>
                        <w:tcW w:w="885" w:type="dxa"/>
                      </w:tcPr>
                      <w:p>
                        <w:pPr/>
                      </w:p>
                    </w:tc>
                  </w:tr>
                  <w:tr>
                    <w:trPr>
                      <w:trHeight w:val="223" w:hRule="exact"/>
                    </w:trPr>
                    <w:tc>
                      <w:tcPr>
                        <w:tcW w:w="5925" w:type="dxa"/>
                      </w:tcPr>
                      <w:p>
                        <w:pPr>
                          <w:pStyle w:val="TableParagraph"/>
                          <w:spacing w:before="35"/>
                          <w:ind w:left="50"/>
                          <w:jc w:val="left"/>
                          <w:rPr>
                            <w:sz w:val="16"/>
                          </w:rPr>
                        </w:pPr>
                        <w:r>
                          <w:rPr>
                            <w:b/>
                            <w:color w:val="231F20"/>
                            <w:sz w:val="16"/>
                          </w:rPr>
                          <w:t>Fuel and oil expense, as reported   </w:t>
                        </w:r>
                        <w:r>
                          <w:rPr>
                            <w:color w:val="231F20"/>
                            <w:sz w:val="16"/>
                          </w:rPr>
                          <w:t>. . . . . . . . . . . . . . . . . . . . . . . . . . . . . . . . . . . . . . . . . . . </w:t>
                        </w:r>
                      </w:p>
                    </w:tc>
                    <w:tc>
                      <w:tcPr>
                        <w:tcW w:w="1040" w:type="dxa"/>
                        <w:tcBorders>
                          <w:top w:val="single" w:sz="4" w:space="0" w:color="231F20"/>
                        </w:tcBorders>
                      </w:tcPr>
                      <w:p>
                        <w:pPr>
                          <w:pStyle w:val="TableParagraph"/>
                          <w:tabs>
                            <w:tab w:pos="519" w:val="left" w:leader="none"/>
                          </w:tabs>
                          <w:spacing w:before="30"/>
                          <w:ind w:right="77"/>
                          <w:rPr>
                            <w:sz w:val="16"/>
                          </w:rPr>
                        </w:pPr>
                        <w:r>
                          <w:rPr>
                            <w:color w:val="231F20"/>
                            <w:sz w:val="16"/>
                          </w:rPr>
                          <w:t>$</w:t>
                          <w:tab/>
                        </w:r>
                        <w:r>
                          <w:rPr>
                            <w:color w:val="231F20"/>
                            <w:spacing w:val="-1"/>
                            <w:sz w:val="16"/>
                          </w:rPr>
                          <w:t>6,120</w:t>
                        </w:r>
                      </w:p>
                    </w:tc>
                    <w:tc>
                      <w:tcPr>
                        <w:tcW w:w="200" w:type="dxa"/>
                      </w:tcPr>
                      <w:p>
                        <w:pPr/>
                      </w:p>
                    </w:tc>
                    <w:tc>
                      <w:tcPr>
                        <w:tcW w:w="960" w:type="dxa"/>
                        <w:tcBorders>
                          <w:top w:val="single" w:sz="4" w:space="0" w:color="231F20"/>
                        </w:tcBorders>
                      </w:tcPr>
                      <w:p>
                        <w:pPr>
                          <w:pStyle w:val="TableParagraph"/>
                          <w:tabs>
                            <w:tab w:pos="519" w:val="left" w:leader="none"/>
                          </w:tabs>
                          <w:spacing w:before="30"/>
                          <w:ind w:right="77"/>
                          <w:rPr>
                            <w:sz w:val="16"/>
                          </w:rPr>
                        </w:pPr>
                        <w:r>
                          <w:rPr>
                            <w:color w:val="231F20"/>
                            <w:sz w:val="16"/>
                          </w:rPr>
                          <w:t>$</w:t>
                          <w:tab/>
                        </w:r>
                        <w:r>
                          <w:rPr>
                            <w:color w:val="231F20"/>
                            <w:spacing w:val="-1"/>
                            <w:sz w:val="16"/>
                          </w:rPr>
                          <w:t>5,644</w:t>
                        </w:r>
                      </w:p>
                    </w:tc>
                    <w:tc>
                      <w:tcPr>
                        <w:tcW w:w="160" w:type="dxa"/>
                      </w:tcPr>
                      <w:p>
                        <w:pPr/>
                      </w:p>
                    </w:tc>
                    <w:tc>
                      <w:tcPr>
                        <w:tcW w:w="885" w:type="dxa"/>
                      </w:tcPr>
                      <w:p>
                        <w:pPr/>
                      </w:p>
                    </w:tc>
                  </w:tr>
                  <w:tr>
                    <w:trPr>
                      <w:trHeight w:val="217" w:hRule="exact"/>
                    </w:trPr>
                    <w:tc>
                      <w:tcPr>
                        <w:tcW w:w="5925" w:type="dxa"/>
                      </w:tcPr>
                      <w:p>
                        <w:pPr>
                          <w:pStyle w:val="TableParagraph"/>
                          <w:spacing w:line="177" w:lineRule="exact"/>
                          <w:ind w:left="50"/>
                          <w:jc w:val="left"/>
                          <w:rPr>
                            <w:sz w:val="16"/>
                          </w:rPr>
                        </w:pPr>
                        <w:r>
                          <w:rPr>
                            <w:color w:val="231F20"/>
                            <w:sz w:val="16"/>
                          </w:rPr>
                          <w:t>Deduct: Net impact from fuel contracts  . . . . . . . . . . . . . . . . . . . . . . . . . . . . . . . . . . . . . . . . </w:t>
                        </w:r>
                      </w:p>
                    </w:tc>
                    <w:tc>
                      <w:tcPr>
                        <w:tcW w:w="1040" w:type="dxa"/>
                        <w:tcBorders>
                          <w:bottom w:val="single" w:sz="4" w:space="0" w:color="231F20"/>
                        </w:tcBorders>
                      </w:tcPr>
                      <w:p>
                        <w:pPr>
                          <w:pStyle w:val="TableParagraph"/>
                          <w:spacing w:line="177" w:lineRule="exact"/>
                          <w:ind w:right="24"/>
                          <w:rPr>
                            <w:sz w:val="16"/>
                          </w:rPr>
                        </w:pPr>
                        <w:r>
                          <w:rPr>
                            <w:color w:val="231F20"/>
                            <w:sz w:val="16"/>
                          </w:rPr>
                          <w:t>(32)</w:t>
                        </w:r>
                      </w:p>
                    </w:tc>
                    <w:tc>
                      <w:tcPr>
                        <w:tcW w:w="200" w:type="dxa"/>
                      </w:tcPr>
                      <w:p>
                        <w:pPr/>
                      </w:p>
                    </w:tc>
                    <w:tc>
                      <w:tcPr>
                        <w:tcW w:w="960" w:type="dxa"/>
                        <w:tcBorders>
                          <w:bottom w:val="single" w:sz="4" w:space="0" w:color="231F20"/>
                        </w:tcBorders>
                      </w:tcPr>
                      <w:p>
                        <w:pPr>
                          <w:pStyle w:val="TableParagraph"/>
                          <w:spacing w:line="177" w:lineRule="exact"/>
                          <w:ind w:right="157"/>
                          <w:rPr>
                            <w:sz w:val="16"/>
                          </w:rPr>
                        </w:pPr>
                        <w:r>
                          <w:rPr>
                            <w:color w:val="231F20"/>
                            <w:sz w:val="16"/>
                          </w:rPr>
                          <w:t>—</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Fuel and oil expense, non-GAAP </w:t>
                        </w:r>
                        <w:r>
                          <w:rPr>
                            <w:color w:val="231F20"/>
                            <w:sz w:val="16"/>
                          </w:rPr>
                          <w:t>. . . . . . . . . . . . . . . . . . . . . . . . . . . . . . . . . . . . . . . . . . . . </w:t>
                        </w:r>
                      </w:p>
                    </w:tc>
                    <w:tc>
                      <w:tcPr>
                        <w:tcW w:w="1040" w:type="dxa"/>
                        <w:tcBorders>
                          <w:top w:val="single" w:sz="4" w:space="0" w:color="231F20"/>
                          <w:bottom w:val="single" w:sz="4" w:space="0" w:color="231F20"/>
                        </w:tcBorders>
                      </w:tcPr>
                      <w:p>
                        <w:pPr>
                          <w:pStyle w:val="TableParagraph"/>
                          <w:tabs>
                            <w:tab w:pos="519" w:val="left" w:leader="none"/>
                          </w:tabs>
                          <w:spacing w:before="30"/>
                          <w:ind w:right="77"/>
                          <w:rPr>
                            <w:sz w:val="16"/>
                          </w:rPr>
                        </w:pPr>
                        <w:r>
                          <w:rPr>
                            <w:color w:val="231F20"/>
                            <w:sz w:val="16"/>
                          </w:rPr>
                          <w:t>$</w:t>
                          <w:tab/>
                        </w:r>
                        <w:r>
                          <w:rPr>
                            <w:color w:val="231F20"/>
                            <w:spacing w:val="-1"/>
                            <w:sz w:val="16"/>
                          </w:rPr>
                          <w:t>6,088</w:t>
                        </w:r>
                      </w:p>
                    </w:tc>
                    <w:tc>
                      <w:tcPr>
                        <w:tcW w:w="200" w:type="dxa"/>
                      </w:tcPr>
                      <w:p>
                        <w:pPr/>
                      </w:p>
                    </w:tc>
                    <w:tc>
                      <w:tcPr>
                        <w:tcW w:w="960" w:type="dxa"/>
                        <w:tcBorders>
                          <w:top w:val="single" w:sz="4" w:space="0" w:color="231F20"/>
                          <w:bottom w:val="single" w:sz="4" w:space="0" w:color="231F20"/>
                        </w:tcBorders>
                      </w:tcPr>
                      <w:p>
                        <w:pPr>
                          <w:pStyle w:val="TableParagraph"/>
                          <w:tabs>
                            <w:tab w:pos="519" w:val="left" w:leader="none"/>
                          </w:tabs>
                          <w:spacing w:before="30"/>
                          <w:ind w:right="77"/>
                          <w:rPr>
                            <w:sz w:val="16"/>
                          </w:rPr>
                        </w:pPr>
                        <w:r>
                          <w:rPr>
                            <w:color w:val="231F20"/>
                            <w:sz w:val="16"/>
                          </w:rPr>
                          <w:t>$</w:t>
                          <w:tab/>
                        </w:r>
                        <w:r>
                          <w:rPr>
                            <w:color w:val="231F20"/>
                            <w:spacing w:val="-1"/>
                            <w:sz w:val="16"/>
                          </w:rPr>
                          <w:t>5,644</w:t>
                        </w:r>
                      </w:p>
                    </w:tc>
                    <w:tc>
                      <w:tcPr>
                        <w:tcW w:w="160" w:type="dxa"/>
                      </w:tcPr>
                      <w:p>
                        <w:pPr/>
                      </w:p>
                    </w:tc>
                    <w:tc>
                      <w:tcPr>
                        <w:tcW w:w="885" w:type="dxa"/>
                      </w:tcPr>
                      <w:p>
                        <w:pPr>
                          <w:pStyle w:val="TableParagraph"/>
                          <w:spacing w:before="35"/>
                          <w:ind w:right="166"/>
                          <w:rPr>
                            <w:sz w:val="16"/>
                          </w:rPr>
                        </w:pPr>
                        <w:r>
                          <w:rPr>
                            <w:color w:val="231F20"/>
                            <w:sz w:val="16"/>
                          </w:rPr>
                          <w:t>7.9%</w:t>
                        </w:r>
                      </w:p>
                    </w:tc>
                  </w:tr>
                  <w:tr>
                    <w:trPr>
                      <w:trHeight w:val="343" w:hRule="exact"/>
                    </w:trPr>
                    <w:tc>
                      <w:tcPr>
                        <w:tcW w:w="5925" w:type="dxa"/>
                      </w:tcPr>
                      <w:p>
                        <w:pPr>
                          <w:pStyle w:val="TableParagraph"/>
                          <w:spacing w:before="155"/>
                          <w:ind w:left="50"/>
                          <w:jc w:val="left"/>
                          <w:rPr>
                            <w:sz w:val="16"/>
                          </w:rPr>
                        </w:pPr>
                        <w:r>
                          <w:rPr>
                            <w:b/>
                            <w:color w:val="231F20"/>
                            <w:sz w:val="16"/>
                          </w:rPr>
                          <w:t>Total operating expenses, as reported </w:t>
                        </w:r>
                        <w:r>
                          <w:rPr>
                            <w:color w:val="231F20"/>
                            <w:sz w:val="16"/>
                          </w:rPr>
                          <w:t>. . . . . . . . . . . . . . . . . . . . . . . . . . . . . . . . . . . . . . . . </w:t>
                        </w:r>
                      </w:p>
                    </w:tc>
                    <w:tc>
                      <w:tcPr>
                        <w:tcW w:w="1040" w:type="dxa"/>
                        <w:tcBorders>
                          <w:top w:val="single" w:sz="4" w:space="0" w:color="231F20"/>
                        </w:tcBorders>
                      </w:tcPr>
                      <w:p>
                        <w:pPr>
                          <w:pStyle w:val="TableParagraph"/>
                          <w:tabs>
                            <w:tab w:pos="439" w:val="left" w:leader="none"/>
                          </w:tabs>
                          <w:spacing w:before="150"/>
                          <w:ind w:right="77"/>
                          <w:rPr>
                            <w:sz w:val="16"/>
                          </w:rPr>
                        </w:pPr>
                        <w:r>
                          <w:rPr>
                            <w:color w:val="231F20"/>
                            <w:sz w:val="16"/>
                          </w:rPr>
                          <w:t>$</w:t>
                          <w:tab/>
                        </w:r>
                        <w:r>
                          <w:rPr>
                            <w:color w:val="231F20"/>
                            <w:spacing w:val="-1"/>
                            <w:sz w:val="16"/>
                          </w:rPr>
                          <w:t>16,465</w:t>
                        </w:r>
                      </w:p>
                    </w:tc>
                    <w:tc>
                      <w:tcPr>
                        <w:tcW w:w="200" w:type="dxa"/>
                      </w:tcPr>
                      <w:p>
                        <w:pPr/>
                      </w:p>
                    </w:tc>
                    <w:tc>
                      <w:tcPr>
                        <w:tcW w:w="960" w:type="dxa"/>
                        <w:tcBorders>
                          <w:top w:val="single" w:sz="4" w:space="0" w:color="231F20"/>
                        </w:tcBorders>
                      </w:tcPr>
                      <w:p>
                        <w:pPr>
                          <w:pStyle w:val="TableParagraph"/>
                          <w:tabs>
                            <w:tab w:pos="439" w:val="left" w:leader="none"/>
                          </w:tabs>
                          <w:spacing w:before="150"/>
                          <w:ind w:right="77"/>
                          <w:rPr>
                            <w:sz w:val="16"/>
                          </w:rPr>
                        </w:pPr>
                        <w:r>
                          <w:rPr>
                            <w:color w:val="231F20"/>
                            <w:sz w:val="16"/>
                          </w:rPr>
                          <w:t>$</w:t>
                          <w:tab/>
                        </w:r>
                        <w:r>
                          <w:rPr>
                            <w:color w:val="231F20"/>
                            <w:spacing w:val="-1"/>
                            <w:sz w:val="16"/>
                          </w:rPr>
                          <w:t>14,965</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Add (Deduct): Reclassification between Fuel and oil and Other (gains) losses, net,</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8"/>
                          <w:rPr>
                            <w:sz w:val="16"/>
                          </w:rPr>
                        </w:pPr>
                        <w:r>
                          <w:rPr>
                            <w:color w:val="231F20"/>
                            <w:sz w:val="16"/>
                          </w:rPr>
                          <w:t>associated with current period settled contracts  . . . . . . . . . . . . . . . . . . . . . . . . . . . . . . . . </w:t>
                        </w:r>
                      </w:p>
                    </w:tc>
                    <w:tc>
                      <w:tcPr>
                        <w:tcW w:w="1040" w:type="dxa"/>
                      </w:tcPr>
                      <w:p>
                        <w:pPr>
                          <w:pStyle w:val="TableParagraph"/>
                          <w:spacing w:line="178" w:lineRule="exact"/>
                          <w:ind w:right="24"/>
                          <w:rPr>
                            <w:sz w:val="16"/>
                          </w:rPr>
                        </w:pPr>
                        <w:r>
                          <w:rPr>
                            <w:color w:val="231F20"/>
                            <w:sz w:val="16"/>
                          </w:rPr>
                          <w:t>(42)</w:t>
                        </w:r>
                      </w:p>
                    </w:tc>
                    <w:tc>
                      <w:tcPr>
                        <w:tcW w:w="200" w:type="dxa"/>
                      </w:tcPr>
                      <w:p>
                        <w:pPr/>
                      </w:p>
                    </w:tc>
                    <w:tc>
                      <w:tcPr>
                        <w:tcW w:w="960" w:type="dxa"/>
                      </w:tcPr>
                      <w:p>
                        <w:pPr>
                          <w:pStyle w:val="TableParagraph"/>
                          <w:spacing w:line="178" w:lineRule="exact"/>
                          <w:ind w:right="77"/>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(Deduct): Contracts settling in the current period, but for which gains and/or (losses)</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8"/>
                          <w:rPr>
                            <w:sz w:val="16"/>
                          </w:rPr>
                        </w:pPr>
                        <w:r>
                          <w:rPr>
                            <w:color w:val="231F20"/>
                            <w:sz w:val="16"/>
                          </w:rPr>
                          <w:t>have been recognized in a prior period* . . . . . . . . . . . . . . . . . . . . . . . . . . . . . . . . . . . . . . </w:t>
                        </w:r>
                      </w:p>
                    </w:tc>
                    <w:tc>
                      <w:tcPr>
                        <w:tcW w:w="1040" w:type="dxa"/>
                      </w:tcPr>
                      <w:p>
                        <w:pPr>
                          <w:pStyle w:val="TableParagraph"/>
                          <w:spacing w:line="178" w:lineRule="exact"/>
                          <w:ind w:right="77"/>
                          <w:rPr>
                            <w:sz w:val="16"/>
                          </w:rPr>
                        </w:pPr>
                        <w:r>
                          <w:rPr>
                            <w:color w:val="231F20"/>
                            <w:sz w:val="16"/>
                          </w:rPr>
                          <w:t>10</w:t>
                        </w:r>
                      </w:p>
                    </w:tc>
                    <w:tc>
                      <w:tcPr>
                        <w:tcW w:w="200" w:type="dxa"/>
                      </w:tcPr>
                      <w:p>
                        <w:pPr/>
                      </w:p>
                    </w:tc>
                    <w:tc>
                      <w:tcPr>
                        <w:tcW w:w="960" w:type="dxa"/>
                      </w:tcPr>
                      <w:p>
                        <w:pPr>
                          <w:pStyle w:val="TableParagraph"/>
                          <w:spacing w:line="178" w:lineRule="exact"/>
                          <w:ind w:right="24"/>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Deduct: Acquisition and integration costs, net (a)  . . . . . . . . . . . . . . . . . . . . . . . . . . . . . . . . </w:t>
                        </w:r>
                      </w:p>
                    </w:tc>
                    <w:tc>
                      <w:tcPr>
                        <w:tcW w:w="1040" w:type="dxa"/>
                      </w:tcPr>
                      <w:p>
                        <w:pPr>
                          <w:pStyle w:val="TableParagraph"/>
                          <w:spacing w:line="178" w:lineRule="exact"/>
                          <w:ind w:right="24"/>
                          <w:rPr>
                            <w:sz w:val="16"/>
                          </w:rPr>
                        </w:pPr>
                        <w:r>
                          <w:rPr>
                            <w:color w:val="231F20"/>
                            <w:sz w:val="16"/>
                          </w:rPr>
                          <w:t>(183)</w:t>
                        </w:r>
                      </w:p>
                    </w:tc>
                    <w:tc>
                      <w:tcPr>
                        <w:tcW w:w="200" w:type="dxa"/>
                      </w:tcPr>
                      <w:p>
                        <w:pPr/>
                      </w:p>
                    </w:tc>
                    <w:tc>
                      <w:tcPr>
                        <w:tcW w:w="960" w:type="dxa"/>
                      </w:tcPr>
                      <w:p>
                        <w:pPr>
                          <w:pStyle w:val="TableParagraph"/>
                          <w:spacing w:line="178" w:lineRule="exact"/>
                          <w:ind w:right="24"/>
                          <w:rPr>
                            <w:sz w:val="16"/>
                          </w:rPr>
                        </w:pPr>
                        <w:r>
                          <w:rPr>
                            <w:color w:val="231F20"/>
                            <w:sz w:val="16"/>
                          </w:rPr>
                          <w:t>(132)</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Deduct: Asset impairment, net of profitsharing  . . . . . . . . . . . . . . . . . . . . . . . . . . . . . . . . . . </w:t>
                        </w:r>
                      </w:p>
                    </w:tc>
                    <w:tc>
                      <w:tcPr>
                        <w:tcW w:w="1040" w:type="dxa"/>
                        <w:tcBorders>
                          <w:bottom w:val="single" w:sz="4" w:space="0" w:color="231F20"/>
                        </w:tcBorders>
                      </w:tcPr>
                      <w:p>
                        <w:pPr>
                          <w:pStyle w:val="TableParagraph"/>
                          <w:spacing w:line="178" w:lineRule="exact"/>
                          <w:ind w:right="157"/>
                          <w:rPr>
                            <w:sz w:val="16"/>
                          </w:rPr>
                        </w:pPr>
                        <w:r>
                          <w:rPr>
                            <w:color w:val="231F20"/>
                            <w:sz w:val="16"/>
                          </w:rPr>
                          <w:t>—</w:t>
                        </w:r>
                      </w:p>
                    </w:tc>
                    <w:tc>
                      <w:tcPr>
                        <w:tcW w:w="200" w:type="dxa"/>
                      </w:tcPr>
                      <w:p>
                        <w:pPr/>
                      </w:p>
                    </w:tc>
                    <w:tc>
                      <w:tcPr>
                        <w:tcW w:w="960" w:type="dxa"/>
                        <w:tcBorders>
                          <w:bottom w:val="single" w:sz="4" w:space="0" w:color="231F20"/>
                        </w:tcBorders>
                      </w:tcPr>
                      <w:p>
                        <w:pPr>
                          <w:pStyle w:val="TableParagraph"/>
                          <w:spacing w:line="178" w:lineRule="exact"/>
                          <w:ind w:right="24"/>
                          <w:rPr>
                            <w:sz w:val="16"/>
                          </w:rPr>
                        </w:pPr>
                        <w:r>
                          <w:rPr>
                            <w:color w:val="231F20"/>
                            <w:sz w:val="16"/>
                          </w:rPr>
                          <w:t>(14)</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Total operating expenses, non-GAAP </w:t>
                        </w:r>
                        <w:r>
                          <w:rPr>
                            <w:color w:val="231F20"/>
                            <w:sz w:val="16"/>
                          </w:rPr>
                          <w:t>. . . . . . . . . . . . . . . . . . . . . . . . . . . . . . . . . . . . . . . . </w:t>
                        </w:r>
                      </w:p>
                    </w:tc>
                    <w:tc>
                      <w:tcPr>
                        <w:tcW w:w="1040" w:type="dxa"/>
                        <w:tcBorders>
                          <w:top w:val="single" w:sz="4" w:space="0" w:color="231F20"/>
                          <w:bottom w:val="single" w:sz="4" w:space="0" w:color="231F20"/>
                        </w:tcBorders>
                      </w:tcPr>
                      <w:p>
                        <w:pPr>
                          <w:pStyle w:val="TableParagraph"/>
                          <w:tabs>
                            <w:tab w:pos="439" w:val="left" w:leader="none"/>
                          </w:tabs>
                          <w:spacing w:before="30"/>
                          <w:ind w:right="77"/>
                          <w:rPr>
                            <w:sz w:val="16"/>
                          </w:rPr>
                        </w:pPr>
                        <w:r>
                          <w:rPr>
                            <w:color w:val="231F20"/>
                            <w:sz w:val="16"/>
                          </w:rPr>
                          <w:t>$</w:t>
                          <w:tab/>
                        </w:r>
                        <w:r>
                          <w:rPr>
                            <w:color w:val="231F20"/>
                            <w:spacing w:val="-1"/>
                            <w:sz w:val="16"/>
                          </w:rPr>
                          <w:t>16,250</w:t>
                        </w:r>
                      </w:p>
                    </w:tc>
                    <w:tc>
                      <w:tcPr>
                        <w:tcW w:w="200" w:type="dxa"/>
                      </w:tcPr>
                      <w:p>
                        <w:pPr/>
                      </w:p>
                    </w:tc>
                    <w:tc>
                      <w:tcPr>
                        <w:tcW w:w="960" w:type="dxa"/>
                        <w:tcBorders>
                          <w:top w:val="single" w:sz="4" w:space="0" w:color="231F20"/>
                          <w:bottom w:val="single" w:sz="4" w:space="0" w:color="231F20"/>
                        </w:tcBorders>
                      </w:tcPr>
                      <w:p>
                        <w:pPr>
                          <w:pStyle w:val="TableParagraph"/>
                          <w:tabs>
                            <w:tab w:pos="439" w:val="left" w:leader="none"/>
                          </w:tabs>
                          <w:spacing w:before="30"/>
                          <w:ind w:right="77"/>
                          <w:rPr>
                            <w:sz w:val="16"/>
                          </w:rPr>
                        </w:pPr>
                        <w:r>
                          <w:rPr>
                            <w:color w:val="231F20"/>
                            <w:sz w:val="16"/>
                          </w:rPr>
                          <w:t>$</w:t>
                          <w:tab/>
                        </w:r>
                        <w:r>
                          <w:rPr>
                            <w:color w:val="231F20"/>
                            <w:spacing w:val="-1"/>
                            <w:sz w:val="16"/>
                          </w:rPr>
                          <w:t>14,819</w:t>
                        </w:r>
                      </w:p>
                    </w:tc>
                    <w:tc>
                      <w:tcPr>
                        <w:tcW w:w="160" w:type="dxa"/>
                      </w:tcPr>
                      <w:p>
                        <w:pPr/>
                      </w:p>
                    </w:tc>
                    <w:tc>
                      <w:tcPr>
                        <w:tcW w:w="885" w:type="dxa"/>
                      </w:tcPr>
                      <w:p>
                        <w:pPr>
                          <w:pStyle w:val="TableParagraph"/>
                          <w:spacing w:before="35"/>
                          <w:ind w:right="166"/>
                          <w:rPr>
                            <w:sz w:val="16"/>
                          </w:rPr>
                        </w:pPr>
                        <w:r>
                          <w:rPr>
                            <w:color w:val="231F20"/>
                            <w:sz w:val="16"/>
                          </w:rPr>
                          <w:t>9.7%</w:t>
                        </w:r>
                      </w:p>
                    </w:tc>
                  </w:tr>
                  <w:tr>
                    <w:trPr>
                      <w:trHeight w:val="343" w:hRule="exact"/>
                    </w:trPr>
                    <w:tc>
                      <w:tcPr>
                        <w:tcW w:w="5925" w:type="dxa"/>
                      </w:tcPr>
                      <w:p>
                        <w:pPr>
                          <w:pStyle w:val="TableParagraph"/>
                          <w:spacing w:before="155"/>
                          <w:ind w:left="50"/>
                          <w:jc w:val="left"/>
                          <w:rPr>
                            <w:sz w:val="16"/>
                          </w:rPr>
                        </w:pPr>
                        <w:r>
                          <w:rPr>
                            <w:b/>
                            <w:color w:val="231F20"/>
                            <w:sz w:val="16"/>
                          </w:rPr>
                          <w:t>Operating income, as reported   </w:t>
                        </w:r>
                        <w:r>
                          <w:rPr>
                            <w:color w:val="231F20"/>
                            <w:sz w:val="16"/>
                          </w:rPr>
                          <w:t>. . . . . . . . . . . . . . . . . . . . . . . . . . . . . . . . . . . . . . . . . . . . . </w:t>
                        </w:r>
                      </w:p>
                    </w:tc>
                    <w:tc>
                      <w:tcPr>
                        <w:tcW w:w="1040" w:type="dxa"/>
                        <w:tcBorders>
                          <w:top w:val="single" w:sz="4" w:space="0" w:color="231F20"/>
                        </w:tcBorders>
                      </w:tcPr>
                      <w:p>
                        <w:pPr>
                          <w:pStyle w:val="TableParagraph"/>
                          <w:tabs>
                            <w:tab w:pos="639" w:val="left" w:leader="none"/>
                          </w:tabs>
                          <w:spacing w:before="150"/>
                          <w:ind w:right="77"/>
                          <w:rPr>
                            <w:sz w:val="16"/>
                          </w:rPr>
                        </w:pPr>
                        <w:r>
                          <w:rPr>
                            <w:color w:val="231F20"/>
                            <w:sz w:val="16"/>
                          </w:rPr>
                          <w:t>$</w:t>
                          <w:tab/>
                        </w:r>
                        <w:r>
                          <w:rPr>
                            <w:color w:val="231F20"/>
                            <w:spacing w:val="-1"/>
                            <w:sz w:val="16"/>
                          </w:rPr>
                          <w:t>623</w:t>
                        </w:r>
                      </w:p>
                    </w:tc>
                    <w:tc>
                      <w:tcPr>
                        <w:tcW w:w="200" w:type="dxa"/>
                      </w:tcPr>
                      <w:p>
                        <w:pPr/>
                      </w:p>
                    </w:tc>
                    <w:tc>
                      <w:tcPr>
                        <w:tcW w:w="960" w:type="dxa"/>
                        <w:tcBorders>
                          <w:top w:val="single" w:sz="4" w:space="0" w:color="231F20"/>
                        </w:tcBorders>
                      </w:tcPr>
                      <w:p>
                        <w:pPr>
                          <w:pStyle w:val="TableParagraph"/>
                          <w:tabs>
                            <w:tab w:pos="639" w:val="left" w:leader="none"/>
                          </w:tabs>
                          <w:spacing w:before="150"/>
                          <w:ind w:right="77"/>
                          <w:rPr>
                            <w:sz w:val="16"/>
                          </w:rPr>
                        </w:pPr>
                        <w:r>
                          <w:rPr>
                            <w:color w:val="231F20"/>
                            <w:sz w:val="16"/>
                          </w:rPr>
                          <w:t>$</w:t>
                          <w:tab/>
                        </w:r>
                        <w:r>
                          <w:rPr>
                            <w:color w:val="231F20"/>
                            <w:spacing w:val="-1"/>
                            <w:sz w:val="16"/>
                          </w:rPr>
                          <w:t>693</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Add (Deduct): Reclassification between Fuel and oil and Other (gains) losses, net,</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8"/>
                          <w:rPr>
                            <w:sz w:val="16"/>
                          </w:rPr>
                        </w:pPr>
                        <w:r>
                          <w:rPr>
                            <w:color w:val="231F20"/>
                            <w:sz w:val="16"/>
                          </w:rPr>
                          <w:t>associated with current period settled contracts  . . . . . . . . . . . . . . . . . . . . . . . . . . . . . . . . </w:t>
                        </w:r>
                      </w:p>
                    </w:tc>
                    <w:tc>
                      <w:tcPr>
                        <w:tcW w:w="1040" w:type="dxa"/>
                      </w:tcPr>
                      <w:p>
                        <w:pPr>
                          <w:pStyle w:val="TableParagraph"/>
                          <w:spacing w:line="178" w:lineRule="exact"/>
                          <w:ind w:right="77"/>
                          <w:rPr>
                            <w:sz w:val="16"/>
                          </w:rPr>
                        </w:pPr>
                        <w:r>
                          <w:rPr>
                            <w:color w:val="231F20"/>
                            <w:sz w:val="16"/>
                          </w:rPr>
                          <w:t>42</w:t>
                        </w:r>
                      </w:p>
                    </w:tc>
                    <w:tc>
                      <w:tcPr>
                        <w:tcW w:w="200" w:type="dxa"/>
                      </w:tcPr>
                      <w:p>
                        <w:pPr/>
                      </w:p>
                    </w:tc>
                    <w:tc>
                      <w:tcPr>
                        <w:tcW w:w="960" w:type="dxa"/>
                      </w:tcPr>
                      <w:p>
                        <w:pPr>
                          <w:pStyle w:val="TableParagraph"/>
                          <w:spacing w:line="178" w:lineRule="exact"/>
                          <w:ind w:right="24"/>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(Deduct): Contracts settling in the current period, but for which gains and/or (losses)</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8"/>
                          <w:rPr>
                            <w:sz w:val="16"/>
                          </w:rPr>
                        </w:pPr>
                        <w:r>
                          <w:rPr>
                            <w:color w:val="231F20"/>
                            <w:sz w:val="16"/>
                          </w:rPr>
                          <w:t>have been recognized in a prior period* . . . . . . . . . . . . . . . . . . . . . . . . . . . . . . . . . . . . . . </w:t>
                        </w:r>
                      </w:p>
                    </w:tc>
                    <w:tc>
                      <w:tcPr>
                        <w:tcW w:w="1040" w:type="dxa"/>
                      </w:tcPr>
                      <w:p>
                        <w:pPr>
                          <w:pStyle w:val="TableParagraph"/>
                          <w:spacing w:line="178" w:lineRule="exact"/>
                          <w:ind w:right="24"/>
                          <w:rPr>
                            <w:sz w:val="16"/>
                          </w:rPr>
                        </w:pPr>
                        <w:r>
                          <w:rPr>
                            <w:color w:val="231F20"/>
                            <w:sz w:val="16"/>
                          </w:rPr>
                          <w:t>(10)</w:t>
                        </w:r>
                      </w:p>
                    </w:tc>
                    <w:tc>
                      <w:tcPr>
                        <w:tcW w:w="200" w:type="dxa"/>
                      </w:tcPr>
                      <w:p>
                        <w:pPr/>
                      </w:p>
                    </w:tc>
                    <w:tc>
                      <w:tcPr>
                        <w:tcW w:w="960" w:type="dxa"/>
                      </w:tcPr>
                      <w:p>
                        <w:pPr>
                          <w:pStyle w:val="TableParagraph"/>
                          <w:spacing w:line="178" w:lineRule="exact"/>
                          <w:ind w:right="77"/>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Acquisition and integration costs, net (a)   . . . . . . . . . . . . . . . . . . . . . . . . . . . . . . . . . . </w:t>
                        </w:r>
                      </w:p>
                    </w:tc>
                    <w:tc>
                      <w:tcPr>
                        <w:tcW w:w="1040" w:type="dxa"/>
                      </w:tcPr>
                      <w:p>
                        <w:pPr>
                          <w:pStyle w:val="TableParagraph"/>
                          <w:spacing w:line="178" w:lineRule="exact"/>
                          <w:ind w:right="77"/>
                          <w:rPr>
                            <w:sz w:val="16"/>
                          </w:rPr>
                        </w:pPr>
                        <w:r>
                          <w:rPr>
                            <w:color w:val="231F20"/>
                            <w:sz w:val="16"/>
                          </w:rPr>
                          <w:t>183</w:t>
                        </w:r>
                      </w:p>
                    </w:tc>
                    <w:tc>
                      <w:tcPr>
                        <w:tcW w:w="200" w:type="dxa"/>
                      </w:tcPr>
                      <w:p>
                        <w:pPr/>
                      </w:p>
                    </w:tc>
                    <w:tc>
                      <w:tcPr>
                        <w:tcW w:w="960" w:type="dxa"/>
                      </w:tcPr>
                      <w:p>
                        <w:pPr>
                          <w:pStyle w:val="TableParagraph"/>
                          <w:spacing w:line="178" w:lineRule="exact"/>
                          <w:ind w:right="77"/>
                          <w:rPr>
                            <w:sz w:val="16"/>
                          </w:rPr>
                        </w:pPr>
                        <w:r>
                          <w:rPr>
                            <w:color w:val="231F20"/>
                            <w:sz w:val="16"/>
                          </w:rPr>
                          <w:t>132</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Add: Asset impairment, net of profitsharing   . . . . . . . . . . . . . . . . . . . . . . . . . . . . . . . . . . . . </w:t>
                        </w:r>
                      </w:p>
                    </w:tc>
                    <w:tc>
                      <w:tcPr>
                        <w:tcW w:w="1040" w:type="dxa"/>
                        <w:tcBorders>
                          <w:bottom w:val="single" w:sz="4" w:space="0" w:color="231F20"/>
                        </w:tcBorders>
                      </w:tcPr>
                      <w:p>
                        <w:pPr>
                          <w:pStyle w:val="TableParagraph"/>
                          <w:spacing w:line="178" w:lineRule="exact"/>
                          <w:ind w:right="157"/>
                          <w:rPr>
                            <w:sz w:val="16"/>
                          </w:rPr>
                        </w:pPr>
                        <w:r>
                          <w:rPr>
                            <w:color w:val="231F20"/>
                            <w:sz w:val="16"/>
                          </w:rPr>
                          <w:t>—</w:t>
                        </w:r>
                      </w:p>
                    </w:tc>
                    <w:tc>
                      <w:tcPr>
                        <w:tcW w:w="200" w:type="dxa"/>
                      </w:tcPr>
                      <w:p>
                        <w:pPr/>
                      </w:p>
                    </w:tc>
                    <w:tc>
                      <w:tcPr>
                        <w:tcW w:w="960" w:type="dxa"/>
                        <w:tcBorders>
                          <w:bottom w:val="single" w:sz="4" w:space="0" w:color="231F20"/>
                        </w:tcBorders>
                      </w:tcPr>
                      <w:p>
                        <w:pPr>
                          <w:pStyle w:val="TableParagraph"/>
                          <w:spacing w:line="178" w:lineRule="exact"/>
                          <w:ind w:right="77"/>
                          <w:rPr>
                            <w:sz w:val="16"/>
                          </w:rPr>
                        </w:pPr>
                        <w:r>
                          <w:rPr>
                            <w:color w:val="231F20"/>
                            <w:sz w:val="16"/>
                          </w:rPr>
                          <w:t>14</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Operating income, non-GAAP </w:t>
                        </w:r>
                        <w:r>
                          <w:rPr>
                            <w:color w:val="231F20"/>
                            <w:sz w:val="16"/>
                          </w:rPr>
                          <w:t>. . . . . . . . . . . . . . . . . . . . . . . . . . . . . . . . . . . . . . . . . . . . . . </w:t>
                        </w:r>
                      </w:p>
                    </w:tc>
                    <w:tc>
                      <w:tcPr>
                        <w:tcW w:w="1040" w:type="dxa"/>
                        <w:tcBorders>
                          <w:top w:val="single" w:sz="4" w:space="0" w:color="231F20"/>
                          <w:bottom w:val="single" w:sz="4" w:space="0" w:color="231F20"/>
                        </w:tcBorders>
                      </w:tcPr>
                      <w:p>
                        <w:pPr>
                          <w:pStyle w:val="TableParagraph"/>
                          <w:tabs>
                            <w:tab w:pos="639" w:val="left" w:leader="none"/>
                          </w:tabs>
                          <w:spacing w:before="30"/>
                          <w:ind w:right="77"/>
                          <w:rPr>
                            <w:sz w:val="16"/>
                          </w:rPr>
                        </w:pPr>
                        <w:r>
                          <w:rPr>
                            <w:color w:val="231F20"/>
                            <w:sz w:val="16"/>
                          </w:rPr>
                          <w:t>$</w:t>
                          <w:tab/>
                        </w:r>
                        <w:r>
                          <w:rPr>
                            <w:color w:val="231F20"/>
                            <w:spacing w:val="-1"/>
                            <w:sz w:val="16"/>
                          </w:rPr>
                          <w:t>838</w:t>
                        </w:r>
                      </w:p>
                    </w:tc>
                    <w:tc>
                      <w:tcPr>
                        <w:tcW w:w="200" w:type="dxa"/>
                      </w:tcPr>
                      <w:p>
                        <w:pPr/>
                      </w:p>
                    </w:tc>
                    <w:tc>
                      <w:tcPr>
                        <w:tcW w:w="960" w:type="dxa"/>
                        <w:tcBorders>
                          <w:top w:val="single" w:sz="4" w:space="0" w:color="231F20"/>
                          <w:bottom w:val="single" w:sz="4" w:space="0" w:color="231F20"/>
                        </w:tcBorders>
                      </w:tcPr>
                      <w:p>
                        <w:pPr>
                          <w:pStyle w:val="TableParagraph"/>
                          <w:tabs>
                            <w:tab w:pos="639" w:val="left" w:leader="none"/>
                          </w:tabs>
                          <w:spacing w:before="30"/>
                          <w:ind w:right="77"/>
                          <w:rPr>
                            <w:sz w:val="16"/>
                          </w:rPr>
                        </w:pPr>
                        <w:r>
                          <w:rPr>
                            <w:color w:val="231F20"/>
                            <w:sz w:val="16"/>
                          </w:rPr>
                          <w:t>$</w:t>
                          <w:tab/>
                        </w:r>
                        <w:r>
                          <w:rPr>
                            <w:color w:val="231F20"/>
                            <w:spacing w:val="-1"/>
                            <w:sz w:val="16"/>
                          </w:rPr>
                          <w:t>839</w:t>
                        </w:r>
                      </w:p>
                    </w:tc>
                    <w:tc>
                      <w:tcPr>
                        <w:tcW w:w="160" w:type="dxa"/>
                      </w:tcPr>
                      <w:p>
                        <w:pPr/>
                      </w:p>
                    </w:tc>
                    <w:tc>
                      <w:tcPr>
                        <w:tcW w:w="885" w:type="dxa"/>
                      </w:tcPr>
                      <w:p>
                        <w:pPr>
                          <w:pStyle w:val="TableParagraph"/>
                          <w:spacing w:before="35"/>
                          <w:ind w:right="113"/>
                          <w:rPr>
                            <w:sz w:val="16"/>
                          </w:rPr>
                        </w:pPr>
                        <w:r>
                          <w:rPr>
                            <w:color w:val="231F20"/>
                            <w:sz w:val="16"/>
                          </w:rPr>
                          <w:t>(0.1)%</w:t>
                        </w:r>
                      </w:p>
                    </w:tc>
                  </w:tr>
                  <w:tr>
                    <w:trPr>
                      <w:trHeight w:val="343" w:hRule="exact"/>
                    </w:trPr>
                    <w:tc>
                      <w:tcPr>
                        <w:tcW w:w="5925" w:type="dxa"/>
                      </w:tcPr>
                      <w:p>
                        <w:pPr>
                          <w:pStyle w:val="TableParagraph"/>
                          <w:spacing w:before="155"/>
                          <w:ind w:left="50"/>
                          <w:jc w:val="left"/>
                          <w:rPr>
                            <w:sz w:val="16"/>
                          </w:rPr>
                        </w:pPr>
                        <w:r>
                          <w:rPr>
                            <w:b/>
                            <w:color w:val="231F20"/>
                            <w:sz w:val="16"/>
                          </w:rPr>
                          <w:t>Net income, as reported  </w:t>
                        </w:r>
                        <w:r>
                          <w:rPr>
                            <w:color w:val="231F20"/>
                            <w:sz w:val="16"/>
                          </w:rPr>
                          <w:t>. . . . . . . . . . . . . . . . . . . . . . . . . . . . . . . . . . . . . . . . . . . . . . . . . . . </w:t>
                        </w:r>
                      </w:p>
                    </w:tc>
                    <w:tc>
                      <w:tcPr>
                        <w:tcW w:w="1040" w:type="dxa"/>
                        <w:tcBorders>
                          <w:top w:val="single" w:sz="4" w:space="0" w:color="231F20"/>
                        </w:tcBorders>
                      </w:tcPr>
                      <w:p>
                        <w:pPr>
                          <w:pStyle w:val="TableParagraph"/>
                          <w:tabs>
                            <w:tab w:pos="639" w:val="left" w:leader="none"/>
                          </w:tabs>
                          <w:spacing w:before="150"/>
                          <w:ind w:right="77"/>
                          <w:rPr>
                            <w:sz w:val="16"/>
                          </w:rPr>
                        </w:pPr>
                        <w:r>
                          <w:rPr>
                            <w:color w:val="231F20"/>
                            <w:sz w:val="16"/>
                          </w:rPr>
                          <w:t>$</w:t>
                          <w:tab/>
                        </w:r>
                        <w:r>
                          <w:rPr>
                            <w:color w:val="231F20"/>
                            <w:spacing w:val="-1"/>
                            <w:sz w:val="16"/>
                          </w:rPr>
                          <w:t>421</w:t>
                        </w:r>
                      </w:p>
                    </w:tc>
                    <w:tc>
                      <w:tcPr>
                        <w:tcW w:w="200" w:type="dxa"/>
                      </w:tcPr>
                      <w:p>
                        <w:pPr/>
                      </w:p>
                    </w:tc>
                    <w:tc>
                      <w:tcPr>
                        <w:tcW w:w="960" w:type="dxa"/>
                        <w:tcBorders>
                          <w:top w:val="single" w:sz="4" w:space="0" w:color="231F20"/>
                        </w:tcBorders>
                      </w:tcPr>
                      <w:p>
                        <w:pPr>
                          <w:pStyle w:val="TableParagraph"/>
                          <w:tabs>
                            <w:tab w:pos="639" w:val="left" w:leader="none"/>
                          </w:tabs>
                          <w:spacing w:before="150"/>
                          <w:ind w:right="77"/>
                          <w:rPr>
                            <w:sz w:val="16"/>
                          </w:rPr>
                        </w:pPr>
                        <w:r>
                          <w:rPr>
                            <w:color w:val="231F20"/>
                            <w:sz w:val="16"/>
                          </w:rPr>
                          <w:t>$</w:t>
                          <w:tab/>
                        </w:r>
                        <w:r>
                          <w:rPr>
                            <w:color w:val="231F20"/>
                            <w:spacing w:val="-1"/>
                            <w:sz w:val="16"/>
                          </w:rPr>
                          <w:t>178</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Add (Deduct): Mark-to-market impact from fuel contracts settling in future periods  . . . . . </w:t>
                        </w:r>
                      </w:p>
                    </w:tc>
                    <w:tc>
                      <w:tcPr>
                        <w:tcW w:w="1040" w:type="dxa"/>
                      </w:tcPr>
                      <w:p>
                        <w:pPr>
                          <w:pStyle w:val="TableParagraph"/>
                          <w:spacing w:line="177" w:lineRule="exact"/>
                          <w:ind w:right="24"/>
                          <w:rPr>
                            <w:sz w:val="16"/>
                          </w:rPr>
                        </w:pPr>
                        <w:r>
                          <w:rPr>
                            <w:color w:val="231F20"/>
                            <w:sz w:val="16"/>
                          </w:rPr>
                          <w:t>(221)</w:t>
                        </w:r>
                      </w:p>
                    </w:tc>
                    <w:tc>
                      <w:tcPr>
                        <w:tcW w:w="200" w:type="dxa"/>
                      </w:tcPr>
                      <w:p>
                        <w:pPr/>
                      </w:p>
                    </w:tc>
                    <w:tc>
                      <w:tcPr>
                        <w:tcW w:w="960" w:type="dxa"/>
                      </w:tcPr>
                      <w:p>
                        <w:pPr>
                          <w:pStyle w:val="TableParagraph"/>
                          <w:spacing w:line="177" w:lineRule="exact"/>
                          <w:ind w:right="77"/>
                          <w:rPr>
                            <w:sz w:val="16"/>
                          </w:rPr>
                        </w:pPr>
                        <w:r>
                          <w:rPr>
                            <w:color w:val="231F20"/>
                            <w:sz w:val="16"/>
                          </w:rPr>
                          <w:t>21</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Ineffectiveness from fuel hedges settling in future periods . . . . . . . . . . . . . . . . . . . . . </w:t>
                        </w:r>
                      </w:p>
                    </w:tc>
                    <w:tc>
                      <w:tcPr>
                        <w:tcW w:w="1040" w:type="dxa"/>
                      </w:tcPr>
                      <w:p>
                        <w:pPr>
                          <w:pStyle w:val="TableParagraph"/>
                          <w:spacing w:line="178" w:lineRule="exact"/>
                          <w:ind w:right="77"/>
                          <w:rPr>
                            <w:sz w:val="16"/>
                          </w:rPr>
                        </w:pPr>
                        <w:r>
                          <w:rPr>
                            <w:color w:val="231F20"/>
                            <w:sz w:val="16"/>
                          </w:rPr>
                          <w:t>42</w:t>
                        </w:r>
                      </w:p>
                    </w:tc>
                    <w:tc>
                      <w:tcPr>
                        <w:tcW w:w="200" w:type="dxa"/>
                      </w:tcPr>
                      <w:p>
                        <w:pPr/>
                      </w:p>
                    </w:tc>
                    <w:tc>
                      <w:tcPr>
                        <w:tcW w:w="960" w:type="dxa"/>
                      </w:tcPr>
                      <w:p>
                        <w:pPr>
                          <w:pStyle w:val="TableParagraph"/>
                          <w:spacing w:line="178" w:lineRule="exact"/>
                          <w:ind w:right="77"/>
                          <w:rPr>
                            <w:sz w:val="16"/>
                          </w:rPr>
                        </w:pPr>
                        <w:r>
                          <w:rPr>
                            <w:color w:val="231F20"/>
                            <w:sz w:val="16"/>
                          </w:rPr>
                          <w:t>33</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(Deduct): Other net impact of fuel contracts settling in the current or a prior period</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9"/>
                          <w:rPr>
                            <w:sz w:val="16"/>
                          </w:rPr>
                        </w:pPr>
                        <w:r>
                          <w:rPr>
                            <w:color w:val="231F20"/>
                            <w:sz w:val="16"/>
                          </w:rPr>
                          <w:t>(excluding reclassifications)  . . . . . . . . . . . . . . . . . . . . . . . . . . . . . . . . . . . . . . . . . . . . . . . </w:t>
                        </w:r>
                      </w:p>
                    </w:tc>
                    <w:tc>
                      <w:tcPr>
                        <w:tcW w:w="1040" w:type="dxa"/>
                      </w:tcPr>
                      <w:p>
                        <w:pPr>
                          <w:pStyle w:val="TableParagraph"/>
                          <w:spacing w:line="178" w:lineRule="exact"/>
                          <w:ind w:right="24"/>
                          <w:rPr>
                            <w:sz w:val="16"/>
                          </w:rPr>
                        </w:pPr>
                        <w:r>
                          <w:rPr>
                            <w:color w:val="231F20"/>
                            <w:sz w:val="16"/>
                          </w:rPr>
                          <w:t>(10)</w:t>
                        </w:r>
                      </w:p>
                    </w:tc>
                    <w:tc>
                      <w:tcPr>
                        <w:tcW w:w="200" w:type="dxa"/>
                      </w:tcPr>
                      <w:p>
                        <w:pPr/>
                      </w:p>
                    </w:tc>
                    <w:tc>
                      <w:tcPr>
                        <w:tcW w:w="960" w:type="dxa"/>
                      </w:tcPr>
                      <w:p>
                        <w:pPr>
                          <w:pStyle w:val="TableParagraph"/>
                          <w:spacing w:line="178" w:lineRule="exact"/>
                          <w:ind w:right="77"/>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(Deduct): Income tax impact of fuel contracts  . . . . . . . . . . . . . . . . . . . . . . . . . . . . . . . </w:t>
                        </w:r>
                      </w:p>
                    </w:tc>
                    <w:tc>
                      <w:tcPr>
                        <w:tcW w:w="1040" w:type="dxa"/>
                      </w:tcPr>
                      <w:p>
                        <w:pPr>
                          <w:pStyle w:val="TableParagraph"/>
                          <w:spacing w:line="178" w:lineRule="exact"/>
                          <w:ind w:right="77"/>
                          <w:rPr>
                            <w:sz w:val="16"/>
                          </w:rPr>
                        </w:pPr>
                        <w:r>
                          <w:rPr>
                            <w:color w:val="231F20"/>
                            <w:sz w:val="16"/>
                          </w:rPr>
                          <w:t>73</w:t>
                        </w:r>
                      </w:p>
                    </w:tc>
                    <w:tc>
                      <w:tcPr>
                        <w:tcW w:w="200" w:type="dxa"/>
                      </w:tcPr>
                      <w:p>
                        <w:pPr/>
                      </w:p>
                    </w:tc>
                    <w:tc>
                      <w:tcPr>
                        <w:tcW w:w="960" w:type="dxa"/>
                      </w:tcPr>
                      <w:p>
                        <w:pPr>
                          <w:pStyle w:val="TableParagraph"/>
                          <w:spacing w:line="178" w:lineRule="exact"/>
                          <w:ind w:right="24"/>
                          <w:rPr>
                            <w:sz w:val="16"/>
                          </w:rPr>
                        </w:pPr>
                        <w:r>
                          <w:rPr>
                            <w:color w:val="231F20"/>
                            <w:sz w:val="16"/>
                          </w:rPr>
                          <w:t>(31)</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Acquisition and integration costs, net (b)   . . . . . . . . . . . . . . . . . . . . . . . . . . . . . . . . . . </w:t>
                        </w:r>
                      </w:p>
                    </w:tc>
                    <w:tc>
                      <w:tcPr>
                        <w:tcW w:w="1040" w:type="dxa"/>
                      </w:tcPr>
                      <w:p>
                        <w:pPr>
                          <w:pStyle w:val="TableParagraph"/>
                          <w:spacing w:line="178" w:lineRule="exact"/>
                          <w:ind w:right="77"/>
                          <w:rPr>
                            <w:sz w:val="16"/>
                          </w:rPr>
                        </w:pPr>
                        <w:r>
                          <w:rPr>
                            <w:color w:val="231F20"/>
                            <w:sz w:val="16"/>
                          </w:rPr>
                          <w:t>112</w:t>
                        </w:r>
                      </w:p>
                    </w:tc>
                    <w:tc>
                      <w:tcPr>
                        <w:tcW w:w="200" w:type="dxa"/>
                      </w:tcPr>
                      <w:p>
                        <w:pPr/>
                      </w:p>
                    </w:tc>
                    <w:tc>
                      <w:tcPr>
                        <w:tcW w:w="960" w:type="dxa"/>
                      </w:tcPr>
                      <w:p>
                        <w:pPr>
                          <w:pStyle w:val="TableParagraph"/>
                          <w:spacing w:line="178" w:lineRule="exact"/>
                          <w:ind w:right="77"/>
                          <w:rPr>
                            <w:sz w:val="16"/>
                          </w:rPr>
                        </w:pPr>
                        <w:r>
                          <w:rPr>
                            <w:color w:val="231F20"/>
                            <w:sz w:val="16"/>
                          </w:rPr>
                          <w:t>85</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Add: Asset impairment, net (b) . . . . . . . . . . . . . . . . . . . . . . . . . . . . . . . . . . . . . . . . . . . . . . . </w:t>
                        </w:r>
                      </w:p>
                    </w:tc>
                    <w:tc>
                      <w:tcPr>
                        <w:tcW w:w="1040" w:type="dxa"/>
                        <w:tcBorders>
                          <w:bottom w:val="single" w:sz="4" w:space="0" w:color="231F20"/>
                        </w:tcBorders>
                      </w:tcPr>
                      <w:p>
                        <w:pPr>
                          <w:pStyle w:val="TableParagraph"/>
                          <w:spacing w:line="178" w:lineRule="exact"/>
                          <w:ind w:right="157"/>
                          <w:rPr>
                            <w:sz w:val="16"/>
                          </w:rPr>
                        </w:pPr>
                        <w:r>
                          <w:rPr>
                            <w:color w:val="231F20"/>
                            <w:sz w:val="16"/>
                          </w:rPr>
                          <w:t>—</w:t>
                        </w:r>
                      </w:p>
                    </w:tc>
                    <w:tc>
                      <w:tcPr>
                        <w:tcW w:w="200" w:type="dxa"/>
                      </w:tcPr>
                      <w:p>
                        <w:pPr/>
                      </w:p>
                    </w:tc>
                    <w:tc>
                      <w:tcPr>
                        <w:tcW w:w="960" w:type="dxa"/>
                        <w:tcBorders>
                          <w:bottom w:val="single" w:sz="4" w:space="0" w:color="231F20"/>
                        </w:tcBorders>
                      </w:tcPr>
                      <w:p>
                        <w:pPr>
                          <w:pStyle w:val="TableParagraph"/>
                          <w:spacing w:line="178" w:lineRule="exact"/>
                          <w:ind w:right="77"/>
                          <w:rPr>
                            <w:sz w:val="16"/>
                          </w:rPr>
                        </w:pPr>
                        <w:r>
                          <w:rPr>
                            <w:color w:val="231F20"/>
                            <w:sz w:val="16"/>
                          </w:rPr>
                          <w:t>9</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Net income, non-GAAP   </w:t>
                        </w:r>
                        <w:r>
                          <w:rPr>
                            <w:color w:val="231F20"/>
                            <w:sz w:val="16"/>
                          </w:rPr>
                          <w:t>. . . . . . . . . . . . . . . . . . . . . . . . . . . . . . . . . . . . . . . . . . . . . . . . . . . </w:t>
                        </w:r>
                      </w:p>
                    </w:tc>
                    <w:tc>
                      <w:tcPr>
                        <w:tcW w:w="1040" w:type="dxa"/>
                        <w:tcBorders>
                          <w:top w:val="single" w:sz="4" w:space="0" w:color="231F20"/>
                          <w:bottom w:val="single" w:sz="4" w:space="0" w:color="231F20"/>
                        </w:tcBorders>
                      </w:tcPr>
                      <w:p>
                        <w:pPr>
                          <w:pStyle w:val="TableParagraph"/>
                          <w:tabs>
                            <w:tab w:pos="639" w:val="left" w:leader="none"/>
                          </w:tabs>
                          <w:spacing w:before="30"/>
                          <w:ind w:right="77"/>
                          <w:rPr>
                            <w:sz w:val="16"/>
                          </w:rPr>
                        </w:pPr>
                        <w:r>
                          <w:rPr>
                            <w:color w:val="231F20"/>
                            <w:sz w:val="16"/>
                          </w:rPr>
                          <w:t>$</w:t>
                          <w:tab/>
                        </w:r>
                        <w:r>
                          <w:rPr>
                            <w:color w:val="231F20"/>
                            <w:spacing w:val="-1"/>
                            <w:sz w:val="16"/>
                          </w:rPr>
                          <w:t>417</w:t>
                        </w:r>
                      </w:p>
                    </w:tc>
                    <w:tc>
                      <w:tcPr>
                        <w:tcW w:w="200" w:type="dxa"/>
                      </w:tcPr>
                      <w:p>
                        <w:pPr/>
                      </w:p>
                    </w:tc>
                    <w:tc>
                      <w:tcPr>
                        <w:tcW w:w="960" w:type="dxa"/>
                        <w:tcBorders>
                          <w:top w:val="single" w:sz="4" w:space="0" w:color="231F20"/>
                          <w:bottom w:val="single" w:sz="4" w:space="0" w:color="231F20"/>
                        </w:tcBorders>
                      </w:tcPr>
                      <w:p>
                        <w:pPr>
                          <w:pStyle w:val="TableParagraph"/>
                          <w:tabs>
                            <w:tab w:pos="639" w:val="left" w:leader="none"/>
                          </w:tabs>
                          <w:spacing w:before="30"/>
                          <w:ind w:right="77"/>
                          <w:rPr>
                            <w:sz w:val="16"/>
                          </w:rPr>
                        </w:pPr>
                        <w:r>
                          <w:rPr>
                            <w:color w:val="231F20"/>
                            <w:sz w:val="16"/>
                          </w:rPr>
                          <w:t>$</w:t>
                          <w:tab/>
                        </w:r>
                        <w:r>
                          <w:rPr>
                            <w:color w:val="231F20"/>
                            <w:spacing w:val="-1"/>
                            <w:sz w:val="16"/>
                          </w:rPr>
                          <w:t>330</w:t>
                        </w:r>
                      </w:p>
                    </w:tc>
                    <w:tc>
                      <w:tcPr>
                        <w:tcW w:w="160" w:type="dxa"/>
                      </w:tcPr>
                      <w:p>
                        <w:pPr/>
                      </w:p>
                    </w:tc>
                    <w:tc>
                      <w:tcPr>
                        <w:tcW w:w="885" w:type="dxa"/>
                      </w:tcPr>
                      <w:p>
                        <w:pPr>
                          <w:pStyle w:val="TableParagraph"/>
                          <w:spacing w:before="35"/>
                          <w:ind w:right="166"/>
                          <w:rPr>
                            <w:sz w:val="16"/>
                          </w:rPr>
                        </w:pPr>
                        <w:r>
                          <w:rPr>
                            <w:color w:val="231F20"/>
                            <w:sz w:val="16"/>
                          </w:rPr>
                          <w:t>26.4%</w:t>
                        </w:r>
                      </w:p>
                    </w:tc>
                  </w:tr>
                  <w:tr>
                    <w:trPr>
                      <w:trHeight w:val="223" w:hRule="exact"/>
                    </w:trPr>
                    <w:tc>
                      <w:tcPr>
                        <w:tcW w:w="5925" w:type="dxa"/>
                      </w:tcPr>
                      <w:p>
                        <w:pPr>
                          <w:pStyle w:val="TableParagraph"/>
                          <w:spacing w:before="35"/>
                          <w:ind w:left="50"/>
                          <w:jc w:val="left"/>
                          <w:rPr>
                            <w:sz w:val="16"/>
                          </w:rPr>
                        </w:pPr>
                        <w:r>
                          <w:rPr>
                            <w:b/>
                            <w:color w:val="231F20"/>
                            <w:sz w:val="16"/>
                          </w:rPr>
                          <w:t>Net income per share, diluted, as reported </w:t>
                        </w:r>
                        <w:r>
                          <w:rPr>
                            <w:color w:val="231F20"/>
                            <w:sz w:val="16"/>
                          </w:rPr>
                          <w:t>. . . . . . . . . . . . . . . . . . . . . . . . . . . . . . . . . . . . </w:t>
                        </w:r>
                      </w:p>
                    </w:tc>
                    <w:tc>
                      <w:tcPr>
                        <w:tcW w:w="1040" w:type="dxa"/>
                        <w:tcBorders>
                          <w:top w:val="single" w:sz="4" w:space="0" w:color="231F20"/>
                        </w:tcBorders>
                      </w:tcPr>
                      <w:p>
                        <w:pPr>
                          <w:pStyle w:val="TableParagraph"/>
                          <w:tabs>
                            <w:tab w:pos="599" w:val="left" w:leader="none"/>
                          </w:tabs>
                          <w:spacing w:before="30"/>
                          <w:ind w:right="77"/>
                          <w:rPr>
                            <w:sz w:val="16"/>
                          </w:rPr>
                        </w:pPr>
                        <w:r>
                          <w:rPr>
                            <w:color w:val="231F20"/>
                            <w:sz w:val="16"/>
                          </w:rPr>
                          <w:t>$</w:t>
                          <w:tab/>
                        </w:r>
                        <w:r>
                          <w:rPr>
                            <w:color w:val="231F20"/>
                            <w:spacing w:val="-1"/>
                            <w:sz w:val="16"/>
                          </w:rPr>
                          <w:t>0.56</w:t>
                        </w:r>
                      </w:p>
                    </w:tc>
                    <w:tc>
                      <w:tcPr>
                        <w:tcW w:w="200" w:type="dxa"/>
                      </w:tcPr>
                      <w:p>
                        <w:pPr/>
                      </w:p>
                    </w:tc>
                    <w:tc>
                      <w:tcPr>
                        <w:tcW w:w="960" w:type="dxa"/>
                        <w:tcBorders>
                          <w:top w:val="single" w:sz="4" w:space="0" w:color="231F20"/>
                        </w:tcBorders>
                      </w:tcPr>
                      <w:p>
                        <w:pPr>
                          <w:pStyle w:val="TableParagraph"/>
                          <w:tabs>
                            <w:tab w:pos="599" w:val="left" w:leader="none"/>
                          </w:tabs>
                          <w:spacing w:before="30"/>
                          <w:ind w:right="77"/>
                          <w:rPr>
                            <w:sz w:val="16"/>
                          </w:rPr>
                        </w:pPr>
                        <w:r>
                          <w:rPr>
                            <w:color w:val="231F20"/>
                            <w:sz w:val="16"/>
                          </w:rPr>
                          <w:t>$</w:t>
                          <w:tab/>
                        </w:r>
                        <w:r>
                          <w:rPr>
                            <w:color w:val="231F20"/>
                            <w:spacing w:val="-1"/>
                            <w:sz w:val="16"/>
                          </w:rPr>
                          <w:t>0.23</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Add (Deduct): Net impact from fuel contracts  . . . . . . . . . . . . . . . . . . . . . . . . . . . . . . . . . . . </w:t>
                        </w:r>
                      </w:p>
                    </w:tc>
                    <w:tc>
                      <w:tcPr>
                        <w:tcW w:w="1040" w:type="dxa"/>
                      </w:tcPr>
                      <w:p>
                        <w:pPr>
                          <w:pStyle w:val="TableParagraph"/>
                          <w:spacing w:line="177" w:lineRule="exact"/>
                          <w:ind w:right="24"/>
                          <w:rPr>
                            <w:sz w:val="16"/>
                          </w:rPr>
                        </w:pPr>
                        <w:r>
                          <w:rPr>
                            <w:color w:val="231F20"/>
                            <w:sz w:val="16"/>
                          </w:rPr>
                          <w:t>(0.15)</w:t>
                        </w:r>
                      </w:p>
                    </w:tc>
                    <w:tc>
                      <w:tcPr>
                        <w:tcW w:w="200" w:type="dxa"/>
                      </w:tcPr>
                      <w:p>
                        <w:pPr/>
                      </w:p>
                    </w:tc>
                    <w:tc>
                      <w:tcPr>
                        <w:tcW w:w="960" w:type="dxa"/>
                      </w:tcPr>
                      <w:p>
                        <w:pPr>
                          <w:pStyle w:val="TableParagraph"/>
                          <w:spacing w:line="177" w:lineRule="exact"/>
                          <w:ind w:right="77"/>
                          <w:rPr>
                            <w:sz w:val="16"/>
                          </w:rPr>
                        </w:pPr>
                        <w:r>
                          <w:rPr>
                            <w:color w:val="231F20"/>
                            <w:sz w:val="16"/>
                          </w:rPr>
                          <w:t>0.07</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Add: Impact of special items, net (b)  . . . . . . . . . . . . . . . . . . . . . . . . . . . . . . . . . . . . . . . . . . </w:t>
                        </w:r>
                      </w:p>
                    </w:tc>
                    <w:tc>
                      <w:tcPr>
                        <w:tcW w:w="1040" w:type="dxa"/>
                        <w:tcBorders>
                          <w:bottom w:val="single" w:sz="4" w:space="0" w:color="231F20"/>
                        </w:tcBorders>
                      </w:tcPr>
                      <w:p>
                        <w:pPr>
                          <w:pStyle w:val="TableParagraph"/>
                          <w:spacing w:line="178" w:lineRule="exact"/>
                          <w:ind w:right="77"/>
                          <w:rPr>
                            <w:sz w:val="16"/>
                          </w:rPr>
                        </w:pPr>
                        <w:r>
                          <w:rPr>
                            <w:color w:val="231F20"/>
                            <w:sz w:val="16"/>
                          </w:rPr>
                          <w:t>0.15</w:t>
                        </w:r>
                      </w:p>
                    </w:tc>
                    <w:tc>
                      <w:tcPr>
                        <w:tcW w:w="200" w:type="dxa"/>
                      </w:tcPr>
                      <w:p>
                        <w:pPr/>
                      </w:p>
                    </w:tc>
                    <w:tc>
                      <w:tcPr>
                        <w:tcW w:w="960" w:type="dxa"/>
                        <w:tcBorders>
                          <w:bottom w:val="single" w:sz="4" w:space="0" w:color="231F20"/>
                        </w:tcBorders>
                      </w:tcPr>
                      <w:p>
                        <w:pPr>
                          <w:pStyle w:val="TableParagraph"/>
                          <w:spacing w:line="178" w:lineRule="exact"/>
                          <w:ind w:right="77"/>
                          <w:rPr>
                            <w:sz w:val="16"/>
                          </w:rPr>
                        </w:pPr>
                        <w:r>
                          <w:rPr>
                            <w:color w:val="231F20"/>
                            <w:sz w:val="16"/>
                          </w:rPr>
                          <w:t>0.13</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Net income per share, diluted, non-GAAP </w:t>
                        </w:r>
                        <w:r>
                          <w:rPr>
                            <w:color w:val="231F20"/>
                            <w:sz w:val="16"/>
                          </w:rPr>
                          <w:t>. . . . . . . . . . . . . . . . . . . . . . . . . . . . . . . . . . . . </w:t>
                        </w:r>
                      </w:p>
                    </w:tc>
                    <w:tc>
                      <w:tcPr>
                        <w:tcW w:w="1040" w:type="dxa"/>
                        <w:tcBorders>
                          <w:top w:val="single" w:sz="4" w:space="0" w:color="231F20"/>
                          <w:bottom w:val="single" w:sz="4" w:space="0" w:color="231F20"/>
                        </w:tcBorders>
                      </w:tcPr>
                      <w:p>
                        <w:pPr>
                          <w:pStyle w:val="TableParagraph"/>
                          <w:tabs>
                            <w:tab w:pos="599" w:val="left" w:leader="none"/>
                          </w:tabs>
                          <w:spacing w:before="30"/>
                          <w:ind w:right="77"/>
                          <w:rPr>
                            <w:sz w:val="16"/>
                          </w:rPr>
                        </w:pPr>
                        <w:r>
                          <w:rPr>
                            <w:color w:val="231F20"/>
                            <w:sz w:val="16"/>
                          </w:rPr>
                          <w:t>$</w:t>
                          <w:tab/>
                        </w:r>
                        <w:r>
                          <w:rPr>
                            <w:color w:val="231F20"/>
                            <w:spacing w:val="-1"/>
                            <w:sz w:val="16"/>
                          </w:rPr>
                          <w:t>0.56</w:t>
                        </w:r>
                      </w:p>
                    </w:tc>
                    <w:tc>
                      <w:tcPr>
                        <w:tcW w:w="200" w:type="dxa"/>
                      </w:tcPr>
                      <w:p>
                        <w:pPr/>
                      </w:p>
                    </w:tc>
                    <w:tc>
                      <w:tcPr>
                        <w:tcW w:w="960" w:type="dxa"/>
                        <w:tcBorders>
                          <w:top w:val="single" w:sz="4" w:space="0" w:color="231F20"/>
                          <w:bottom w:val="single" w:sz="4" w:space="0" w:color="231F20"/>
                        </w:tcBorders>
                      </w:tcPr>
                      <w:p>
                        <w:pPr>
                          <w:pStyle w:val="TableParagraph"/>
                          <w:tabs>
                            <w:tab w:pos="599" w:val="left" w:leader="none"/>
                          </w:tabs>
                          <w:spacing w:before="30"/>
                          <w:ind w:right="77"/>
                          <w:rPr>
                            <w:sz w:val="16"/>
                          </w:rPr>
                        </w:pPr>
                        <w:r>
                          <w:rPr>
                            <w:color w:val="231F20"/>
                            <w:sz w:val="16"/>
                          </w:rPr>
                          <w:t>$</w:t>
                          <w:tab/>
                        </w:r>
                        <w:r>
                          <w:rPr>
                            <w:color w:val="231F20"/>
                            <w:spacing w:val="-1"/>
                            <w:sz w:val="16"/>
                          </w:rPr>
                          <w:t>0.43</w:t>
                        </w:r>
                      </w:p>
                    </w:tc>
                    <w:tc>
                      <w:tcPr>
                        <w:tcW w:w="160" w:type="dxa"/>
                      </w:tcPr>
                      <w:p>
                        <w:pPr/>
                      </w:p>
                    </w:tc>
                    <w:tc>
                      <w:tcPr>
                        <w:tcW w:w="885" w:type="dxa"/>
                      </w:tcPr>
                      <w:p>
                        <w:pPr>
                          <w:pStyle w:val="TableParagraph"/>
                          <w:spacing w:before="35"/>
                          <w:ind w:right="166"/>
                          <w:rPr>
                            <w:sz w:val="16"/>
                          </w:rPr>
                        </w:pPr>
                        <w:r>
                          <w:rPr>
                            <w:color w:val="231F20"/>
                            <w:sz w:val="16"/>
                          </w:rPr>
                          <w:t>30.2%</w:t>
                        </w:r>
                      </w:p>
                    </w:tc>
                  </w:tr>
                  <w:tr>
                    <w:trPr>
                      <w:trHeight w:val="343" w:hRule="exact"/>
                    </w:trPr>
                    <w:tc>
                      <w:tcPr>
                        <w:tcW w:w="5925" w:type="dxa"/>
                      </w:tcPr>
                      <w:p>
                        <w:pPr>
                          <w:pStyle w:val="TableParagraph"/>
                          <w:spacing w:before="155"/>
                          <w:ind w:left="50"/>
                          <w:jc w:val="left"/>
                          <w:rPr>
                            <w:sz w:val="16"/>
                          </w:rPr>
                        </w:pPr>
                        <w:r>
                          <w:rPr>
                            <w:b/>
                            <w:color w:val="231F20"/>
                            <w:sz w:val="16"/>
                          </w:rPr>
                          <w:t>Operating expenses per ASM (cents)  </w:t>
                        </w:r>
                        <w:r>
                          <w:rPr>
                            <w:color w:val="231F20"/>
                            <w:sz w:val="16"/>
                          </w:rPr>
                          <w:t>. . . . . . . . . . . . . . . . . . . . . . . . . . . . . . . . . . . . . . . . </w:t>
                        </w:r>
                      </w:p>
                    </w:tc>
                    <w:tc>
                      <w:tcPr>
                        <w:tcW w:w="1040" w:type="dxa"/>
                        <w:tcBorders>
                          <w:top w:val="single" w:sz="4" w:space="0" w:color="231F20"/>
                        </w:tcBorders>
                      </w:tcPr>
                      <w:p>
                        <w:pPr>
                          <w:pStyle w:val="TableParagraph"/>
                          <w:spacing w:before="150"/>
                          <w:ind w:right="77"/>
                          <w:rPr>
                            <w:sz w:val="16"/>
                          </w:rPr>
                        </w:pPr>
                        <w:r>
                          <w:rPr>
                            <w:color w:val="231F20"/>
                            <w:sz w:val="16"/>
                          </w:rPr>
                          <w:t>12.85</w:t>
                        </w:r>
                      </w:p>
                    </w:tc>
                    <w:tc>
                      <w:tcPr>
                        <w:tcW w:w="200" w:type="dxa"/>
                      </w:tcPr>
                      <w:p>
                        <w:pPr/>
                      </w:p>
                    </w:tc>
                    <w:tc>
                      <w:tcPr>
                        <w:tcW w:w="960" w:type="dxa"/>
                        <w:tcBorders>
                          <w:top w:val="single" w:sz="4" w:space="0" w:color="231F20"/>
                        </w:tcBorders>
                      </w:tcPr>
                      <w:p>
                        <w:pPr>
                          <w:pStyle w:val="TableParagraph"/>
                          <w:spacing w:before="150"/>
                          <w:ind w:right="77"/>
                          <w:rPr>
                            <w:sz w:val="16"/>
                          </w:rPr>
                        </w:pPr>
                        <w:r>
                          <w:rPr>
                            <w:color w:val="231F20"/>
                            <w:sz w:val="16"/>
                          </w:rPr>
                          <w:t>12.41</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Deduct: Fuel expense divided by ASMs (cents) . . . . . . . . . . . . . . . . . . . . . . . . . . . . . . . . . . </w:t>
                        </w:r>
                      </w:p>
                    </w:tc>
                    <w:tc>
                      <w:tcPr>
                        <w:tcW w:w="1040" w:type="dxa"/>
                      </w:tcPr>
                      <w:p>
                        <w:pPr>
                          <w:pStyle w:val="TableParagraph"/>
                          <w:spacing w:line="177" w:lineRule="exact"/>
                          <w:ind w:right="24"/>
                          <w:rPr>
                            <w:sz w:val="16"/>
                          </w:rPr>
                        </w:pPr>
                        <w:r>
                          <w:rPr>
                            <w:color w:val="231F20"/>
                            <w:sz w:val="16"/>
                          </w:rPr>
                          <w:t>(4.78)</w:t>
                        </w:r>
                      </w:p>
                    </w:tc>
                    <w:tc>
                      <w:tcPr>
                        <w:tcW w:w="200" w:type="dxa"/>
                      </w:tcPr>
                      <w:p>
                        <w:pPr/>
                      </w:p>
                    </w:tc>
                    <w:tc>
                      <w:tcPr>
                        <w:tcW w:w="960" w:type="dxa"/>
                      </w:tcPr>
                      <w:p>
                        <w:pPr>
                          <w:pStyle w:val="TableParagraph"/>
                          <w:spacing w:line="177" w:lineRule="exact"/>
                          <w:ind w:right="24"/>
                          <w:rPr>
                            <w:sz w:val="16"/>
                          </w:rPr>
                        </w:pPr>
                        <w:r>
                          <w:rPr>
                            <w:color w:val="231F20"/>
                            <w:sz w:val="16"/>
                          </w:rPr>
                          <w:t>(4.68)</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Deduct: Impact of special items, net (cents) (a)  . . . . . . . . . . . . . . . . . . . . . . . . . . . . . . . . . . </w:t>
                        </w:r>
                      </w:p>
                    </w:tc>
                    <w:tc>
                      <w:tcPr>
                        <w:tcW w:w="1040" w:type="dxa"/>
                        <w:tcBorders>
                          <w:bottom w:val="single" w:sz="4" w:space="0" w:color="231F20"/>
                        </w:tcBorders>
                      </w:tcPr>
                      <w:p>
                        <w:pPr>
                          <w:pStyle w:val="TableParagraph"/>
                          <w:spacing w:line="178" w:lineRule="exact"/>
                          <w:ind w:right="24"/>
                          <w:rPr>
                            <w:sz w:val="16"/>
                          </w:rPr>
                        </w:pPr>
                        <w:r>
                          <w:rPr>
                            <w:color w:val="231F20"/>
                            <w:sz w:val="16"/>
                          </w:rPr>
                          <w:t>(0.14)</w:t>
                        </w:r>
                      </w:p>
                    </w:tc>
                    <w:tc>
                      <w:tcPr>
                        <w:tcW w:w="200" w:type="dxa"/>
                      </w:tcPr>
                      <w:p>
                        <w:pPr/>
                      </w:p>
                    </w:tc>
                    <w:tc>
                      <w:tcPr>
                        <w:tcW w:w="960" w:type="dxa"/>
                        <w:tcBorders>
                          <w:bottom w:val="single" w:sz="4" w:space="0" w:color="231F20"/>
                        </w:tcBorders>
                      </w:tcPr>
                      <w:p>
                        <w:pPr>
                          <w:pStyle w:val="TableParagraph"/>
                          <w:spacing w:line="178" w:lineRule="exact"/>
                          <w:ind w:right="24"/>
                          <w:rPr>
                            <w:sz w:val="16"/>
                          </w:rPr>
                        </w:pPr>
                        <w:r>
                          <w:rPr>
                            <w:color w:val="231F20"/>
                            <w:sz w:val="16"/>
                          </w:rPr>
                          <w:t>(0.12)</w:t>
                        </w:r>
                      </w:p>
                    </w:tc>
                    <w:tc>
                      <w:tcPr>
                        <w:tcW w:w="160" w:type="dxa"/>
                      </w:tcPr>
                      <w:p>
                        <w:pPr/>
                      </w:p>
                    </w:tc>
                    <w:tc>
                      <w:tcPr>
                        <w:tcW w:w="885" w:type="dxa"/>
                      </w:tcPr>
                      <w:p>
                        <w:pPr/>
                      </w:p>
                    </w:tc>
                  </w:tr>
                  <w:tr>
                    <w:trPr>
                      <w:trHeight w:val="280" w:hRule="exact"/>
                    </w:trPr>
                    <w:tc>
                      <w:tcPr>
                        <w:tcW w:w="5925" w:type="dxa"/>
                      </w:tcPr>
                      <w:p>
                        <w:pPr>
                          <w:pStyle w:val="TableParagraph"/>
                          <w:spacing w:before="35"/>
                          <w:ind w:left="50"/>
                          <w:jc w:val="left"/>
                          <w:rPr>
                            <w:sz w:val="16"/>
                          </w:rPr>
                        </w:pPr>
                        <w:r>
                          <w:rPr>
                            <w:b/>
                            <w:color w:val="231F20"/>
                            <w:sz w:val="16"/>
                          </w:rPr>
                          <w:t>Operating expenses per ASM, non-GAAP, excluding fuel and special items (cents) </w:t>
                        </w:r>
                        <w:r>
                          <w:rPr>
                            <w:color w:val="231F20"/>
                            <w:sz w:val="16"/>
                          </w:rPr>
                          <w:t>. . .</w:t>
                        </w:r>
                      </w:p>
                    </w:tc>
                    <w:tc>
                      <w:tcPr>
                        <w:tcW w:w="1040" w:type="dxa"/>
                        <w:tcBorders>
                          <w:top w:val="single" w:sz="4" w:space="0" w:color="231F20"/>
                        </w:tcBorders>
                      </w:tcPr>
                      <w:p>
                        <w:pPr>
                          <w:pStyle w:val="TableParagraph"/>
                          <w:spacing w:before="30"/>
                          <w:ind w:right="77"/>
                          <w:rPr>
                            <w:sz w:val="16"/>
                          </w:rPr>
                        </w:pPr>
                        <w:r>
                          <w:rPr>
                            <w:color w:val="231F20"/>
                            <w:sz w:val="16"/>
                          </w:rPr>
                          <w:t>7.93</w:t>
                        </w:r>
                      </w:p>
                    </w:tc>
                    <w:tc>
                      <w:tcPr>
                        <w:tcW w:w="200" w:type="dxa"/>
                      </w:tcPr>
                      <w:p>
                        <w:pPr/>
                      </w:p>
                    </w:tc>
                    <w:tc>
                      <w:tcPr>
                        <w:tcW w:w="960" w:type="dxa"/>
                        <w:tcBorders>
                          <w:top w:val="single" w:sz="4" w:space="0" w:color="231F20"/>
                        </w:tcBorders>
                      </w:tcPr>
                      <w:p>
                        <w:pPr>
                          <w:pStyle w:val="TableParagraph"/>
                          <w:spacing w:before="30"/>
                          <w:ind w:right="77"/>
                          <w:rPr>
                            <w:sz w:val="16"/>
                          </w:rPr>
                        </w:pPr>
                        <w:r>
                          <w:rPr>
                            <w:color w:val="231F20"/>
                            <w:sz w:val="16"/>
                          </w:rPr>
                          <w:t>7.61</w:t>
                        </w:r>
                      </w:p>
                    </w:tc>
                    <w:tc>
                      <w:tcPr>
                        <w:tcW w:w="160" w:type="dxa"/>
                      </w:tcPr>
                      <w:p>
                        <w:pPr/>
                      </w:p>
                    </w:tc>
                    <w:tc>
                      <w:tcPr>
                        <w:tcW w:w="885" w:type="dxa"/>
                      </w:tcPr>
                      <w:p>
                        <w:pPr>
                          <w:pStyle w:val="TableParagraph"/>
                          <w:spacing w:before="35"/>
                          <w:ind w:right="166"/>
                          <w:rPr>
                            <w:sz w:val="16"/>
                          </w:rPr>
                        </w:pPr>
                        <w:r>
                          <w:rPr>
                            <w:color w:val="231F20"/>
                            <w:sz w:val="16"/>
                          </w:rPr>
                          <w:t>4.2%</w:t>
                        </w:r>
                      </w:p>
                    </w:tc>
                  </w:tr>
                  <w:tr>
                    <w:trPr>
                      <w:trHeight w:val="180" w:hRule="exact"/>
                    </w:trPr>
                    <w:tc>
                      <w:tcPr>
                        <w:tcW w:w="5925" w:type="dxa"/>
                      </w:tcPr>
                      <w:p>
                        <w:pPr/>
                      </w:p>
                    </w:tc>
                    <w:tc>
                      <w:tcPr>
                        <w:tcW w:w="1040" w:type="dxa"/>
                        <w:tcBorders>
                          <w:bottom w:val="single" w:sz="4" w:space="0" w:color="231F20"/>
                        </w:tcBorders>
                      </w:tcPr>
                      <w:p>
                        <w:pPr/>
                      </w:p>
                    </w:tc>
                    <w:tc>
                      <w:tcPr>
                        <w:tcW w:w="200" w:type="dxa"/>
                      </w:tcPr>
                      <w:p>
                        <w:pPr/>
                      </w:p>
                    </w:tc>
                    <w:tc>
                      <w:tcPr>
                        <w:tcW w:w="960" w:type="dxa"/>
                        <w:tcBorders>
                          <w:bottom w:val="single" w:sz="4" w:space="0" w:color="231F20"/>
                        </w:tcBorders>
                      </w:tcPr>
                      <w:p>
                        <w:pPr/>
                      </w:p>
                    </w:tc>
                    <w:tc>
                      <w:tcPr>
                        <w:tcW w:w="160" w:type="dxa"/>
                      </w:tcPr>
                      <w:p>
                        <w:pPr/>
                      </w:p>
                    </w:tc>
                    <w:tc>
                      <w:tcPr>
                        <w:tcW w:w="885" w:type="dxa"/>
                      </w:tcPr>
                      <w:p>
                        <w:pPr/>
                      </w:p>
                    </w:tc>
                  </w:tr>
                </w:tbl>
                <w:p>
                  <w:pPr>
                    <w:pStyle w:val="BodyText"/>
                  </w:pPr>
                </w:p>
              </w:txbxContent>
            </v:textbox>
            <w10:wrap type="none"/>
          </v:shape>
        </w:pict>
      </w:r>
      <w:r>
        <w:rPr>
          <w:b/>
          <w:color w:val="231F20"/>
          <w:sz w:val="16"/>
        </w:rPr>
        <w:t>December 31,</w:t>
        <w:tab/>
      </w:r>
      <w:r>
        <w:rPr>
          <w:b/>
          <w:color w:val="231F20"/>
          <w:position w:val="-7"/>
          <w:sz w:val="16"/>
        </w:rPr>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0"/>
        </w:rPr>
      </w:pPr>
      <w:r>
        <w:rPr/>
        <w:pict>
          <v:line style="position:absolute;mso-position-horizontal-relative:page;mso-position-vertical-relative:paragraph;z-index:2968;mso-wrap-distance-left:0;mso-wrap-distance-right:0" from="366.75pt,8.036524pt" to="414.75pt,8.036524pt" stroked="true" strokeweight=".5pt" strokecolor="#231f20">
            <v:stroke dashstyle="solid"/>
            <w10:wrap type="topAndBottom"/>
          </v:line>
        </w:pict>
      </w:r>
      <w:r>
        <w:rPr/>
        <w:pict>
          <v:line style="position:absolute;mso-position-horizontal-relative:page;mso-position-vertical-relative:paragraph;z-index:2992;mso-wrap-distance-left:0;mso-wrap-distance-right:0" from="424.75pt,8.036524pt" to="472.75pt,8.036524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6"/>
        </w:rPr>
      </w:pPr>
      <w:r>
        <w:rPr/>
        <w:pict>
          <v:line style="position:absolute;mso-position-horizontal-relative:page;mso-position-vertical-relative:paragraph;z-index:3016;mso-wrap-distance-left:0;mso-wrap-distance-right:0" from="366.75pt,17.305859pt" to="414.75pt,17.305859pt" stroked="true" strokeweight=".5pt" strokecolor="#231f20">
            <v:stroke dashstyle="solid"/>
            <w10:wrap type="topAndBottom"/>
          </v:line>
        </w:pict>
      </w:r>
      <w:r>
        <w:rPr/>
        <w:pict>
          <v:line style="position:absolute;mso-position-horizontal-relative:page;mso-position-vertical-relative:paragraph;z-index:3040;mso-wrap-distance-left:0;mso-wrap-distance-right:0" from="424.75pt,17.305859pt" to="472.75pt,17.305859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6"/>
        </w:rPr>
      </w:pPr>
      <w:r>
        <w:rPr/>
        <w:pict>
          <v:line style="position:absolute;mso-position-horizontal-relative:page;mso-position-vertical-relative:paragraph;z-index:3064;mso-wrap-distance-left:0;mso-wrap-distance-right:0" from="366.75pt,17.305859pt" to="414.75pt,17.305859pt" stroked="true" strokeweight=".5pt" strokecolor="#231f20">
            <v:stroke dashstyle="solid"/>
            <w10:wrap type="topAndBottom"/>
          </v:line>
        </w:pict>
      </w:r>
      <w:r>
        <w:rPr/>
        <w:pict>
          <v:line style="position:absolute;mso-position-horizontal-relative:page;mso-position-vertical-relative:paragraph;z-index:3088;mso-wrap-distance-left:0;mso-wrap-distance-right:0" from="424.75pt,17.305859pt" to="472.75pt,17.305859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1"/>
        </w:rPr>
      </w:pPr>
      <w:r>
        <w:rPr/>
        <w:pict>
          <v:line style="position:absolute;mso-position-horizontal-relative:page;mso-position-vertical-relative:paragraph;z-index:3112;mso-wrap-distance-left:0;mso-wrap-distance-right:0" from="366.75pt,14.806836pt" to="414.75pt,14.806836pt" stroked="true" strokeweight=".5pt" strokecolor="#231f20">
            <v:stroke dashstyle="solid"/>
            <w10:wrap type="topAndBottom"/>
          </v:line>
        </w:pict>
      </w:r>
      <w:r>
        <w:rPr/>
        <w:pict>
          <v:line style="position:absolute;mso-position-horizontal-relative:page;mso-position-vertical-relative:paragraph;z-index:3136;mso-wrap-distance-left:0;mso-wrap-distance-right:0" from="424.75pt,14.806836pt" to="472.75pt,14.806836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spacing w:before="2"/>
        <w:rPr>
          <w:b/>
          <w:sz w:val="13"/>
        </w:rPr>
      </w:pPr>
      <w:r>
        <w:rPr/>
        <w:pict>
          <v:line style="position:absolute;mso-position-horizontal-relative:page;mso-position-vertical-relative:paragraph;z-index:3160;mso-wrap-distance-left:0;mso-wrap-distance-right:0" from="366.75pt,9.80293pt" to="414.75pt,9.80293pt" stroked="true" strokeweight=".5pt" strokecolor="#231f20">
            <v:stroke dashstyle="solid"/>
            <w10:wrap type="topAndBottom"/>
          </v:line>
        </w:pict>
      </w:r>
      <w:r>
        <w:rPr/>
        <w:pict>
          <v:line style="position:absolute;mso-position-horizontal-relative:page;mso-position-vertical-relative:paragraph;z-index:3184;mso-wrap-distance-left:0;mso-wrap-distance-right:0" from="424.75pt,9.80293pt" to="472.75pt,9.80293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spacing w:before="7"/>
        <w:rPr>
          <w:b/>
          <w:sz w:val="23"/>
        </w:rPr>
      </w:pPr>
      <w:r>
        <w:rPr/>
        <w:pict>
          <v:line style="position:absolute;mso-position-horizontal-relative:page;mso-position-vertical-relative:paragraph;z-index:3208;mso-wrap-distance-left:0;mso-wrap-distance-right:0" from="366.75pt,15.80293pt" to="414.75pt,15.80293pt" stroked="true" strokeweight=".5pt" strokecolor="#231f20">
            <v:stroke dashstyle="solid"/>
            <w10:wrap type="topAndBottom"/>
          </v:line>
        </w:pict>
      </w:r>
      <w:r>
        <w:rPr/>
        <w:pict>
          <v:line style="position:absolute;mso-position-horizontal-relative:page;mso-position-vertical-relative:paragraph;z-index:3232;mso-wrap-distance-left:0;mso-wrap-distance-right:0" from="424.75pt,15.80293pt" to="472.75pt,15.80293pt" stroked="true" strokeweight=".5pt" strokecolor="#231f20">
            <v:stroke dashstyle="solid"/>
            <w10:wrap type="topAndBottom"/>
          </v:line>
        </w:pict>
      </w:r>
    </w:p>
    <w:p>
      <w:pPr>
        <w:tabs>
          <w:tab w:pos="479" w:val="left" w:leader="none"/>
        </w:tabs>
        <w:spacing w:before="221"/>
        <w:ind w:left="160" w:right="0" w:firstLine="0"/>
        <w:jc w:val="left"/>
        <w:rPr>
          <w:sz w:val="16"/>
        </w:rPr>
      </w:pPr>
      <w:r>
        <w:rPr>
          <w:color w:val="231F20"/>
          <w:sz w:val="16"/>
        </w:rPr>
        <w:t>*</w:t>
        <w:tab/>
        <w:t>As a result of prior hedge ineffectiveness and/or contracts marked to market through</w:t>
      </w:r>
      <w:r>
        <w:rPr>
          <w:color w:val="231F20"/>
          <w:spacing w:val="-17"/>
          <w:sz w:val="16"/>
        </w:rPr>
        <w:t> </w:t>
      </w:r>
      <w:r>
        <w:rPr>
          <w:color w:val="231F20"/>
          <w:sz w:val="16"/>
        </w:rPr>
        <w:t>earnings.</w:t>
      </w:r>
    </w:p>
    <w:p>
      <w:pPr>
        <w:pStyle w:val="ListParagraph"/>
        <w:numPr>
          <w:ilvl w:val="1"/>
          <w:numId w:val="9"/>
        </w:numPr>
        <w:tabs>
          <w:tab w:pos="480" w:val="left" w:leader="none"/>
        </w:tabs>
        <w:spacing w:line="261" w:lineRule="auto" w:before="15" w:after="0"/>
        <w:ind w:left="480" w:right="237" w:hanging="320"/>
        <w:jc w:val="left"/>
        <w:rPr>
          <w:sz w:val="16"/>
        </w:rPr>
      </w:pPr>
      <w:r>
        <w:rPr>
          <w:color w:val="231F20"/>
          <w:sz w:val="16"/>
        </w:rPr>
        <w:t>Amounts net of profitsharing impact on charges incurred through March 31, 2011. The Company amended its profitsharing plan</w:t>
      </w:r>
      <w:r>
        <w:rPr>
          <w:color w:val="231F20"/>
          <w:spacing w:val="-21"/>
          <w:sz w:val="16"/>
        </w:rPr>
        <w:t> </w:t>
      </w:r>
      <w:r>
        <w:rPr>
          <w:color w:val="231F20"/>
          <w:sz w:val="16"/>
        </w:rPr>
        <w:t>during second quarter 2011 to defer the profitsharing impact of acquisition and integration costs incurred from April 1, 2011, through December 31, 2013. The profitsharing impact of these costs will be realized in 2014 and</w:t>
      </w:r>
      <w:r>
        <w:rPr>
          <w:color w:val="231F20"/>
          <w:spacing w:val="-13"/>
          <w:sz w:val="16"/>
        </w:rPr>
        <w:t> </w:t>
      </w:r>
      <w:r>
        <w:rPr>
          <w:color w:val="231F20"/>
          <w:sz w:val="16"/>
        </w:rPr>
        <w:t>beyond.</w:t>
      </w:r>
    </w:p>
    <w:p>
      <w:pPr>
        <w:pStyle w:val="ListParagraph"/>
        <w:numPr>
          <w:ilvl w:val="1"/>
          <w:numId w:val="9"/>
        </w:numPr>
        <w:tabs>
          <w:tab w:pos="480" w:val="left" w:leader="none"/>
        </w:tabs>
        <w:spacing w:line="240" w:lineRule="auto" w:before="0" w:after="0"/>
        <w:ind w:left="480" w:right="0" w:hanging="320"/>
        <w:jc w:val="left"/>
        <w:rPr>
          <w:sz w:val="16"/>
        </w:rPr>
      </w:pPr>
      <w:r>
        <w:rPr>
          <w:color w:val="231F20"/>
          <w:sz w:val="16"/>
        </w:rPr>
        <w:t>Amounts net of taxes and profitsharing. See footnote (a) above regarding Acquisition and integration</w:t>
      </w:r>
      <w:r>
        <w:rPr>
          <w:color w:val="231F20"/>
          <w:spacing w:val="-18"/>
          <w:sz w:val="16"/>
        </w:rPr>
        <w:t> </w:t>
      </w:r>
      <w:r>
        <w:rPr>
          <w:color w:val="231F20"/>
          <w:sz w:val="16"/>
        </w:rPr>
        <w:t>costs.</w:t>
      </w:r>
    </w:p>
    <w:p>
      <w:pPr>
        <w:pStyle w:val="BodyText"/>
        <w:spacing w:before="3"/>
        <w:rPr>
          <w:sz w:val="17"/>
        </w:rPr>
      </w:pPr>
    </w:p>
    <w:p>
      <w:pPr>
        <w:pStyle w:val="BodyText"/>
        <w:ind w:left="160"/>
      </w:pPr>
      <w:r>
        <w:rPr>
          <w:color w:val="231F20"/>
        </w:rPr>
        <w:t>See previous Note Regarding Use of Non-GAAP Financial Measures.</w:t>
      </w:r>
    </w:p>
    <w:p>
      <w:pPr>
        <w:spacing w:after="0"/>
        <w:sectPr>
          <w:pgSz w:w="11880" w:h="15480"/>
          <w:pgMar w:header="0" w:footer="1253" w:top="1240" w:bottom="1440" w:left="1220" w:right="1280"/>
        </w:sectPr>
      </w:pPr>
    </w:p>
    <w:p>
      <w:pPr>
        <w:pStyle w:val="Heading4"/>
        <w:spacing w:before="73"/>
        <w:ind w:left="300"/>
        <w:rPr>
          <w:i/>
        </w:rPr>
      </w:pPr>
      <w:r>
        <w:rPr>
          <w:i/>
          <w:color w:val="231F20"/>
        </w:rPr>
        <w:t>2012 compared with 2011</w:t>
      </w:r>
    </w:p>
    <w:p>
      <w:pPr>
        <w:pStyle w:val="BodyText"/>
        <w:spacing w:line="249" w:lineRule="auto" w:before="153"/>
        <w:ind w:left="100" w:right="113" w:firstLine="490"/>
      </w:pPr>
      <w:r>
        <w:rPr>
          <w:color w:val="231F20"/>
        </w:rPr>
        <w:t>The Company’s net income of $421 million ($0.56 per share, diluted) in 2012 increased by $243 million, or 136.5 percent, compared to its 2011 net income of $178 million ($0.23 per share, diluted). The Company’s GAAP results for both years were significantly impacted by the non-cash adjustments recorded as a result of the Company’s portfolio of derivative contracts utilized to hedge against jet fuel price volatility, as well as acquisition and integration costs associated with the Company’s 2011 acquisition of AirTran. As a result of the fuel hedges the Company had in place during 2012 — including those that settled during 2012 and those that will settle in future years — the Company recognized a net total of $28 million in gains allocated between Fuel and oil expense and Other (gains) losses, net, in the Consolidated Statement of Income. During 2011 the Company recognized a net total of $259 million in losses as a result of its fuel hedging activities, allocated between Fuel and oil expense and Other (gains) losses, net. Each of these totals for 2012 and 2011 include the net premium costs the Company paid to enter into a portion of its fuel derivative instruments such as option contracts which are classified as a component of Other (gains) losses, net. See Note 10 to the Consolidated Financial Statements for further information on fuel hedging and Note 2 for further information on the acquisition of AirTran. In addition, the Company’s GAAP results for the year ended December 31, 2012, included a $137 million third quarter 2012 charge associated with the Company’s agreement with Delta and Boeing Capital Corp. to lease or sublease all 88 of AirTran’s Boeing 717s to Delta. See Note 8 to the Consolidated Financial Statements for further information on this transaction. The Company’s GAAP results for the year ended December 31, 2011, included an asset impairment related to the Company’s decision not to equip its Classic (737-300/500) aircraft with Required Navigation Performance (RNP) capabilities. Excluding the impact of these items, the Company’s net income on a non-GAAP basis increased 26.4 percent for the year ended December 31, 2012, compared to 2011. This increase primarily was a result of better 2012 revenue production, which more than offset higher operating</w:t>
      </w:r>
      <w:r>
        <w:rPr>
          <w:color w:val="231F20"/>
          <w:spacing w:val="1"/>
        </w:rPr>
        <w:t> </w:t>
      </w:r>
      <w:r>
        <w:rPr>
          <w:color w:val="231F20"/>
        </w:rPr>
        <w:t>costs.</w:t>
      </w:r>
    </w:p>
    <w:p>
      <w:pPr>
        <w:pStyle w:val="Heading3"/>
        <w:spacing w:before="144"/>
      </w:pPr>
      <w:r>
        <w:rPr>
          <w:color w:val="231F20"/>
        </w:rPr>
        <w:t>Operating revenues</w:t>
      </w:r>
    </w:p>
    <w:p>
      <w:pPr>
        <w:pStyle w:val="BodyText"/>
        <w:spacing w:line="249" w:lineRule="auto" w:before="153"/>
        <w:ind w:left="100" w:right="136" w:firstLine="490"/>
      </w:pPr>
      <w:r>
        <w:rPr>
          <w:color w:val="231F20"/>
        </w:rPr>
        <w:t>Operating revenues for 2012 increased by $1.4 billion, or 9.1 percent, compared to 2011. The majority of the increase was due to the fact that 2012 results include the full year of AirTran Operating revenues, while 2011 results only include AirTran Operating revenues following the May 2, 2011, acquisition date. For the full year 2012, other than due to the inclusion of 12 months of activity versus only eight months in 2011, AirTran’s standalone Operating revenues did not otherwise have a significant impact on the Company’s consolidated results. Excluding the results of AirTran in both periods, Operating revenues for 2012 increased 5.5 percent on a dollar basis compared to 2011, primarily due to a 5.6 percent increase in Passenger revenues. Holding other factors constant, over 60 percent of the increase in Passenger revenues was attributable to higher Passenger yields (Passenger revenues per RPM flown), as the Company implemented fare increases in an attempt to buffer a portion of the impact of higher fuel costs. In addition to the fare increases the Company was able to implement and other revenue management techniques, the year-over-year increase in Passenger revenues benefited from continued optimization of the Company’s flight schedule to better match demand in certain markets and, at certain times, targeted marketing campaigns in which the Company differentiates its products and services from competitors. These increases were partially offset by a slight decrease in Southwest’s load factor, partially due to the impact of higher airfares on Customer</w:t>
      </w:r>
      <w:r>
        <w:rPr>
          <w:color w:val="231F20"/>
          <w:spacing w:val="5"/>
        </w:rPr>
        <w:t> </w:t>
      </w:r>
      <w:r>
        <w:rPr>
          <w:color w:val="231F20"/>
        </w:rPr>
        <w:t>demand.</w:t>
      </w:r>
    </w:p>
    <w:p>
      <w:pPr>
        <w:pStyle w:val="BodyText"/>
        <w:spacing w:line="249" w:lineRule="auto" w:before="144"/>
        <w:ind w:left="100" w:right="108" w:firstLine="490"/>
      </w:pPr>
      <w:r>
        <w:rPr>
          <w:color w:val="231F20"/>
        </w:rPr>
        <w:t>Freight revenues for 2012 increased by $21 million, or 15.1 percent, compared to 2011, primarily due to an increase in shipments as a result of better domestic economic conditions than the prior year.</w:t>
      </w:r>
    </w:p>
    <w:p>
      <w:pPr>
        <w:pStyle w:val="BodyText"/>
        <w:spacing w:line="249" w:lineRule="auto" w:before="144"/>
        <w:ind w:left="100" w:right="99" w:firstLine="490"/>
      </w:pPr>
      <w:r>
        <w:rPr>
          <w:color w:val="231F20"/>
        </w:rPr>
        <w:t>Other revenues for 2012 increased by $70 million, or 9.2 percent, compared to 2011, of which approximately $69 million was due to the inclusion of the full year of AirTran results in 2012, while 2011 results only include AirTran Other revenues following the acquisition date. Excluding the results of AirTran in both periods, Other revenues were relatively stable compared to 2011, as an increase in revenues from initiatives, such as the Company’s EarlyBird product, for which Customers pay a service charge to automatically receive an assigned boarding position before general checkin begins, and service charges for pets was offset by an increase in the portion of the commissions earned from programs the Company sponsors with certain business partners that were classified as Passenger revenues as opposed to Other revenues. The classification of such amounts is</w:t>
      </w:r>
    </w:p>
    <w:p>
      <w:pPr>
        <w:spacing w:after="0" w:line="249" w:lineRule="auto"/>
        <w:sectPr>
          <w:pgSz w:w="11880" w:h="15480"/>
          <w:pgMar w:header="0" w:footer="1253" w:top="1240" w:bottom="1440" w:left="1280" w:right="1300"/>
        </w:sectPr>
      </w:pPr>
    </w:p>
    <w:p>
      <w:pPr>
        <w:pStyle w:val="BodyText"/>
        <w:spacing w:line="249" w:lineRule="auto" w:before="73"/>
        <w:ind w:left="160" w:right="214"/>
      </w:pPr>
      <w:r>
        <w:rPr>
          <w:color w:val="231F20"/>
        </w:rPr>
        <w:t>influenced by average fares, among other factors. See Note 1 to the Consolidated Financial Statements for further information on Southwest’s frequent flyer program. Southwest’s EarlyBird product and service charges for unaccompanied minors, pets, and excess bags contributed $219 million to Other revenues in 2012 versus</w:t>
      </w:r>
    </w:p>
    <w:p>
      <w:pPr>
        <w:pStyle w:val="BodyText"/>
        <w:spacing w:before="1"/>
        <w:ind w:left="160"/>
      </w:pPr>
      <w:r>
        <w:rPr>
          <w:color w:val="231F20"/>
        </w:rPr>
        <w:t>$198 million generated from these products during 2011. Other revenues for 2012 included approximately</w:t>
      </w:r>
    </w:p>
    <w:p>
      <w:pPr>
        <w:pStyle w:val="BodyText"/>
        <w:spacing w:before="10"/>
        <w:ind w:left="160"/>
      </w:pPr>
      <w:r>
        <w:rPr>
          <w:color w:val="231F20"/>
        </w:rPr>
        <w:t>$146 million in baggage fees collected from AirTran Customers, versus approximately $110 million for 2011.</w:t>
      </w:r>
    </w:p>
    <w:p>
      <w:pPr>
        <w:pStyle w:val="BodyText"/>
        <w:spacing w:before="9"/>
        <w:rPr>
          <w:sz w:val="18"/>
        </w:rPr>
      </w:pPr>
    </w:p>
    <w:p>
      <w:pPr>
        <w:pStyle w:val="Heading3"/>
        <w:spacing w:before="1"/>
        <w:ind w:left="160"/>
      </w:pPr>
      <w:r>
        <w:rPr>
          <w:color w:val="231F20"/>
        </w:rPr>
        <w:t>Operating expenses</w:t>
      </w:r>
    </w:p>
    <w:p>
      <w:pPr>
        <w:pStyle w:val="BodyText"/>
        <w:spacing w:before="10"/>
        <w:rPr>
          <w:b/>
          <w:sz w:val="18"/>
        </w:rPr>
      </w:pPr>
    </w:p>
    <w:p>
      <w:pPr>
        <w:pStyle w:val="BodyText"/>
        <w:spacing w:line="249" w:lineRule="auto"/>
        <w:ind w:left="160" w:right="265" w:firstLine="490"/>
      </w:pPr>
      <w:r>
        <w:rPr>
          <w:color w:val="231F20"/>
        </w:rPr>
        <w:t>Operating expenses for 2012 increased by $1.5 billion, or 10.0 percent, compared to 2011, while capacity increased 6.3 percent compared to 2011. The increase in Operating expenses was primarily due to the inclusion of AirTran results for the full year 2012, while 2011 results only include AirTran Operating expenses following the acquisition date. Historically, except for changes in the price of fuel, changes in most Operating expenses for airlines are largely driven by changes in capacity, or ASMs. The following table presents the Company’s Operating expenses per ASM for 2012 and 2011, followed by explanations of these changes on a per ASM basis and/or on a dollar basis:</w:t>
      </w:r>
    </w:p>
    <w:p>
      <w:pPr>
        <w:tabs>
          <w:tab w:pos="6764" w:val="left" w:leader="none"/>
          <w:tab w:pos="8331" w:val="left" w:leader="none"/>
        </w:tabs>
        <w:spacing w:line="188" w:lineRule="exact" w:before="166"/>
        <w:ind w:left="3920" w:right="0" w:firstLine="0"/>
        <w:jc w:val="left"/>
        <w:rPr>
          <w:b/>
          <w:sz w:val="18"/>
        </w:rPr>
      </w:pPr>
      <w:r>
        <w:rPr>
          <w:b/>
          <w:color w:val="231F20"/>
          <w:sz w:val="18"/>
        </w:rPr>
        <w:t>Year ended</w:t>
      </w:r>
      <w:r>
        <w:rPr>
          <w:b/>
          <w:color w:val="231F20"/>
          <w:spacing w:val="-1"/>
          <w:sz w:val="18"/>
        </w:rPr>
        <w:t> </w:t>
      </w:r>
      <w:r>
        <w:rPr>
          <w:b/>
          <w:color w:val="231F20"/>
          <w:sz w:val="18"/>
        </w:rPr>
        <w:t>December 31,</w:t>
        <w:tab/>
        <w:t>Per ASM</w:t>
        <w:tab/>
        <w:t>Percent</w:t>
      </w:r>
    </w:p>
    <w:p>
      <w:pPr>
        <w:spacing w:after="0" w:line="188" w:lineRule="exact"/>
        <w:jc w:val="left"/>
        <w:rPr>
          <w:sz w:val="18"/>
        </w:rPr>
        <w:sectPr>
          <w:pgSz w:w="11880" w:h="15480"/>
          <w:pgMar w:header="0" w:footer="1253" w:top="1240" w:bottom="1440" w:left="1220" w:right="1180"/>
        </w:sectPr>
      </w:pPr>
    </w:p>
    <w:p>
      <w:pPr>
        <w:tabs>
          <w:tab w:pos="3999" w:val="left" w:leader="none"/>
          <w:tab w:pos="5459" w:val="left" w:leader="none"/>
        </w:tabs>
        <w:spacing w:line="198" w:lineRule="exact" w:before="0"/>
        <w:ind w:left="160" w:right="0" w:firstLine="0"/>
        <w:jc w:val="left"/>
        <w:rPr>
          <w:b/>
          <w:sz w:val="18"/>
        </w:rPr>
      </w:pPr>
      <w:r>
        <w:rPr>
          <w:color w:val="231F20"/>
          <w:sz w:val="14"/>
        </w:rPr>
        <w:t>(in cents, except</w:t>
      </w:r>
      <w:r>
        <w:rPr>
          <w:color w:val="231F20"/>
          <w:spacing w:val="-2"/>
          <w:sz w:val="14"/>
        </w:rPr>
        <w:t> </w:t>
      </w:r>
      <w:r>
        <w:rPr>
          <w:color w:val="231F20"/>
          <w:sz w:val="14"/>
        </w:rPr>
        <w:t>for percentages)</w:t>
        <w:tab/>
      </w:r>
      <w:r>
        <w:rPr>
          <w:b/>
          <w:color w:val="231F20"/>
          <w:sz w:val="18"/>
        </w:rPr>
        <w:t>2012</w:t>
        <w:tab/>
        <w:t>2011</w:t>
      </w:r>
    </w:p>
    <w:p>
      <w:pPr>
        <w:spacing w:line="198" w:lineRule="exact" w:before="0"/>
        <w:ind w:left="160" w:right="0" w:firstLine="0"/>
        <w:jc w:val="left"/>
        <w:rPr>
          <w:b/>
          <w:sz w:val="18"/>
        </w:rPr>
      </w:pPr>
      <w:r>
        <w:rPr/>
        <w:br w:type="column"/>
      </w:r>
      <w:r>
        <w:rPr>
          <w:b/>
          <w:color w:val="231F20"/>
          <w:sz w:val="18"/>
        </w:rPr>
        <w:t>change</w:t>
      </w:r>
    </w:p>
    <w:p>
      <w:pPr>
        <w:spacing w:line="198" w:lineRule="exact" w:before="0"/>
        <w:ind w:left="160" w:right="0" w:firstLine="0"/>
        <w:jc w:val="left"/>
        <w:rPr>
          <w:b/>
          <w:sz w:val="18"/>
        </w:rPr>
      </w:pPr>
      <w:r>
        <w:rPr/>
        <w:br w:type="column"/>
      </w:r>
      <w:r>
        <w:rPr>
          <w:b/>
          <w:color w:val="231F20"/>
          <w:sz w:val="18"/>
        </w:rPr>
        <w:t>change</w:t>
      </w:r>
    </w:p>
    <w:p>
      <w:pPr>
        <w:spacing w:after="0" w:line="198" w:lineRule="exact"/>
        <w:jc w:val="left"/>
        <w:rPr>
          <w:sz w:val="18"/>
        </w:rPr>
        <w:sectPr>
          <w:type w:val="continuous"/>
          <w:pgSz w:w="11880" w:h="15480"/>
          <w:pgMar w:top="1200" w:bottom="280" w:left="1220" w:right="1180"/>
          <w:cols w:num="3" w:equalWidth="0">
            <w:col w:w="5821" w:space="872"/>
            <w:col w:w="701" w:space="804"/>
            <w:col w:w="1282"/>
          </w:cols>
        </w:sectPr>
      </w:pPr>
    </w:p>
    <w:p>
      <w:pPr>
        <w:tabs>
          <w:tab w:pos="3540" w:val="left" w:leader="none"/>
        </w:tabs>
        <w:spacing w:line="20" w:lineRule="exact"/>
        <w:ind w:left="150" w:right="0" w:firstLine="0"/>
        <w:rPr>
          <w:sz w:val="2"/>
        </w:rPr>
      </w:pPr>
      <w:r>
        <w:rPr>
          <w:sz w:val="2"/>
        </w:rPr>
        <w:pict>
          <v:group style="width:93.7pt;height:1pt;mso-position-horizontal-relative:char;mso-position-vertical-relative:line" coordorigin="0,0" coordsize="1874,20">
            <v:line style="position:absolute" from="10,10" to="1864,10" stroked="true" strokeweight="1pt" strokecolor="#231f20">
              <v:stroke dashstyle="solid"/>
            </v:line>
          </v:group>
        </w:pict>
      </w:r>
      <w:r>
        <w:rPr>
          <w:sz w:val="2"/>
        </w:rPr>
      </w:r>
      <w:r>
        <w:rPr>
          <w:sz w:val="2"/>
        </w:rPr>
        <w:tab/>
      </w:r>
      <w:r>
        <w:rPr>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z w:val="2"/>
        </w:rPr>
      </w:r>
      <w:r>
        <w:rPr>
          <w:spacing w:val="165"/>
          <w:sz w:val="2"/>
        </w:rPr>
        <w:t> </w:t>
      </w:r>
      <w:r>
        <w:rPr>
          <w:spacing w:val="165"/>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pacing w:val="165"/>
          <w:sz w:val="2"/>
        </w:rPr>
      </w:r>
      <w:r>
        <w:rPr>
          <w:spacing w:val="165"/>
          <w:sz w:val="2"/>
        </w:rPr>
        <w:t> </w:t>
      </w:r>
      <w:r>
        <w:rPr>
          <w:spacing w:val="165"/>
          <w:sz w:val="2"/>
        </w:rPr>
        <w:pict>
          <v:group style="width:66.25pt;height:1pt;mso-position-horizontal-relative:char;mso-position-vertical-relative:line" coordorigin="0,0" coordsize="1325,20">
            <v:line style="position:absolute" from="10,10" to="1315,10" stroked="true" strokeweight="1pt" strokecolor="#231f20">
              <v:stroke dashstyle="solid"/>
            </v:line>
          </v:group>
        </w:pict>
      </w:r>
      <w:r>
        <w:rPr>
          <w:spacing w:val="165"/>
          <w:sz w:val="2"/>
        </w:rPr>
      </w:r>
      <w:r>
        <w:rPr>
          <w:spacing w:val="165"/>
          <w:sz w:val="2"/>
        </w:rPr>
        <w:t> </w:t>
      </w:r>
      <w:r>
        <w:rPr>
          <w:spacing w:val="165"/>
          <w:sz w:val="2"/>
        </w:rPr>
        <w:pict>
          <v:group style="width:66.25pt;height:1pt;mso-position-horizontal-relative:char;mso-position-vertical-relative:line" coordorigin="0,0" coordsize="1325,20">
            <v:line style="position:absolute" from="10,10" to="1315,10" stroked="true" strokeweight="1pt" strokecolor="#231f20">
              <v:stroke dashstyle="solid"/>
            </v:line>
          </v:group>
        </w:pict>
      </w:r>
      <w:r>
        <w:rPr>
          <w:spacing w:val="165"/>
          <w:sz w:val="2"/>
        </w:rPr>
      </w:r>
    </w:p>
    <w:p>
      <w:pPr>
        <w:pStyle w:val="BodyText"/>
        <w:spacing w:before="10"/>
        <w:rPr>
          <w:b/>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0"/>
        <w:gridCol w:w="1260"/>
        <w:gridCol w:w="200"/>
        <w:gridCol w:w="1260"/>
        <w:gridCol w:w="200"/>
        <w:gridCol w:w="1305"/>
        <w:gridCol w:w="200"/>
        <w:gridCol w:w="1395"/>
      </w:tblGrid>
      <w:tr>
        <w:trPr>
          <w:trHeight w:val="208" w:hRule="exact"/>
        </w:trPr>
        <w:tc>
          <w:tcPr>
            <w:tcW w:w="3440" w:type="dxa"/>
          </w:tcPr>
          <w:p>
            <w:pPr>
              <w:pStyle w:val="TableParagraph"/>
              <w:spacing w:line="197" w:lineRule="exact"/>
              <w:ind w:left="50"/>
              <w:jc w:val="left"/>
              <w:rPr>
                <w:sz w:val="18"/>
              </w:rPr>
            </w:pPr>
            <w:r>
              <w:rPr>
                <w:color w:val="231F20"/>
                <w:sz w:val="18"/>
              </w:rPr>
              <w:t>Salaries, wages, and benefits  . . . . . . . . . . . . </w:t>
            </w:r>
          </w:p>
        </w:tc>
        <w:tc>
          <w:tcPr>
            <w:tcW w:w="1260" w:type="dxa"/>
          </w:tcPr>
          <w:p>
            <w:pPr>
              <w:pStyle w:val="TableParagraph"/>
              <w:spacing w:line="197" w:lineRule="exact"/>
              <w:ind w:right="68"/>
              <w:rPr>
                <w:sz w:val="18"/>
              </w:rPr>
            </w:pPr>
            <w:r>
              <w:rPr>
                <w:color w:val="231F20"/>
                <w:sz w:val="18"/>
              </w:rPr>
              <w:t>3.69¢</w:t>
            </w:r>
          </w:p>
        </w:tc>
        <w:tc>
          <w:tcPr>
            <w:tcW w:w="200" w:type="dxa"/>
          </w:tcPr>
          <w:p>
            <w:pPr/>
          </w:p>
        </w:tc>
        <w:tc>
          <w:tcPr>
            <w:tcW w:w="1260" w:type="dxa"/>
          </w:tcPr>
          <w:p>
            <w:pPr>
              <w:pStyle w:val="TableParagraph"/>
              <w:spacing w:line="197" w:lineRule="exact"/>
              <w:ind w:right="68"/>
              <w:rPr>
                <w:sz w:val="18"/>
              </w:rPr>
            </w:pPr>
            <w:r>
              <w:rPr>
                <w:color w:val="231F20"/>
                <w:sz w:val="18"/>
              </w:rPr>
              <w:t>3.62¢</w:t>
            </w:r>
          </w:p>
        </w:tc>
        <w:tc>
          <w:tcPr>
            <w:tcW w:w="200" w:type="dxa"/>
          </w:tcPr>
          <w:p>
            <w:pPr/>
          </w:p>
        </w:tc>
        <w:tc>
          <w:tcPr>
            <w:tcW w:w="1305" w:type="dxa"/>
          </w:tcPr>
          <w:p>
            <w:pPr>
              <w:pStyle w:val="TableParagraph"/>
              <w:spacing w:line="197" w:lineRule="exact"/>
              <w:ind w:left="829"/>
              <w:jc w:val="left"/>
              <w:rPr>
                <w:sz w:val="18"/>
              </w:rPr>
            </w:pPr>
            <w:r>
              <w:rPr>
                <w:color w:val="231F20"/>
                <w:sz w:val="18"/>
              </w:rPr>
              <w:t>0.07¢</w:t>
            </w:r>
          </w:p>
        </w:tc>
        <w:tc>
          <w:tcPr>
            <w:tcW w:w="200" w:type="dxa"/>
          </w:tcPr>
          <w:p>
            <w:pPr/>
          </w:p>
        </w:tc>
        <w:tc>
          <w:tcPr>
            <w:tcW w:w="1395" w:type="dxa"/>
          </w:tcPr>
          <w:p>
            <w:pPr>
              <w:pStyle w:val="TableParagraph"/>
              <w:spacing w:line="197" w:lineRule="exact"/>
              <w:rPr>
                <w:sz w:val="18"/>
              </w:rPr>
            </w:pPr>
            <w:r>
              <w:rPr>
                <w:color w:val="231F20"/>
                <w:sz w:val="18"/>
              </w:rPr>
              <w:t>1.9%</w:t>
            </w:r>
          </w:p>
        </w:tc>
      </w:tr>
      <w:tr>
        <w:trPr>
          <w:trHeight w:val="220" w:hRule="exact"/>
        </w:trPr>
        <w:tc>
          <w:tcPr>
            <w:tcW w:w="3440" w:type="dxa"/>
          </w:tcPr>
          <w:p>
            <w:pPr>
              <w:pStyle w:val="TableParagraph"/>
              <w:spacing w:before="1"/>
              <w:ind w:left="50"/>
              <w:jc w:val="left"/>
              <w:rPr>
                <w:sz w:val="18"/>
              </w:rPr>
            </w:pPr>
            <w:r>
              <w:rPr>
                <w:color w:val="231F20"/>
                <w:sz w:val="18"/>
              </w:rPr>
              <w:t>Fuel and oil   . . . . . . . . . . . . . . . . . . . . . . . . . </w:t>
            </w:r>
          </w:p>
        </w:tc>
        <w:tc>
          <w:tcPr>
            <w:tcW w:w="1260" w:type="dxa"/>
          </w:tcPr>
          <w:p>
            <w:pPr>
              <w:pStyle w:val="TableParagraph"/>
              <w:spacing w:before="1"/>
              <w:ind w:right="158"/>
              <w:rPr>
                <w:sz w:val="18"/>
              </w:rPr>
            </w:pPr>
            <w:r>
              <w:rPr>
                <w:color w:val="231F20"/>
                <w:sz w:val="18"/>
              </w:rPr>
              <w:t>4.78</w:t>
            </w:r>
          </w:p>
        </w:tc>
        <w:tc>
          <w:tcPr>
            <w:tcW w:w="200" w:type="dxa"/>
          </w:tcPr>
          <w:p>
            <w:pPr/>
          </w:p>
        </w:tc>
        <w:tc>
          <w:tcPr>
            <w:tcW w:w="1260" w:type="dxa"/>
          </w:tcPr>
          <w:p>
            <w:pPr>
              <w:pStyle w:val="TableParagraph"/>
              <w:spacing w:before="1"/>
              <w:ind w:right="158"/>
              <w:rPr>
                <w:sz w:val="18"/>
              </w:rPr>
            </w:pPr>
            <w:r>
              <w:rPr>
                <w:color w:val="231F20"/>
                <w:sz w:val="18"/>
              </w:rPr>
              <w:t>4.68</w:t>
            </w:r>
          </w:p>
        </w:tc>
        <w:tc>
          <w:tcPr>
            <w:tcW w:w="200" w:type="dxa"/>
          </w:tcPr>
          <w:p>
            <w:pPr/>
          </w:p>
        </w:tc>
        <w:tc>
          <w:tcPr>
            <w:tcW w:w="1305" w:type="dxa"/>
          </w:tcPr>
          <w:p>
            <w:pPr>
              <w:pStyle w:val="TableParagraph"/>
              <w:spacing w:before="1"/>
              <w:ind w:left="829"/>
              <w:jc w:val="left"/>
              <w:rPr>
                <w:sz w:val="18"/>
              </w:rPr>
            </w:pPr>
            <w:r>
              <w:rPr>
                <w:color w:val="231F20"/>
                <w:sz w:val="18"/>
              </w:rPr>
              <w:t>0.10</w:t>
            </w:r>
          </w:p>
        </w:tc>
        <w:tc>
          <w:tcPr>
            <w:tcW w:w="200" w:type="dxa"/>
          </w:tcPr>
          <w:p>
            <w:pPr/>
          </w:p>
        </w:tc>
        <w:tc>
          <w:tcPr>
            <w:tcW w:w="1395" w:type="dxa"/>
          </w:tcPr>
          <w:p>
            <w:pPr>
              <w:pStyle w:val="TableParagraph"/>
              <w:spacing w:before="1"/>
              <w:ind w:right="147"/>
              <w:rPr>
                <w:sz w:val="18"/>
              </w:rPr>
            </w:pPr>
            <w:r>
              <w:rPr>
                <w:color w:val="231F20"/>
                <w:sz w:val="18"/>
              </w:rPr>
              <w:t>2.1</w:t>
            </w:r>
          </w:p>
        </w:tc>
      </w:tr>
      <w:tr>
        <w:trPr>
          <w:trHeight w:val="220" w:hRule="exact"/>
        </w:trPr>
        <w:tc>
          <w:tcPr>
            <w:tcW w:w="3440" w:type="dxa"/>
          </w:tcPr>
          <w:p>
            <w:pPr>
              <w:pStyle w:val="TableParagraph"/>
              <w:spacing w:before="1"/>
              <w:ind w:left="50"/>
              <w:jc w:val="left"/>
              <w:rPr>
                <w:sz w:val="18"/>
              </w:rPr>
            </w:pPr>
            <w:r>
              <w:rPr>
                <w:color w:val="231F20"/>
                <w:sz w:val="18"/>
              </w:rPr>
              <w:t>Maintenance materials and repairs   . . . . . . . </w:t>
            </w:r>
          </w:p>
        </w:tc>
        <w:tc>
          <w:tcPr>
            <w:tcW w:w="1260" w:type="dxa"/>
          </w:tcPr>
          <w:p>
            <w:pPr>
              <w:pStyle w:val="TableParagraph"/>
              <w:spacing w:before="1"/>
              <w:ind w:right="158"/>
              <w:rPr>
                <w:sz w:val="18"/>
              </w:rPr>
            </w:pPr>
            <w:r>
              <w:rPr>
                <w:color w:val="231F20"/>
                <w:sz w:val="18"/>
              </w:rPr>
              <w:t>0.88</w:t>
            </w:r>
          </w:p>
        </w:tc>
        <w:tc>
          <w:tcPr>
            <w:tcW w:w="200" w:type="dxa"/>
          </w:tcPr>
          <w:p>
            <w:pPr/>
          </w:p>
        </w:tc>
        <w:tc>
          <w:tcPr>
            <w:tcW w:w="1260" w:type="dxa"/>
          </w:tcPr>
          <w:p>
            <w:pPr>
              <w:pStyle w:val="TableParagraph"/>
              <w:spacing w:before="1"/>
              <w:ind w:right="158"/>
              <w:rPr>
                <w:sz w:val="18"/>
              </w:rPr>
            </w:pPr>
            <w:r>
              <w:rPr>
                <w:color w:val="231F20"/>
                <w:sz w:val="18"/>
              </w:rPr>
              <w:t>0.79</w:t>
            </w:r>
          </w:p>
        </w:tc>
        <w:tc>
          <w:tcPr>
            <w:tcW w:w="200" w:type="dxa"/>
          </w:tcPr>
          <w:p>
            <w:pPr/>
          </w:p>
        </w:tc>
        <w:tc>
          <w:tcPr>
            <w:tcW w:w="1305" w:type="dxa"/>
          </w:tcPr>
          <w:p>
            <w:pPr>
              <w:pStyle w:val="TableParagraph"/>
              <w:spacing w:before="1"/>
              <w:ind w:left="829"/>
              <w:jc w:val="left"/>
              <w:rPr>
                <w:sz w:val="18"/>
              </w:rPr>
            </w:pPr>
            <w:r>
              <w:rPr>
                <w:color w:val="231F20"/>
                <w:sz w:val="18"/>
              </w:rPr>
              <w:t>0.09</w:t>
            </w:r>
          </w:p>
        </w:tc>
        <w:tc>
          <w:tcPr>
            <w:tcW w:w="200" w:type="dxa"/>
          </w:tcPr>
          <w:p>
            <w:pPr/>
          </w:p>
        </w:tc>
        <w:tc>
          <w:tcPr>
            <w:tcW w:w="1395" w:type="dxa"/>
          </w:tcPr>
          <w:p>
            <w:pPr>
              <w:pStyle w:val="TableParagraph"/>
              <w:spacing w:before="1"/>
              <w:ind w:left="929"/>
              <w:jc w:val="left"/>
              <w:rPr>
                <w:sz w:val="18"/>
              </w:rPr>
            </w:pPr>
            <w:r>
              <w:rPr>
                <w:color w:val="231F20"/>
                <w:sz w:val="18"/>
              </w:rPr>
              <w:t>11.4</w:t>
            </w:r>
          </w:p>
        </w:tc>
      </w:tr>
      <w:tr>
        <w:trPr>
          <w:trHeight w:val="220" w:hRule="exact"/>
        </w:trPr>
        <w:tc>
          <w:tcPr>
            <w:tcW w:w="3440" w:type="dxa"/>
          </w:tcPr>
          <w:p>
            <w:pPr>
              <w:pStyle w:val="TableParagraph"/>
              <w:spacing w:before="1"/>
              <w:ind w:left="50"/>
              <w:jc w:val="left"/>
              <w:rPr>
                <w:sz w:val="18"/>
              </w:rPr>
            </w:pPr>
            <w:r>
              <w:rPr>
                <w:color w:val="231F20"/>
                <w:sz w:val="18"/>
              </w:rPr>
              <w:t>Aircraft rentals  . . . . . . . . . . . . . . . . . . . . . . . </w:t>
            </w:r>
          </w:p>
        </w:tc>
        <w:tc>
          <w:tcPr>
            <w:tcW w:w="1260" w:type="dxa"/>
          </w:tcPr>
          <w:p>
            <w:pPr>
              <w:pStyle w:val="TableParagraph"/>
              <w:spacing w:before="1"/>
              <w:ind w:right="158"/>
              <w:rPr>
                <w:sz w:val="18"/>
              </w:rPr>
            </w:pPr>
            <w:r>
              <w:rPr>
                <w:color w:val="231F20"/>
                <w:sz w:val="18"/>
              </w:rPr>
              <w:t>0.28</w:t>
            </w:r>
          </w:p>
        </w:tc>
        <w:tc>
          <w:tcPr>
            <w:tcW w:w="200" w:type="dxa"/>
          </w:tcPr>
          <w:p>
            <w:pPr/>
          </w:p>
        </w:tc>
        <w:tc>
          <w:tcPr>
            <w:tcW w:w="1260" w:type="dxa"/>
          </w:tcPr>
          <w:p>
            <w:pPr>
              <w:pStyle w:val="TableParagraph"/>
              <w:spacing w:before="1"/>
              <w:ind w:right="158"/>
              <w:rPr>
                <w:sz w:val="18"/>
              </w:rPr>
            </w:pPr>
            <w:r>
              <w:rPr>
                <w:color w:val="231F20"/>
                <w:sz w:val="18"/>
              </w:rPr>
              <w:t>0.26</w:t>
            </w:r>
          </w:p>
        </w:tc>
        <w:tc>
          <w:tcPr>
            <w:tcW w:w="200" w:type="dxa"/>
          </w:tcPr>
          <w:p>
            <w:pPr/>
          </w:p>
        </w:tc>
        <w:tc>
          <w:tcPr>
            <w:tcW w:w="1305" w:type="dxa"/>
          </w:tcPr>
          <w:p>
            <w:pPr>
              <w:pStyle w:val="TableParagraph"/>
              <w:spacing w:before="1"/>
              <w:ind w:left="829"/>
              <w:jc w:val="left"/>
              <w:rPr>
                <w:sz w:val="18"/>
              </w:rPr>
            </w:pPr>
            <w:r>
              <w:rPr>
                <w:color w:val="231F20"/>
                <w:sz w:val="18"/>
              </w:rPr>
              <w:t>0.02</w:t>
            </w:r>
          </w:p>
        </w:tc>
        <w:tc>
          <w:tcPr>
            <w:tcW w:w="200" w:type="dxa"/>
          </w:tcPr>
          <w:p>
            <w:pPr/>
          </w:p>
        </w:tc>
        <w:tc>
          <w:tcPr>
            <w:tcW w:w="1395" w:type="dxa"/>
          </w:tcPr>
          <w:p>
            <w:pPr>
              <w:pStyle w:val="TableParagraph"/>
              <w:spacing w:before="1"/>
              <w:ind w:right="147"/>
              <w:rPr>
                <w:sz w:val="18"/>
              </w:rPr>
            </w:pPr>
            <w:r>
              <w:rPr>
                <w:color w:val="231F20"/>
                <w:sz w:val="18"/>
              </w:rPr>
              <w:t>7.7</w:t>
            </w:r>
          </w:p>
        </w:tc>
      </w:tr>
      <w:tr>
        <w:trPr>
          <w:trHeight w:val="220" w:hRule="exact"/>
        </w:trPr>
        <w:tc>
          <w:tcPr>
            <w:tcW w:w="3440" w:type="dxa"/>
          </w:tcPr>
          <w:p>
            <w:pPr>
              <w:pStyle w:val="TableParagraph"/>
              <w:spacing w:before="1"/>
              <w:ind w:left="50"/>
              <w:jc w:val="left"/>
              <w:rPr>
                <w:sz w:val="18"/>
              </w:rPr>
            </w:pPr>
            <w:r>
              <w:rPr>
                <w:color w:val="231F20"/>
                <w:sz w:val="18"/>
              </w:rPr>
              <w:t>Landing fees and other rentals . . . . . . . . . . . </w:t>
            </w:r>
          </w:p>
        </w:tc>
        <w:tc>
          <w:tcPr>
            <w:tcW w:w="1260" w:type="dxa"/>
          </w:tcPr>
          <w:p>
            <w:pPr>
              <w:pStyle w:val="TableParagraph"/>
              <w:spacing w:before="1"/>
              <w:ind w:right="158"/>
              <w:rPr>
                <w:sz w:val="18"/>
              </w:rPr>
            </w:pPr>
            <w:r>
              <w:rPr>
                <w:color w:val="231F20"/>
                <w:sz w:val="18"/>
              </w:rPr>
              <w:t>0.81</w:t>
            </w:r>
          </w:p>
        </w:tc>
        <w:tc>
          <w:tcPr>
            <w:tcW w:w="200" w:type="dxa"/>
          </w:tcPr>
          <w:p>
            <w:pPr/>
          </w:p>
        </w:tc>
        <w:tc>
          <w:tcPr>
            <w:tcW w:w="1260" w:type="dxa"/>
          </w:tcPr>
          <w:p>
            <w:pPr>
              <w:pStyle w:val="TableParagraph"/>
              <w:spacing w:before="1"/>
              <w:ind w:right="158"/>
              <w:rPr>
                <w:sz w:val="18"/>
              </w:rPr>
            </w:pPr>
            <w:r>
              <w:rPr>
                <w:color w:val="231F20"/>
                <w:sz w:val="18"/>
              </w:rPr>
              <w:t>0.80</w:t>
            </w:r>
          </w:p>
        </w:tc>
        <w:tc>
          <w:tcPr>
            <w:tcW w:w="200" w:type="dxa"/>
          </w:tcPr>
          <w:p>
            <w:pPr/>
          </w:p>
        </w:tc>
        <w:tc>
          <w:tcPr>
            <w:tcW w:w="1305" w:type="dxa"/>
          </w:tcPr>
          <w:p>
            <w:pPr>
              <w:pStyle w:val="TableParagraph"/>
              <w:spacing w:before="1"/>
              <w:ind w:left="829"/>
              <w:jc w:val="left"/>
              <w:rPr>
                <w:sz w:val="18"/>
              </w:rPr>
            </w:pPr>
            <w:r>
              <w:rPr>
                <w:color w:val="231F20"/>
                <w:sz w:val="18"/>
              </w:rPr>
              <w:t>0.01</w:t>
            </w:r>
          </w:p>
        </w:tc>
        <w:tc>
          <w:tcPr>
            <w:tcW w:w="200" w:type="dxa"/>
          </w:tcPr>
          <w:p>
            <w:pPr/>
          </w:p>
        </w:tc>
        <w:tc>
          <w:tcPr>
            <w:tcW w:w="1395" w:type="dxa"/>
          </w:tcPr>
          <w:p>
            <w:pPr>
              <w:pStyle w:val="TableParagraph"/>
              <w:spacing w:before="1"/>
              <w:ind w:right="147"/>
              <w:rPr>
                <w:sz w:val="18"/>
              </w:rPr>
            </w:pPr>
            <w:r>
              <w:rPr>
                <w:color w:val="231F20"/>
                <w:sz w:val="18"/>
              </w:rPr>
              <w:t>1.3</w:t>
            </w:r>
          </w:p>
        </w:tc>
      </w:tr>
      <w:tr>
        <w:trPr>
          <w:trHeight w:val="220" w:hRule="exact"/>
        </w:trPr>
        <w:tc>
          <w:tcPr>
            <w:tcW w:w="3440" w:type="dxa"/>
          </w:tcPr>
          <w:p>
            <w:pPr>
              <w:pStyle w:val="TableParagraph"/>
              <w:spacing w:before="1"/>
              <w:ind w:left="50"/>
              <w:jc w:val="left"/>
              <w:rPr>
                <w:sz w:val="18"/>
              </w:rPr>
            </w:pPr>
            <w:r>
              <w:rPr>
                <w:color w:val="231F20"/>
                <w:sz w:val="18"/>
              </w:rPr>
              <w:t>Depreciation and amortization . . . . . . . . . . . </w:t>
            </w:r>
          </w:p>
        </w:tc>
        <w:tc>
          <w:tcPr>
            <w:tcW w:w="1260" w:type="dxa"/>
          </w:tcPr>
          <w:p>
            <w:pPr>
              <w:pStyle w:val="TableParagraph"/>
              <w:spacing w:before="1"/>
              <w:ind w:right="158"/>
              <w:rPr>
                <w:sz w:val="18"/>
              </w:rPr>
            </w:pPr>
            <w:r>
              <w:rPr>
                <w:color w:val="231F20"/>
                <w:sz w:val="18"/>
              </w:rPr>
              <w:t>0.66</w:t>
            </w:r>
          </w:p>
        </w:tc>
        <w:tc>
          <w:tcPr>
            <w:tcW w:w="200" w:type="dxa"/>
          </w:tcPr>
          <w:p>
            <w:pPr/>
          </w:p>
        </w:tc>
        <w:tc>
          <w:tcPr>
            <w:tcW w:w="1260" w:type="dxa"/>
          </w:tcPr>
          <w:p>
            <w:pPr>
              <w:pStyle w:val="TableParagraph"/>
              <w:spacing w:before="1"/>
              <w:ind w:right="158"/>
              <w:rPr>
                <w:sz w:val="18"/>
              </w:rPr>
            </w:pPr>
            <w:r>
              <w:rPr>
                <w:color w:val="231F20"/>
                <w:sz w:val="18"/>
              </w:rPr>
              <w:t>0.59</w:t>
            </w:r>
          </w:p>
        </w:tc>
        <w:tc>
          <w:tcPr>
            <w:tcW w:w="200" w:type="dxa"/>
          </w:tcPr>
          <w:p>
            <w:pPr/>
          </w:p>
        </w:tc>
        <w:tc>
          <w:tcPr>
            <w:tcW w:w="1305" w:type="dxa"/>
          </w:tcPr>
          <w:p>
            <w:pPr>
              <w:pStyle w:val="TableParagraph"/>
              <w:spacing w:before="1"/>
              <w:ind w:left="829"/>
              <w:jc w:val="left"/>
              <w:rPr>
                <w:sz w:val="18"/>
              </w:rPr>
            </w:pPr>
            <w:r>
              <w:rPr>
                <w:color w:val="231F20"/>
                <w:sz w:val="18"/>
              </w:rPr>
              <w:t>0.07</w:t>
            </w:r>
          </w:p>
        </w:tc>
        <w:tc>
          <w:tcPr>
            <w:tcW w:w="200" w:type="dxa"/>
          </w:tcPr>
          <w:p>
            <w:pPr/>
          </w:p>
        </w:tc>
        <w:tc>
          <w:tcPr>
            <w:tcW w:w="1395" w:type="dxa"/>
          </w:tcPr>
          <w:p>
            <w:pPr>
              <w:pStyle w:val="TableParagraph"/>
              <w:spacing w:before="1"/>
              <w:ind w:left="929"/>
              <w:jc w:val="left"/>
              <w:rPr>
                <w:sz w:val="18"/>
              </w:rPr>
            </w:pPr>
            <w:r>
              <w:rPr>
                <w:color w:val="231F20"/>
                <w:sz w:val="18"/>
              </w:rPr>
              <w:t>11.9</w:t>
            </w:r>
          </w:p>
        </w:tc>
      </w:tr>
      <w:tr>
        <w:trPr>
          <w:trHeight w:val="220" w:hRule="exact"/>
        </w:trPr>
        <w:tc>
          <w:tcPr>
            <w:tcW w:w="3440" w:type="dxa"/>
          </w:tcPr>
          <w:p>
            <w:pPr>
              <w:pStyle w:val="TableParagraph"/>
              <w:spacing w:before="1"/>
              <w:ind w:left="50"/>
              <w:jc w:val="left"/>
              <w:rPr>
                <w:sz w:val="18"/>
              </w:rPr>
            </w:pPr>
            <w:r>
              <w:rPr>
                <w:color w:val="231F20"/>
                <w:sz w:val="18"/>
              </w:rPr>
              <w:t>Acquisition and integration  . . . . . . . . . . . . . </w:t>
            </w:r>
          </w:p>
        </w:tc>
        <w:tc>
          <w:tcPr>
            <w:tcW w:w="1260" w:type="dxa"/>
          </w:tcPr>
          <w:p>
            <w:pPr>
              <w:pStyle w:val="TableParagraph"/>
              <w:spacing w:before="1"/>
              <w:ind w:right="158"/>
              <w:rPr>
                <w:sz w:val="18"/>
              </w:rPr>
            </w:pPr>
            <w:r>
              <w:rPr>
                <w:color w:val="231F20"/>
                <w:sz w:val="18"/>
              </w:rPr>
              <w:t>0.14</w:t>
            </w:r>
          </w:p>
        </w:tc>
        <w:tc>
          <w:tcPr>
            <w:tcW w:w="200" w:type="dxa"/>
          </w:tcPr>
          <w:p>
            <w:pPr/>
          </w:p>
        </w:tc>
        <w:tc>
          <w:tcPr>
            <w:tcW w:w="1260" w:type="dxa"/>
          </w:tcPr>
          <w:p>
            <w:pPr>
              <w:pStyle w:val="TableParagraph"/>
              <w:spacing w:before="1"/>
              <w:ind w:right="158"/>
              <w:rPr>
                <w:sz w:val="18"/>
              </w:rPr>
            </w:pPr>
            <w:r>
              <w:rPr>
                <w:color w:val="231F20"/>
                <w:sz w:val="18"/>
              </w:rPr>
              <w:t>0.11</w:t>
            </w:r>
          </w:p>
        </w:tc>
        <w:tc>
          <w:tcPr>
            <w:tcW w:w="200" w:type="dxa"/>
          </w:tcPr>
          <w:p>
            <w:pPr/>
          </w:p>
        </w:tc>
        <w:tc>
          <w:tcPr>
            <w:tcW w:w="1305" w:type="dxa"/>
          </w:tcPr>
          <w:p>
            <w:pPr>
              <w:pStyle w:val="TableParagraph"/>
              <w:spacing w:before="1"/>
              <w:ind w:left="829"/>
              <w:jc w:val="left"/>
              <w:rPr>
                <w:sz w:val="18"/>
              </w:rPr>
            </w:pPr>
            <w:r>
              <w:rPr>
                <w:color w:val="231F20"/>
                <w:sz w:val="18"/>
              </w:rPr>
              <w:t>0.03</w:t>
            </w:r>
          </w:p>
        </w:tc>
        <w:tc>
          <w:tcPr>
            <w:tcW w:w="200" w:type="dxa"/>
          </w:tcPr>
          <w:p>
            <w:pPr/>
          </w:p>
        </w:tc>
        <w:tc>
          <w:tcPr>
            <w:tcW w:w="1395" w:type="dxa"/>
          </w:tcPr>
          <w:p>
            <w:pPr>
              <w:pStyle w:val="TableParagraph"/>
              <w:spacing w:before="1"/>
              <w:ind w:left="929"/>
              <w:jc w:val="left"/>
              <w:rPr>
                <w:sz w:val="18"/>
              </w:rPr>
            </w:pPr>
            <w:r>
              <w:rPr>
                <w:color w:val="231F20"/>
                <w:sz w:val="18"/>
              </w:rPr>
              <w:t>27.3</w:t>
            </w:r>
          </w:p>
        </w:tc>
      </w:tr>
      <w:tr>
        <w:trPr>
          <w:trHeight w:val="245" w:hRule="exact"/>
        </w:trPr>
        <w:tc>
          <w:tcPr>
            <w:tcW w:w="3440" w:type="dxa"/>
          </w:tcPr>
          <w:p>
            <w:pPr>
              <w:pStyle w:val="TableParagraph"/>
              <w:spacing w:before="1"/>
              <w:ind w:left="50"/>
              <w:jc w:val="left"/>
              <w:rPr>
                <w:sz w:val="18"/>
              </w:rPr>
            </w:pPr>
            <w:r>
              <w:rPr>
                <w:color w:val="231F20"/>
                <w:sz w:val="18"/>
              </w:rPr>
              <w:t>Other operating expenses . . . . . . . . . . . . . . . </w:t>
            </w:r>
          </w:p>
        </w:tc>
        <w:tc>
          <w:tcPr>
            <w:tcW w:w="1260" w:type="dxa"/>
            <w:tcBorders>
              <w:bottom w:val="single" w:sz="4" w:space="0" w:color="231F20"/>
            </w:tcBorders>
          </w:tcPr>
          <w:p>
            <w:pPr>
              <w:pStyle w:val="TableParagraph"/>
              <w:spacing w:before="1"/>
              <w:ind w:right="158"/>
              <w:rPr>
                <w:sz w:val="18"/>
              </w:rPr>
            </w:pPr>
            <w:r>
              <w:rPr>
                <w:color w:val="231F20"/>
                <w:sz w:val="18"/>
              </w:rPr>
              <w:t>1.61</w:t>
            </w:r>
          </w:p>
        </w:tc>
        <w:tc>
          <w:tcPr>
            <w:tcW w:w="200" w:type="dxa"/>
          </w:tcPr>
          <w:p>
            <w:pPr/>
          </w:p>
        </w:tc>
        <w:tc>
          <w:tcPr>
            <w:tcW w:w="1260" w:type="dxa"/>
            <w:tcBorders>
              <w:bottom w:val="single" w:sz="4" w:space="0" w:color="231F20"/>
            </w:tcBorders>
          </w:tcPr>
          <w:p>
            <w:pPr>
              <w:pStyle w:val="TableParagraph"/>
              <w:spacing w:before="1"/>
              <w:ind w:right="158"/>
              <w:rPr>
                <w:sz w:val="18"/>
              </w:rPr>
            </w:pPr>
            <w:r>
              <w:rPr>
                <w:color w:val="231F20"/>
                <w:sz w:val="18"/>
              </w:rPr>
              <w:t>1.56</w:t>
            </w:r>
          </w:p>
        </w:tc>
        <w:tc>
          <w:tcPr>
            <w:tcW w:w="200" w:type="dxa"/>
          </w:tcPr>
          <w:p>
            <w:pPr/>
          </w:p>
        </w:tc>
        <w:tc>
          <w:tcPr>
            <w:tcW w:w="1305" w:type="dxa"/>
            <w:tcBorders>
              <w:bottom w:val="single" w:sz="4" w:space="0" w:color="231F20"/>
            </w:tcBorders>
          </w:tcPr>
          <w:p>
            <w:pPr>
              <w:pStyle w:val="TableParagraph"/>
              <w:spacing w:before="1"/>
              <w:ind w:left="829"/>
              <w:jc w:val="left"/>
              <w:rPr>
                <w:sz w:val="18"/>
              </w:rPr>
            </w:pPr>
            <w:r>
              <w:rPr>
                <w:color w:val="231F20"/>
                <w:sz w:val="18"/>
              </w:rPr>
              <w:t>0.05</w:t>
            </w:r>
          </w:p>
        </w:tc>
        <w:tc>
          <w:tcPr>
            <w:tcW w:w="200" w:type="dxa"/>
          </w:tcPr>
          <w:p>
            <w:pPr/>
          </w:p>
        </w:tc>
        <w:tc>
          <w:tcPr>
            <w:tcW w:w="1395" w:type="dxa"/>
            <w:tcBorders>
              <w:bottom w:val="single" w:sz="4" w:space="0" w:color="231F20"/>
            </w:tcBorders>
          </w:tcPr>
          <w:p>
            <w:pPr>
              <w:pStyle w:val="TableParagraph"/>
              <w:spacing w:before="1"/>
              <w:ind w:right="147"/>
              <w:rPr>
                <w:sz w:val="18"/>
              </w:rPr>
            </w:pPr>
            <w:r>
              <w:rPr>
                <w:color w:val="231F20"/>
                <w:sz w:val="18"/>
              </w:rPr>
              <w:t>3.2</w:t>
            </w:r>
          </w:p>
        </w:tc>
      </w:tr>
      <w:tr>
        <w:trPr>
          <w:trHeight w:val="340" w:hRule="exact"/>
        </w:trPr>
        <w:tc>
          <w:tcPr>
            <w:tcW w:w="3440" w:type="dxa"/>
          </w:tcPr>
          <w:p>
            <w:pPr>
              <w:pStyle w:val="TableParagraph"/>
              <w:spacing w:before="57"/>
              <w:ind w:left="50"/>
              <w:jc w:val="left"/>
              <w:rPr>
                <w:sz w:val="18"/>
              </w:rPr>
            </w:pPr>
            <w:r>
              <w:rPr>
                <w:color w:val="231F20"/>
                <w:sz w:val="18"/>
              </w:rPr>
              <w:t>Total . . . . . . . . . . . . . . . . . . . . . . . . . . . . . . . </w:t>
            </w:r>
          </w:p>
        </w:tc>
        <w:tc>
          <w:tcPr>
            <w:tcW w:w="1260" w:type="dxa"/>
            <w:tcBorders>
              <w:top w:val="single" w:sz="4" w:space="0" w:color="231F20"/>
              <w:bottom w:val="single" w:sz="4" w:space="0" w:color="231F20"/>
            </w:tcBorders>
          </w:tcPr>
          <w:p>
            <w:pPr>
              <w:pStyle w:val="TableParagraph"/>
              <w:spacing w:before="52"/>
              <w:ind w:right="68"/>
              <w:rPr>
                <w:sz w:val="18"/>
              </w:rPr>
            </w:pPr>
            <w:r>
              <w:rPr>
                <w:color w:val="231F20"/>
                <w:sz w:val="18"/>
              </w:rPr>
              <w:t>12.85¢</w:t>
            </w:r>
          </w:p>
        </w:tc>
        <w:tc>
          <w:tcPr>
            <w:tcW w:w="200" w:type="dxa"/>
          </w:tcPr>
          <w:p>
            <w:pPr/>
          </w:p>
        </w:tc>
        <w:tc>
          <w:tcPr>
            <w:tcW w:w="1260" w:type="dxa"/>
            <w:tcBorders>
              <w:top w:val="single" w:sz="4" w:space="0" w:color="231F20"/>
              <w:bottom w:val="single" w:sz="4" w:space="0" w:color="231F20"/>
            </w:tcBorders>
          </w:tcPr>
          <w:p>
            <w:pPr>
              <w:pStyle w:val="TableParagraph"/>
              <w:spacing w:before="52"/>
              <w:ind w:right="68"/>
              <w:rPr>
                <w:sz w:val="18"/>
              </w:rPr>
            </w:pPr>
            <w:r>
              <w:rPr>
                <w:color w:val="231F20"/>
                <w:sz w:val="18"/>
              </w:rPr>
              <w:t>12.41¢</w:t>
            </w:r>
          </w:p>
        </w:tc>
        <w:tc>
          <w:tcPr>
            <w:tcW w:w="200" w:type="dxa"/>
          </w:tcPr>
          <w:p>
            <w:pPr/>
          </w:p>
        </w:tc>
        <w:tc>
          <w:tcPr>
            <w:tcW w:w="1305" w:type="dxa"/>
            <w:tcBorders>
              <w:top w:val="single" w:sz="4" w:space="0" w:color="231F20"/>
              <w:bottom w:val="single" w:sz="4" w:space="0" w:color="231F20"/>
            </w:tcBorders>
          </w:tcPr>
          <w:p>
            <w:pPr>
              <w:pStyle w:val="TableParagraph"/>
              <w:spacing w:before="52"/>
              <w:ind w:left="829"/>
              <w:jc w:val="left"/>
              <w:rPr>
                <w:sz w:val="18"/>
              </w:rPr>
            </w:pPr>
            <w:r>
              <w:rPr>
                <w:color w:val="231F20"/>
                <w:sz w:val="18"/>
              </w:rPr>
              <w:t>0.44¢</w:t>
            </w:r>
          </w:p>
        </w:tc>
        <w:tc>
          <w:tcPr>
            <w:tcW w:w="200" w:type="dxa"/>
          </w:tcPr>
          <w:p>
            <w:pPr/>
          </w:p>
        </w:tc>
        <w:tc>
          <w:tcPr>
            <w:tcW w:w="1395" w:type="dxa"/>
            <w:tcBorders>
              <w:top w:val="single" w:sz="4" w:space="0" w:color="231F20"/>
              <w:bottom w:val="single" w:sz="4" w:space="0" w:color="231F20"/>
            </w:tcBorders>
          </w:tcPr>
          <w:p>
            <w:pPr>
              <w:pStyle w:val="TableParagraph"/>
              <w:spacing w:before="52"/>
              <w:rPr>
                <w:sz w:val="18"/>
              </w:rPr>
            </w:pPr>
            <w:r>
              <w:rPr>
                <w:color w:val="231F20"/>
                <w:sz w:val="18"/>
              </w:rPr>
              <w:t>3.5%</w:t>
            </w:r>
          </w:p>
        </w:tc>
      </w:tr>
    </w:tbl>
    <w:p>
      <w:pPr>
        <w:pStyle w:val="BodyText"/>
        <w:spacing w:before="5"/>
        <w:rPr>
          <w:b/>
          <w:sz w:val="14"/>
        </w:rPr>
      </w:pPr>
    </w:p>
    <w:p>
      <w:pPr>
        <w:pStyle w:val="BodyText"/>
        <w:spacing w:line="249" w:lineRule="auto" w:before="89"/>
        <w:ind w:left="160" w:right="252" w:firstLine="490"/>
      </w:pPr>
      <w:r>
        <w:rPr/>
        <w:pict>
          <v:line style="position:absolute;mso-position-horizontal-relative:page;mso-position-vertical-relative:paragraph;z-index:-333448" from="238.5pt,-10.814054pt" to="301.5pt,-10.814054pt" stroked="true" strokeweight=".5pt" strokecolor="#231f20">
            <v:stroke dashstyle="solid"/>
            <w10:wrap type="none"/>
          </v:line>
        </w:pict>
      </w:r>
      <w:r>
        <w:rPr/>
        <w:pict>
          <v:line style="position:absolute;mso-position-horizontal-relative:page;mso-position-vertical-relative:paragraph;z-index:-333424" from="311.5pt,-10.814054pt" to="374.5pt,-10.814054pt" stroked="true" strokeweight=".5pt" strokecolor="#231f20">
            <v:stroke dashstyle="solid"/>
            <w10:wrap type="none"/>
          </v:line>
        </w:pict>
      </w:r>
      <w:r>
        <w:rPr/>
        <w:pict>
          <v:line style="position:absolute;mso-position-horizontal-relative:page;mso-position-vertical-relative:paragraph;z-index:-333400" from="384.5pt,-10.814054pt" to="449.75pt,-10.814054pt" stroked="true" strokeweight=".5pt" strokecolor="#231f20">
            <v:stroke dashstyle="solid"/>
            <w10:wrap type="none"/>
          </v:line>
        </w:pict>
      </w:r>
      <w:r>
        <w:rPr/>
        <w:pict>
          <v:line style="position:absolute;mso-position-horizontal-relative:page;mso-position-vertical-relative:paragraph;z-index:-333376" from="459.75pt,-10.814054pt" to="525pt,-10.814054pt" stroked="true" strokeweight=".5pt" strokecolor="#231f20">
            <v:stroke dashstyle="solid"/>
            <w10:wrap type="none"/>
          </v:line>
        </w:pict>
      </w:r>
      <w:r>
        <w:rPr>
          <w:color w:val="231F20"/>
        </w:rPr>
        <w:t>On a per ASM basis, the Company’s Operating expenses (unit costs) for 2012 increased 3.5 percent compared to 2011. Approximately 23 percent of this year-over-year cost per available seat mile increase was due to higher fuel costs, as the Company’s average jet fuel cost per gallon increased 3.4 percent to $3.30, including the impact of hedging activity, and approximately 20 percent was due to higher maintenance materials and repairs costs. An increase in acquisition and integration expenses (incurred by Southwest) of $77 million also contributed to the year-over-year increase in costs on both a dollar and a per ASM basis during 2012. On a dollar basis, excluding the results for AirTran in both periods, Operating expenses increased 6.4 percent for 2012 compared to 2011, which was attributable to higher expenses in nearly every operating cost category, except for Aircraft rentals. On a non-GAAP basis, the Company’s Operating expenses per ASM for 2012, excluding fuel, increased 4.2 percent compared to 2011.</w:t>
      </w:r>
    </w:p>
    <w:p>
      <w:pPr>
        <w:pStyle w:val="BodyText"/>
        <w:rPr>
          <w:sz w:val="18"/>
        </w:rPr>
      </w:pPr>
    </w:p>
    <w:p>
      <w:pPr>
        <w:pStyle w:val="BodyText"/>
        <w:spacing w:before="1"/>
        <w:ind w:left="650"/>
      </w:pPr>
      <w:r>
        <w:rPr>
          <w:color w:val="231F20"/>
        </w:rPr>
        <w:t>Salaries, wages, and benefits expense for 2012 increased by $378 million compared to 2011.</w:t>
      </w:r>
    </w:p>
    <w:p>
      <w:pPr>
        <w:pStyle w:val="BodyText"/>
        <w:spacing w:line="249" w:lineRule="auto" w:before="10"/>
        <w:ind w:left="160" w:right="346"/>
      </w:pPr>
      <w:r>
        <w:rPr>
          <w:color w:val="231F20"/>
        </w:rPr>
        <w:t>Approximately $139 million of this increase was due to the inclusion of the full year of AirTran results in 2012, while 2011 results only include AirTran Salaries, wages, and benefits expense following the acquisition date.</w:t>
      </w:r>
    </w:p>
    <w:p>
      <w:pPr>
        <w:pStyle w:val="BodyText"/>
        <w:spacing w:line="249" w:lineRule="auto" w:before="1"/>
        <w:ind w:left="160" w:right="221"/>
      </w:pPr>
      <w:r>
        <w:rPr>
          <w:color w:val="231F20"/>
        </w:rPr>
        <w:t>Excluding the results of AirTran in both periods, Salaries, wages, and benefits expense increased 6.0 percent on a dollar basis for 2012 compared to 2011. Approximately 64 percent of this year-over-year increase was a result of higher salaries expense and approximately 18 percent was a result of higher Employee benefits expense, both primarily due to an increase in active full-time equivalent Employees. In addition, approximately 11 percent of the increase was due to an increase in profitsharing expense resulting from higher income available for profitsharing. The Company’s profitsharing expense is based on profits that exclude the unrealized gains and/or losses the Company records for its fuel hedging program as well as acquisition and integration costs. See Note 10 to the Consolidated Financial Statements for further information on fuel hedging. On a consolidated basis, Salaries, wages, and benefits expense per ASM for 2012 increased 1.9 percent compared to 2011. The majority of the per ASM increase was due to an increase in active full-time equivalent</w:t>
      </w:r>
      <w:r>
        <w:rPr>
          <w:color w:val="231F20"/>
          <w:spacing w:val="6"/>
        </w:rPr>
        <w:t> </w:t>
      </w:r>
      <w:r>
        <w:rPr>
          <w:color w:val="231F20"/>
        </w:rPr>
        <w:t>employees.</w:t>
      </w:r>
    </w:p>
    <w:p>
      <w:pPr>
        <w:spacing w:after="0" w:line="249" w:lineRule="auto"/>
        <w:sectPr>
          <w:type w:val="continuous"/>
          <w:pgSz w:w="11880" w:h="15480"/>
          <w:pgMar w:top="1200" w:bottom="280" w:left="1220" w:right="1180"/>
        </w:sectPr>
      </w:pPr>
    </w:p>
    <w:p>
      <w:pPr>
        <w:pStyle w:val="BodyText"/>
        <w:spacing w:before="73"/>
        <w:ind w:left="590"/>
      </w:pPr>
      <w:r>
        <w:rPr>
          <w:color w:val="231F20"/>
        </w:rPr>
        <w:t>Fuel and oil expense for 2012 increased by $476 million, or 8.4 percent, compared to 2011. Approximately</w:t>
      </w:r>
    </w:p>
    <w:p>
      <w:pPr>
        <w:pStyle w:val="BodyText"/>
        <w:spacing w:line="249" w:lineRule="auto" w:before="9"/>
        <w:ind w:left="100" w:right="141"/>
      </w:pPr>
      <w:r>
        <w:rPr>
          <w:color w:val="231F20"/>
        </w:rPr>
        <w:t>$291 million of this increase was due to the inclusion of the full year of AirTran results in 2012, while the 2011 results only include AirTran fuel and oil expense following the acquisition date. Excluding the results of AirTran in both periods, Fuel and oil expense for 2012 increased 3.8 percent on a dollar basis, versus 2011. On a per ASM basis, the Company’s 2012 Fuel and oil expense increased by 2.1 percent versus 2011. Both of these increases were primarily due to a 3.4 percent increase in the Company’s average fuel cost per gallon. As a result of the Company’s fuel hedging program and inclusive of accounting for derivatives and hedging, the Company recognized net losses totaling $157 million in 2012 in Fuel and oil expense relating to fuel derivative instruments versus net losses of $64 million recognized in Fuel and oil expense in 2011. These totals are inclusive of cash settlements realized from the expiration/settlement of fuel derivatives, which were $125 million paid to counterparties in 2012 versus $63 million paid to counterparties for 2011. These totals exclude gains and/or losses recognized from hedge ineffectiveness and from derivatives that do not qualify for hedge accounting, which impacts are recorded as a component of Other (gains) losses,</w:t>
      </w:r>
      <w:r>
        <w:rPr>
          <w:color w:val="231F20"/>
          <w:spacing w:val="5"/>
        </w:rPr>
        <w:t> </w:t>
      </w:r>
      <w:r>
        <w:rPr>
          <w:color w:val="231F20"/>
        </w:rPr>
        <w:t>net.</w:t>
      </w:r>
    </w:p>
    <w:p>
      <w:pPr>
        <w:pStyle w:val="BodyText"/>
        <w:spacing w:line="249" w:lineRule="auto" w:before="180"/>
        <w:ind w:left="100" w:right="207" w:firstLine="490"/>
      </w:pPr>
      <w:r>
        <w:rPr>
          <w:color w:val="231F20"/>
        </w:rPr>
        <w:t>Maintenance materials and repairs expense for 2012 increased by $177 million, or 18.5 percent, compared to 2011. Approximately $106 million of this increase was due to the inclusion of the full year of AirTran results in 2012, while the 2011 results only include AirTran Maintenance materials and repairs expense following the acquisition date. The majority of the remaining increase was attributable to higher engine expense from higher rates associated with the Company’s 737-700 fleet. Expense for the engines on this fleet is recorded on a per- flight hour basis and the maintenance agreement covering this fleet with GE Engine Services was modified during fourth quarter 2011 primarily to incorporate the 52 737-700s from the AirTran acquisition and convert them to the Southwest maintenance program, and to extend the term of that agreement to December 31, 2021.</w:t>
      </w:r>
    </w:p>
    <w:p>
      <w:pPr>
        <w:pStyle w:val="BodyText"/>
        <w:spacing w:line="249" w:lineRule="auto"/>
        <w:ind w:left="100" w:right="134"/>
      </w:pPr>
      <w:r>
        <w:rPr>
          <w:color w:val="231F20"/>
        </w:rPr>
        <w:t>There was minimal engine maintenance expense for the AirTran 737s prior to the contract modification due to the fact that such engine expense was accounted for on a time and materials basis and there were no engine shop visits incurred. On a per ASM basis, the Company’s Maintenance materials and repairs expense for 2012 increased 11.4 percent compared to 2011. Over 40 percent of this increase was a result of the higher rates associated with the engines on the Company’s 737-700 fleet, and the majority of the remainder was due to higher airframe and component expense associated with ongoing </w:t>
      </w:r>
      <w:r>
        <w:rPr>
          <w:i/>
          <w:color w:val="231F20"/>
        </w:rPr>
        <w:t>Evolve </w:t>
      </w:r>
      <w:r>
        <w:rPr>
          <w:color w:val="231F20"/>
        </w:rPr>
        <w:t>modifications, which began in first quarter 2012.</w:t>
      </w:r>
    </w:p>
    <w:p>
      <w:pPr>
        <w:pStyle w:val="BodyText"/>
        <w:spacing w:line="249" w:lineRule="auto" w:before="180"/>
        <w:ind w:left="100" w:right="110" w:firstLine="490"/>
      </w:pPr>
      <w:r>
        <w:rPr>
          <w:color w:val="231F20"/>
        </w:rPr>
        <w:t>Aircraft rentals expense for 2012 increased by $47 million, or 15.3 percent, compared to 2011. There was an increase of approximately $54 million due to the inclusion of the full year of AirTran results in 2012, while the 2011 results only include AirTran Aircraft rentals expense following the acquisition date. Excluding the results of AirTran in both periods, as well as the impact of amortization associated with the unfavorable aircraft lease liability created as part of purchase accounting adjustments based on the estimated fair value of AirTran Boeing 717 leases, Aircraft rentals expense for 2012 decreased approximately 4.7 percent on a dollar basis compared to 2011. See Note 2 to the Consolidated Financial Statements for further information on purchase accounting. The majority of the decrease was due to a decrease in operating leased aircraft from 192 at December 2011 to 187 at December 2012. On a per ASM basis, the Company’s Aircraft rentals expense for 2012</w:t>
      </w:r>
      <w:r>
        <w:rPr>
          <w:color w:val="231F20"/>
          <w:spacing w:val="3"/>
        </w:rPr>
        <w:t> </w:t>
      </w:r>
      <w:r>
        <w:rPr>
          <w:color w:val="231F20"/>
        </w:rPr>
        <w:t>increased</w:t>
      </w:r>
    </w:p>
    <w:p>
      <w:pPr>
        <w:pStyle w:val="BodyText"/>
        <w:spacing w:line="249" w:lineRule="auto"/>
        <w:ind w:left="100" w:right="196"/>
      </w:pPr>
      <w:r>
        <w:rPr>
          <w:color w:val="231F20"/>
        </w:rPr>
        <w:t>7.7 percent compared to 2011. This increase on a per ASM basis primarily was due to the acquisition of AirTran during 2011 and the fact that AirTran leases the majority of its aircraft fleet.</w:t>
      </w:r>
    </w:p>
    <w:p>
      <w:pPr>
        <w:pStyle w:val="BodyText"/>
        <w:spacing w:line="249" w:lineRule="auto" w:before="180"/>
        <w:ind w:left="100" w:right="142" w:firstLine="490"/>
      </w:pPr>
      <w:r>
        <w:rPr>
          <w:color w:val="231F20"/>
        </w:rPr>
        <w:t>Landing fees and other rentals expense for 2012 increased by $84 million, or 8.8 percent, compared to 2011. The majority of the dollar increase was due to an increase in rates charged by airports for both landing fees and space rentals versus the same prior year period. In addition, approximately $29 million of this increase was due to the inclusion of the full year of AirTran results in 2012, while the 2011 results only include AirTran Landing fees and other rentals expense following the acquisition date. On a per ASM basis, the Company’s Landing fees and other rentals expense for 2012 increased by 1.3 percent compared to 2011 primarily due to higher rates paid for airport space.</w:t>
      </w:r>
    </w:p>
    <w:p>
      <w:pPr>
        <w:pStyle w:val="BodyText"/>
        <w:spacing w:line="249" w:lineRule="auto" w:before="180"/>
        <w:ind w:left="100" w:right="321" w:firstLine="490"/>
        <w:jc w:val="both"/>
      </w:pPr>
      <w:r>
        <w:rPr>
          <w:color w:val="231F20"/>
        </w:rPr>
        <w:t>Depreciation and amortization expense for 2012 increased by $129 million, or 18.0 percent, compared to 2011. Approximately 49 percent of this increase was due to an acceleration of depreciation expense associated with aircraft in the Company’s Classic (737-300/500) Fleet that were retired during 2012, coupled with the</w:t>
      </w:r>
    </w:p>
    <w:p>
      <w:pPr>
        <w:spacing w:after="0" w:line="249" w:lineRule="auto"/>
        <w:jc w:val="both"/>
        <w:sectPr>
          <w:pgSz w:w="11880" w:h="15480"/>
          <w:pgMar w:header="0" w:footer="1253" w:top="1240" w:bottom="1440" w:left="1280" w:right="1280"/>
        </w:sectPr>
      </w:pPr>
    </w:p>
    <w:p>
      <w:pPr>
        <w:pStyle w:val="BodyText"/>
        <w:spacing w:line="249" w:lineRule="auto" w:before="73"/>
        <w:ind w:left="160" w:right="96"/>
      </w:pPr>
      <w:r>
        <w:rPr>
          <w:color w:val="231F20"/>
        </w:rPr>
        <w:t>reduction in salvage values for the Company’s Classic Fleet. See Note 3 to the Consolidated Financial Statements for further information on these changes in estimates. In addition, approximately 34 percent of this increase was due to a full year of depreciation associated with the purchase of 18 aircraft (737-700s) in 2011 and the purchase of 29 aircraft (737-800s) during 2012 and approximately $16 million of this increase was due to the inclusion of the full year of AirTran results in 2012, while the 2011 results only include AirTran Depreciation and amortization expense following the acquisition date. On a per ASM basis, the Company’s Depreciation and amortization expense for 2012 increased by 11.9 percent compared to 2011, primarily due to the acceleration of depreciation expense associated with the aircraft in the Company’s Classic Fleet that were retired in 2012, coupled with a reduction in salvage values for the Company’s Classic Fleet.</w:t>
      </w:r>
    </w:p>
    <w:p>
      <w:pPr>
        <w:pStyle w:val="BodyText"/>
        <w:spacing w:line="249" w:lineRule="auto" w:before="170"/>
        <w:ind w:left="160" w:right="219" w:firstLine="490"/>
      </w:pPr>
      <w:r>
        <w:rPr>
          <w:color w:val="231F20"/>
        </w:rPr>
        <w:t>For 2012, the Company incurred $183 million of Acquisition and integration costs related to the acquisition of AirTran compared to $134 million for 2011. These 2012 costs primarily consisted of costs associated with the Company’s lease/sublease transaction for AirTran’s Boeing 717-200 fleet, consulting, flight crew training, seniority integration, and facility integration expenses. See Note 2 and Note 8 to the Consolidated Financial Statements.</w:t>
      </w:r>
    </w:p>
    <w:p>
      <w:pPr>
        <w:pStyle w:val="BodyText"/>
        <w:spacing w:before="170"/>
        <w:ind w:left="650"/>
      </w:pPr>
      <w:r>
        <w:rPr>
          <w:color w:val="231F20"/>
        </w:rPr>
        <w:t>Other operating expenses for 2012 increased by $160 million, or 8.5 percent, compared to 2011.</w:t>
      </w:r>
    </w:p>
    <w:p>
      <w:pPr>
        <w:pStyle w:val="BodyText"/>
        <w:spacing w:line="249" w:lineRule="auto" w:before="9"/>
        <w:ind w:left="160" w:right="258"/>
      </w:pPr>
      <w:r>
        <w:rPr>
          <w:color w:val="231F20"/>
        </w:rPr>
        <w:t>Approximately $65 million of this increase was due to the inclusion of the full year of AirTran results in 2012, while the 2011 results only include AirTran Other operating expenses following the acquisition date. Excluding the results of AirTran in both periods, Other operating expenses for 2012 increased 5.8 percent on a dollar basis compared to 2011. This increase was primarily due to consulting fees, WiFi enplanement fees, and other costs associated with completed and ongoing projects, the majority of which were related to the Company’s strategic initiatives as previously discussed. On a per ASM basis, the Company’s Other operating expenses for 2012 increased by 3.2 percent compared to 2011, also due to consulting and other outside services costs associated with completed and ongoing projects.</w:t>
      </w:r>
    </w:p>
    <w:p>
      <w:pPr>
        <w:pStyle w:val="Heading3"/>
        <w:spacing w:before="169"/>
        <w:ind w:left="360"/>
      </w:pPr>
      <w:r>
        <w:rPr>
          <w:color w:val="231F20"/>
        </w:rPr>
        <w:t>Other</w:t>
      </w:r>
    </w:p>
    <w:p>
      <w:pPr>
        <w:pStyle w:val="BodyText"/>
        <w:spacing w:line="249" w:lineRule="auto" w:before="178"/>
        <w:ind w:left="160" w:right="114" w:firstLine="490"/>
      </w:pPr>
      <w:r>
        <w:rPr>
          <w:color w:val="231F20"/>
        </w:rPr>
        <w:t>Other expenses (income) include interest expense, capitalized interest, interest income, and other gains and losses. Interest expense for 2012 decreased by $47 million, or 24.2 percent, compared to 2011, primarily as a result of the Company’s repayment of its $400 million 10.5% notes in December 2011 and $385 million 6.5% notes in March 2012. See Note 2 to the Consolidated Financial Statements.</w:t>
      </w:r>
    </w:p>
    <w:p>
      <w:pPr>
        <w:pStyle w:val="BodyText"/>
        <w:spacing w:line="249" w:lineRule="auto" w:before="169"/>
        <w:ind w:left="160" w:right="256" w:firstLine="490"/>
      </w:pPr>
      <w:r>
        <w:rPr>
          <w:color w:val="231F20"/>
        </w:rPr>
        <w:t>Capitalized interest for 2012 increased by $9 million, or 75.0 percent, compared to 2011, primarily due to an increase in average progress payment balances for scheduled future aircraft deliveries.</w:t>
      </w:r>
    </w:p>
    <w:p>
      <w:pPr>
        <w:pStyle w:val="BodyText"/>
        <w:spacing w:line="249" w:lineRule="auto" w:before="169"/>
        <w:ind w:left="160" w:right="534" w:firstLine="490"/>
      </w:pPr>
      <w:r>
        <w:rPr>
          <w:color w:val="231F20"/>
        </w:rPr>
        <w:t>Interest income for 2012 decreased by $3 million, or 30.0 percent, compared to 2011, primarily due to lower rates earned on invested cash and short-term investments.</w:t>
      </w:r>
    </w:p>
    <w:p>
      <w:pPr>
        <w:pStyle w:val="BodyText"/>
        <w:spacing w:line="249" w:lineRule="auto" w:before="169"/>
        <w:ind w:left="160" w:right="263" w:firstLine="490"/>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2012 and 2011:</w:t>
      </w:r>
    </w:p>
    <w:p>
      <w:pPr>
        <w:pStyle w:val="Heading3"/>
        <w:spacing w:before="129" w:after="38"/>
        <w:ind w:left="6120"/>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95"/>
        <w:gridCol w:w="935"/>
        <w:gridCol w:w="160"/>
        <w:gridCol w:w="1180"/>
      </w:tblGrid>
      <w:tr>
        <w:trPr>
          <w:trHeight w:val="248" w:hRule="exact"/>
        </w:trPr>
        <w:tc>
          <w:tcPr>
            <w:tcW w:w="6095" w:type="dxa"/>
            <w:tcBorders>
              <w:bottom w:val="single" w:sz="8" w:space="0" w:color="231F20"/>
            </w:tcBorders>
          </w:tcPr>
          <w:p>
            <w:pPr>
              <w:pStyle w:val="TableParagraph"/>
              <w:spacing w:before="28"/>
              <w:ind w:left="50"/>
              <w:jc w:val="left"/>
              <w:rPr>
                <w:sz w:val="16"/>
              </w:rPr>
            </w:pPr>
            <w:r>
              <w:rPr>
                <w:color w:val="231F20"/>
                <w:sz w:val="16"/>
              </w:rPr>
              <w:t>(in millions)</w:t>
            </w:r>
          </w:p>
        </w:tc>
        <w:tc>
          <w:tcPr>
            <w:tcW w:w="935" w:type="dxa"/>
            <w:tcBorders>
              <w:bottom w:val="single" w:sz="8" w:space="0" w:color="231F20"/>
            </w:tcBorders>
          </w:tcPr>
          <w:p>
            <w:pPr>
              <w:pStyle w:val="TableParagraph"/>
              <w:spacing w:line="221" w:lineRule="exact"/>
              <w:ind w:left="144"/>
              <w:jc w:val="left"/>
              <w:rPr>
                <w:b/>
                <w:sz w:val="20"/>
              </w:rPr>
            </w:pPr>
            <w:r>
              <w:rPr>
                <w:b/>
                <w:color w:val="231F20"/>
                <w:sz w:val="20"/>
              </w:rPr>
              <w:t>2012</w:t>
            </w:r>
          </w:p>
        </w:tc>
        <w:tc>
          <w:tcPr>
            <w:tcW w:w="160" w:type="dxa"/>
            <w:tcBorders>
              <w:bottom w:val="single" w:sz="8" w:space="0" w:color="231F20"/>
            </w:tcBorders>
          </w:tcPr>
          <w:p>
            <w:pPr/>
          </w:p>
        </w:tc>
        <w:tc>
          <w:tcPr>
            <w:tcW w:w="1180" w:type="dxa"/>
            <w:tcBorders>
              <w:bottom w:val="single" w:sz="8" w:space="0" w:color="231F20"/>
            </w:tcBorders>
          </w:tcPr>
          <w:p>
            <w:pPr>
              <w:pStyle w:val="TableParagraph"/>
              <w:spacing w:line="221" w:lineRule="exact"/>
              <w:ind w:left="390"/>
              <w:jc w:val="left"/>
              <w:rPr>
                <w:b/>
                <w:sz w:val="20"/>
              </w:rPr>
            </w:pPr>
            <w:r>
              <w:rPr>
                <w:b/>
                <w:color w:val="231F20"/>
                <w:sz w:val="20"/>
              </w:rPr>
              <w:t>2011</w:t>
            </w:r>
          </w:p>
        </w:tc>
      </w:tr>
      <w:tr>
        <w:trPr>
          <w:trHeight w:val="484" w:hRule="exact"/>
        </w:trPr>
        <w:tc>
          <w:tcPr>
            <w:tcW w:w="6095" w:type="dxa"/>
            <w:tcBorders>
              <w:top w:val="single" w:sz="8" w:space="0" w:color="231F20"/>
            </w:tcBorders>
          </w:tcPr>
          <w:p>
            <w:pPr>
              <w:pStyle w:val="TableParagraph"/>
              <w:spacing w:before="3"/>
              <w:jc w:val="left"/>
              <w:rPr>
                <w:b/>
                <w:sz w:val="20"/>
              </w:rPr>
            </w:pPr>
          </w:p>
          <w:p>
            <w:pPr>
              <w:pStyle w:val="TableParagraph"/>
              <w:ind w:left="50"/>
              <w:jc w:val="left"/>
              <w:rPr>
                <w:sz w:val="20"/>
              </w:rPr>
            </w:pPr>
            <w:r>
              <w:rPr>
                <w:color w:val="231F20"/>
                <w:sz w:val="20"/>
              </w:rPr>
              <w:t>Mark-to-market impact from fuel contracts settling in future</w:t>
            </w:r>
          </w:p>
        </w:tc>
        <w:tc>
          <w:tcPr>
            <w:tcW w:w="935" w:type="dxa"/>
            <w:tcBorders>
              <w:top w:val="single" w:sz="8" w:space="0" w:color="231F20"/>
            </w:tcBorders>
          </w:tcPr>
          <w:p>
            <w:pPr/>
          </w:p>
        </w:tc>
        <w:tc>
          <w:tcPr>
            <w:tcW w:w="160" w:type="dxa"/>
            <w:tcBorders>
              <w:top w:val="single" w:sz="8" w:space="0" w:color="231F20"/>
            </w:tcBorders>
          </w:tcPr>
          <w:p>
            <w:pPr/>
          </w:p>
        </w:tc>
        <w:tc>
          <w:tcPr>
            <w:tcW w:w="1180" w:type="dxa"/>
            <w:tcBorders>
              <w:top w:val="single" w:sz="8" w:space="0" w:color="231F20"/>
            </w:tcBorders>
          </w:tcPr>
          <w:p>
            <w:pPr/>
          </w:p>
        </w:tc>
      </w:tr>
      <w:tr>
        <w:trPr>
          <w:trHeight w:val="240" w:hRule="exact"/>
        </w:trPr>
        <w:tc>
          <w:tcPr>
            <w:tcW w:w="6095" w:type="dxa"/>
          </w:tcPr>
          <w:p>
            <w:pPr>
              <w:pStyle w:val="TableParagraph"/>
              <w:spacing w:line="229" w:lineRule="exact"/>
              <w:ind w:right="144"/>
              <w:rPr>
                <w:sz w:val="20"/>
              </w:rPr>
            </w:pPr>
            <w:r>
              <w:rPr>
                <w:color w:val="231F20"/>
                <w:sz w:val="20"/>
              </w:rPr>
              <w:t>periods . . . . . . . . . . . . . . . . . . . . . . . . . . . . . . . . . . . . . . . . . . . . . . . . .  $</w:t>
            </w:r>
          </w:p>
        </w:tc>
        <w:tc>
          <w:tcPr>
            <w:tcW w:w="935" w:type="dxa"/>
          </w:tcPr>
          <w:p>
            <w:pPr>
              <w:pStyle w:val="TableParagraph"/>
              <w:spacing w:line="229" w:lineRule="exact"/>
              <w:ind w:right="11"/>
              <w:rPr>
                <w:sz w:val="20"/>
              </w:rPr>
            </w:pPr>
            <w:r>
              <w:rPr>
                <w:color w:val="231F20"/>
                <w:sz w:val="20"/>
              </w:rPr>
              <w:t>(221)</w:t>
            </w:r>
          </w:p>
        </w:tc>
        <w:tc>
          <w:tcPr>
            <w:tcW w:w="160" w:type="dxa"/>
          </w:tcPr>
          <w:p>
            <w:pPr/>
          </w:p>
        </w:tc>
        <w:tc>
          <w:tcPr>
            <w:tcW w:w="1180" w:type="dxa"/>
          </w:tcPr>
          <w:p>
            <w:pPr>
              <w:pStyle w:val="TableParagraph"/>
              <w:tabs>
                <w:tab w:pos="899" w:val="left" w:leader="none"/>
              </w:tabs>
              <w:spacing w:line="229" w:lineRule="exact"/>
              <w:ind w:right="79"/>
              <w:rPr>
                <w:sz w:val="20"/>
              </w:rPr>
            </w:pPr>
            <w:r>
              <w:rPr>
                <w:color w:val="231F20"/>
                <w:sz w:val="20"/>
              </w:rPr>
              <w:t>$</w:t>
              <w:tab/>
              <w:t>21</w:t>
            </w:r>
          </w:p>
        </w:tc>
      </w:tr>
      <w:tr>
        <w:trPr>
          <w:trHeight w:val="240" w:hRule="exact"/>
        </w:trPr>
        <w:tc>
          <w:tcPr>
            <w:tcW w:w="6095" w:type="dxa"/>
          </w:tcPr>
          <w:p>
            <w:pPr>
              <w:pStyle w:val="TableParagraph"/>
              <w:spacing w:line="229" w:lineRule="exact"/>
              <w:ind w:left="50"/>
              <w:jc w:val="left"/>
              <w:rPr>
                <w:sz w:val="20"/>
              </w:rPr>
            </w:pPr>
            <w:r>
              <w:rPr>
                <w:color w:val="231F20"/>
                <w:sz w:val="20"/>
              </w:rPr>
              <w:t>Ineffectiveness from fuel hedges settling in future periods  . . . . . . . . . . </w:t>
            </w:r>
          </w:p>
        </w:tc>
        <w:tc>
          <w:tcPr>
            <w:tcW w:w="935" w:type="dxa"/>
          </w:tcPr>
          <w:p>
            <w:pPr>
              <w:pStyle w:val="TableParagraph"/>
              <w:spacing w:line="229" w:lineRule="exact"/>
              <w:ind w:right="79"/>
              <w:rPr>
                <w:sz w:val="20"/>
              </w:rPr>
            </w:pPr>
            <w:r>
              <w:rPr>
                <w:color w:val="231F20"/>
                <w:sz w:val="20"/>
              </w:rPr>
              <w:t>42</w:t>
            </w:r>
          </w:p>
        </w:tc>
        <w:tc>
          <w:tcPr>
            <w:tcW w:w="160" w:type="dxa"/>
          </w:tcPr>
          <w:p>
            <w:pPr/>
          </w:p>
        </w:tc>
        <w:tc>
          <w:tcPr>
            <w:tcW w:w="1180" w:type="dxa"/>
          </w:tcPr>
          <w:p>
            <w:pPr>
              <w:pStyle w:val="TableParagraph"/>
              <w:spacing w:line="229" w:lineRule="exact"/>
              <w:ind w:right="79"/>
              <w:rPr>
                <w:sz w:val="20"/>
              </w:rPr>
            </w:pPr>
            <w:r>
              <w:rPr>
                <w:color w:val="231F20"/>
                <w:sz w:val="20"/>
              </w:rPr>
              <w:t>33</w:t>
            </w:r>
          </w:p>
        </w:tc>
      </w:tr>
      <w:tr>
        <w:trPr>
          <w:trHeight w:val="240" w:hRule="exact"/>
        </w:trPr>
        <w:tc>
          <w:tcPr>
            <w:tcW w:w="6095" w:type="dxa"/>
          </w:tcPr>
          <w:p>
            <w:pPr>
              <w:pStyle w:val="TableParagraph"/>
              <w:spacing w:line="229" w:lineRule="exact"/>
              <w:ind w:left="50"/>
              <w:jc w:val="left"/>
              <w:rPr>
                <w:sz w:val="20"/>
              </w:rPr>
            </w:pPr>
            <w:r>
              <w:rPr>
                <w:color w:val="231F20"/>
                <w:sz w:val="20"/>
              </w:rPr>
              <w:t>Realized ineffectiveness and mark-to-market (gains) or losses  . . . . . . . </w:t>
            </w:r>
          </w:p>
        </w:tc>
        <w:tc>
          <w:tcPr>
            <w:tcW w:w="935" w:type="dxa"/>
          </w:tcPr>
          <w:p>
            <w:pPr>
              <w:pStyle w:val="TableParagraph"/>
              <w:spacing w:line="229" w:lineRule="exact"/>
              <w:ind w:right="11"/>
              <w:rPr>
                <w:sz w:val="20"/>
              </w:rPr>
            </w:pPr>
            <w:r>
              <w:rPr>
                <w:color w:val="231F20"/>
                <w:sz w:val="20"/>
              </w:rPr>
              <w:t>(42)</w:t>
            </w:r>
          </w:p>
        </w:tc>
        <w:tc>
          <w:tcPr>
            <w:tcW w:w="160" w:type="dxa"/>
          </w:tcPr>
          <w:p>
            <w:pPr/>
          </w:p>
        </w:tc>
        <w:tc>
          <w:tcPr>
            <w:tcW w:w="1180" w:type="dxa"/>
          </w:tcPr>
          <w:p>
            <w:pPr>
              <w:pStyle w:val="TableParagraph"/>
              <w:spacing w:line="229" w:lineRule="exact"/>
              <w:ind w:right="79"/>
              <w:rPr>
                <w:sz w:val="20"/>
              </w:rPr>
            </w:pPr>
            <w:r>
              <w:rPr>
                <w:color w:val="231F20"/>
                <w:sz w:val="20"/>
              </w:rPr>
              <w:t>35</w:t>
            </w:r>
          </w:p>
        </w:tc>
      </w:tr>
      <w:tr>
        <w:trPr>
          <w:trHeight w:val="240" w:hRule="exact"/>
        </w:trPr>
        <w:tc>
          <w:tcPr>
            <w:tcW w:w="6095" w:type="dxa"/>
          </w:tcPr>
          <w:p>
            <w:pPr>
              <w:pStyle w:val="TableParagraph"/>
              <w:spacing w:line="229" w:lineRule="exact"/>
              <w:ind w:left="50"/>
              <w:jc w:val="left"/>
              <w:rPr>
                <w:sz w:val="20"/>
              </w:rPr>
            </w:pPr>
            <w:r>
              <w:rPr>
                <w:color w:val="231F20"/>
                <w:sz w:val="20"/>
              </w:rPr>
              <w:t>Premium cost of fuel contracts  . . . . . . . . . . . . . . . . . . . . . . . . . . . . . . . . </w:t>
            </w:r>
          </w:p>
        </w:tc>
        <w:tc>
          <w:tcPr>
            <w:tcW w:w="935" w:type="dxa"/>
          </w:tcPr>
          <w:p>
            <w:pPr>
              <w:pStyle w:val="TableParagraph"/>
              <w:spacing w:line="229" w:lineRule="exact"/>
              <w:ind w:right="79"/>
              <w:rPr>
                <w:sz w:val="20"/>
              </w:rPr>
            </w:pPr>
            <w:r>
              <w:rPr>
                <w:color w:val="231F20"/>
                <w:sz w:val="20"/>
              </w:rPr>
              <w:t>36</w:t>
            </w:r>
          </w:p>
        </w:tc>
        <w:tc>
          <w:tcPr>
            <w:tcW w:w="160" w:type="dxa"/>
          </w:tcPr>
          <w:p>
            <w:pPr/>
          </w:p>
        </w:tc>
        <w:tc>
          <w:tcPr>
            <w:tcW w:w="1180" w:type="dxa"/>
          </w:tcPr>
          <w:p>
            <w:pPr>
              <w:pStyle w:val="TableParagraph"/>
              <w:spacing w:line="229" w:lineRule="exact"/>
              <w:ind w:right="79"/>
              <w:rPr>
                <w:sz w:val="20"/>
              </w:rPr>
            </w:pPr>
            <w:r>
              <w:rPr>
                <w:color w:val="231F20"/>
                <w:sz w:val="20"/>
              </w:rPr>
              <w:t>107</w:t>
            </w:r>
          </w:p>
        </w:tc>
      </w:tr>
      <w:tr>
        <w:trPr>
          <w:trHeight w:val="261" w:hRule="exact"/>
        </w:trPr>
        <w:tc>
          <w:tcPr>
            <w:tcW w:w="6095" w:type="dxa"/>
          </w:tcPr>
          <w:p>
            <w:pPr>
              <w:pStyle w:val="TableParagraph"/>
              <w:spacing w:line="229" w:lineRule="exact"/>
              <w:ind w:left="50"/>
              <w:jc w:val="left"/>
              <w:rPr>
                <w:sz w:val="20"/>
              </w:rPr>
            </w:pPr>
            <w:r>
              <w:rPr>
                <w:color w:val="231F20"/>
                <w:sz w:val="20"/>
              </w:rPr>
              <w:t>Other  . . . . . . . . . . . . . . . . . . . . . . . . . . . . . . . . . . . . . . . . . . . . . . . . . . . . </w:t>
            </w:r>
          </w:p>
        </w:tc>
        <w:tc>
          <w:tcPr>
            <w:tcW w:w="935" w:type="dxa"/>
            <w:tcBorders>
              <w:bottom w:val="single" w:sz="4" w:space="0" w:color="231F20"/>
            </w:tcBorders>
          </w:tcPr>
          <w:p>
            <w:pPr>
              <w:pStyle w:val="TableParagraph"/>
              <w:spacing w:line="229" w:lineRule="exact"/>
              <w:ind w:right="79"/>
              <w:rPr>
                <w:sz w:val="20"/>
              </w:rPr>
            </w:pPr>
            <w:r>
              <w:rPr>
                <w:color w:val="231F20"/>
                <w:sz w:val="20"/>
              </w:rPr>
              <w:t>4</w:t>
            </w:r>
          </w:p>
        </w:tc>
        <w:tc>
          <w:tcPr>
            <w:tcW w:w="160" w:type="dxa"/>
          </w:tcPr>
          <w:p>
            <w:pPr/>
          </w:p>
        </w:tc>
        <w:tc>
          <w:tcPr>
            <w:tcW w:w="1180" w:type="dxa"/>
            <w:tcBorders>
              <w:bottom w:val="single" w:sz="4" w:space="0" w:color="231F20"/>
            </w:tcBorders>
          </w:tcPr>
          <w:p>
            <w:pPr>
              <w:pStyle w:val="TableParagraph"/>
              <w:spacing w:line="229" w:lineRule="exact"/>
              <w:ind w:right="79"/>
              <w:rPr>
                <w:sz w:val="20"/>
              </w:rPr>
            </w:pPr>
            <w:r>
              <w:rPr>
                <w:color w:val="231F20"/>
                <w:sz w:val="20"/>
              </w:rPr>
              <w:t>2</w:t>
            </w:r>
          </w:p>
        </w:tc>
      </w:tr>
      <w:tr>
        <w:trPr>
          <w:trHeight w:val="288" w:hRule="exact"/>
        </w:trPr>
        <w:tc>
          <w:tcPr>
            <w:tcW w:w="6095" w:type="dxa"/>
          </w:tcPr>
          <w:p>
            <w:pPr>
              <w:pStyle w:val="TableParagraph"/>
              <w:spacing w:before="58"/>
              <w:ind w:right="143"/>
              <w:rPr>
                <w:sz w:val="20"/>
              </w:rPr>
            </w:pPr>
            <w:r>
              <w:rPr>
                <w:color w:val="231F20"/>
                <w:sz w:val="20"/>
              </w:rPr>
              <w:t>$</w:t>
            </w:r>
          </w:p>
        </w:tc>
        <w:tc>
          <w:tcPr>
            <w:tcW w:w="935" w:type="dxa"/>
            <w:tcBorders>
              <w:top w:val="single" w:sz="4" w:space="0" w:color="231F20"/>
            </w:tcBorders>
          </w:tcPr>
          <w:p>
            <w:pPr>
              <w:pStyle w:val="TableParagraph"/>
              <w:spacing w:before="53"/>
              <w:ind w:right="11"/>
              <w:rPr>
                <w:sz w:val="20"/>
              </w:rPr>
            </w:pPr>
            <w:r>
              <w:rPr>
                <w:color w:val="231F20"/>
                <w:sz w:val="20"/>
              </w:rPr>
              <w:t>(181)</w:t>
            </w:r>
          </w:p>
        </w:tc>
        <w:tc>
          <w:tcPr>
            <w:tcW w:w="160" w:type="dxa"/>
          </w:tcPr>
          <w:p>
            <w:pPr/>
          </w:p>
        </w:tc>
        <w:tc>
          <w:tcPr>
            <w:tcW w:w="1180" w:type="dxa"/>
            <w:tcBorders>
              <w:top w:val="single" w:sz="4" w:space="0" w:color="231F20"/>
            </w:tcBorders>
          </w:tcPr>
          <w:p>
            <w:pPr>
              <w:pStyle w:val="TableParagraph"/>
              <w:tabs>
                <w:tab w:pos="799" w:val="left" w:leader="none"/>
              </w:tabs>
              <w:spacing w:before="53"/>
              <w:ind w:right="79"/>
              <w:rPr>
                <w:sz w:val="20"/>
              </w:rPr>
            </w:pPr>
            <w:r>
              <w:rPr>
                <w:color w:val="231F20"/>
                <w:sz w:val="20"/>
              </w:rPr>
              <w:t>$</w:t>
              <w:tab/>
              <w:t>198</w:t>
            </w:r>
          </w:p>
        </w:tc>
      </w:tr>
    </w:tbl>
    <w:p>
      <w:pPr>
        <w:spacing w:after="0"/>
        <w:rPr>
          <w:sz w:val="20"/>
        </w:rPr>
        <w:sectPr>
          <w:pgSz w:w="11880" w:h="15480"/>
          <w:pgMar w:header="0" w:footer="1253" w:top="1240" w:bottom="1440" w:left="1220" w:right="1280"/>
        </w:sectPr>
      </w:pPr>
    </w:p>
    <w:p>
      <w:pPr>
        <w:spacing w:before="73"/>
        <w:ind w:left="300" w:right="0" w:firstLine="0"/>
        <w:jc w:val="left"/>
        <w:rPr>
          <w:b/>
          <w:sz w:val="20"/>
        </w:rPr>
      </w:pPr>
      <w:r>
        <w:rPr>
          <w:b/>
          <w:color w:val="231F20"/>
          <w:sz w:val="20"/>
        </w:rPr>
        <w:t>Income taxes</w:t>
      </w:r>
    </w:p>
    <w:p>
      <w:pPr>
        <w:pStyle w:val="BodyText"/>
        <w:spacing w:line="249" w:lineRule="auto" w:before="158"/>
        <w:ind w:left="100" w:right="129" w:firstLine="490"/>
      </w:pPr>
      <w:r>
        <w:rPr>
          <w:color w:val="231F20"/>
        </w:rPr>
        <w:t>The Company’s effective tax rate was approximately 39 percent for 2012 compared to 45 percent for 2011. The lower rate for 2012 primarily was driven by the Company’s higher 2012 income before taxes (thus diluting the impact of permanent tax differences), a portion of acquisition-related costs being non-deductible in 2011, and additional income tax expense of $5 million in 2011 as a result of an IRS settlement agreed to in first quarter 2011 related to tax years 2007 through 2009.</w:t>
      </w:r>
    </w:p>
    <w:p>
      <w:pPr>
        <w:pStyle w:val="Heading3"/>
        <w:spacing w:before="149"/>
      </w:pPr>
      <w:bookmarkStart w:name="_TOC_250012" w:id="16"/>
      <w:bookmarkStart w:name="Liquidity and Capital Resources" w:id="17"/>
      <w:r>
        <w:rPr>
          <w:b w:val="0"/>
        </w:rPr>
      </w:r>
      <w:bookmarkEnd w:id="16"/>
      <w:r>
        <w:rPr>
          <w:color w:val="231F20"/>
        </w:rPr>
        <w:t>Liquidity and Capital Resources</w:t>
      </w:r>
    </w:p>
    <w:p>
      <w:pPr>
        <w:pStyle w:val="BodyText"/>
        <w:spacing w:line="249" w:lineRule="auto" w:before="158"/>
        <w:ind w:left="100" w:right="104" w:firstLine="490"/>
      </w:pPr>
      <w:r>
        <w:rPr>
          <w:color w:val="231F20"/>
        </w:rPr>
        <w:t>Net cash provided by operating activities for 2013, 2012, and 2011 was $2.5 billion, $2.1 billion, and $1.4 billion, respectively. Operating cash inflows are primarily derived from providing air transportation to Customers. The vast majority of tickets were purchased prior to the day on which travel was provided and, in some cases, several months before the anticipated travel date. Operating cash outflows are related to the recurring expenses of airline operations. The operating cash flows for 2013, 2012, and 2011 were impacted primarily by the Company’s results of operations, adjusted for noncash depreciation and amortization expense, as well as changes in the Air traffic liability and Accounts payable and accrued liabilities. Operating cash flows can also be significantly impacted by the Company’s fuel and interest rate hedge positions and the corresponding cash collateral requirements associated with those positions. In the Consolidated Statement of Cash Flows, changes to cash collateral deposits are reflected in operating cash flows as Cash collateral received from or provided to derivative counterparties. During 2013 and 2012 the Company received $57 million and $233 million, respectively, in cash collateral from derivative counterparties, and in 2011 the Company provided $195 million  in cash collateral to derivative counterparties. Net cash provided by operating activities is primarily used to finance capital expenditures, repay debt, fund stock repurchases, and provide working</w:t>
      </w:r>
      <w:r>
        <w:rPr>
          <w:color w:val="231F20"/>
          <w:spacing w:val="7"/>
        </w:rPr>
        <w:t> </w:t>
      </w:r>
      <w:r>
        <w:rPr>
          <w:color w:val="231F20"/>
        </w:rPr>
        <w:t>capital.</w:t>
      </w:r>
    </w:p>
    <w:p>
      <w:pPr>
        <w:pStyle w:val="BodyText"/>
        <w:spacing w:line="249" w:lineRule="auto" w:before="149"/>
        <w:ind w:left="100" w:right="129" w:firstLine="490"/>
      </w:pPr>
      <w:r>
        <w:rPr>
          <w:color w:val="231F20"/>
        </w:rPr>
        <w:t>Net cash used in investing activities for 2013, 2012, and 2011 was $1.4 billion, $833 million, and $1.0 billion, respectively. Investing activities in 2013, 2012, and 2011 included payments for new aircraft delivered to the Company, progress payments for future aircraft deliveries, as well as purchases and sales of short-term and noncurrent investments. During 2013 and 2012 the Company’s purchases and sales of short-term and noncurrent investments resulted in net cash provided of $63 million and $515 million, respectively, and in 2011 resulted in net cash used of $19 million.</w:t>
      </w:r>
    </w:p>
    <w:p>
      <w:pPr>
        <w:pStyle w:val="BodyText"/>
        <w:spacing w:line="249" w:lineRule="auto" w:before="149"/>
        <w:ind w:left="100" w:right="339" w:firstLine="490"/>
      </w:pPr>
      <w:r>
        <w:rPr>
          <w:color w:val="231F20"/>
        </w:rPr>
        <w:t>Net cash used in financing activities for 2013, 2012, and 2011 was $851 million, $947 million, and $766 million, respectively. During 2013 the Company repaid $313 million in debt and capital lease obligations, compared to repayments of $578 million and $540 million during 2012 and 2011, respectively. The Company also repurchased approximately $540 million of its outstanding common stock through authorized share repurchases during 2013, compared to repurchases of $400 million and $225 million during 2012 and 2011, respectively.</w:t>
      </w:r>
    </w:p>
    <w:p>
      <w:pPr>
        <w:pStyle w:val="BodyText"/>
        <w:spacing w:line="249" w:lineRule="auto" w:before="149"/>
        <w:ind w:left="100" w:right="184" w:firstLine="490"/>
      </w:pPr>
      <w:r>
        <w:rPr>
          <w:color w:val="231F20"/>
        </w:rPr>
        <w:t>The Company has access to a $1 billion unsecured revolving credit facility expiring in April 2018. Interest on the facility is based on the Company’s credit ratings at the time of borrowing. At the Company’s current ratings, the interest cost would be LIBOR plus a spread of 150 basis points. The facility contains a financial covenant requiring a minimum coverage ratio of adjusted pre-tax income to fixed obligations, as defined. As of December 31, 2013, the Company was in compliance with this covenant and there were no amounts outstanding under the revolving credit facility.</w:t>
      </w:r>
    </w:p>
    <w:p>
      <w:pPr>
        <w:pStyle w:val="BodyText"/>
        <w:spacing w:line="249" w:lineRule="auto" w:before="149"/>
        <w:ind w:left="100" w:right="233" w:firstLine="490"/>
      </w:pPr>
      <w:r>
        <w:rPr>
          <w:color w:val="231F20"/>
        </w:rPr>
        <w:t>The Company has approximately $546 million in debt maturities that come due during 2014, including its 5.25% notes due October 1, 2014. The Company has not yet determined whether it will repay its 2014 debt maturities with cash from operations or whether it might issue new debt in its place. During January 2014, the Company also notified its lender that it intends to repay its Fixed-rate 717 Aircraft Notes payable prior to their 2017 due date. These certificates will be paid in full on April 1, 2014, and due to their early repayment, the Company is expected to incur a $5 million penalty.</w:t>
      </w:r>
    </w:p>
    <w:p>
      <w:pPr>
        <w:pStyle w:val="BodyText"/>
        <w:spacing w:line="249" w:lineRule="auto" w:before="149"/>
        <w:ind w:left="100" w:right="312" w:firstLine="490"/>
      </w:pPr>
      <w:r>
        <w:rPr>
          <w:color w:val="231F20"/>
        </w:rPr>
        <w:t>The Company has a large net deferred tax liability on its Consolidated Balance Sheet. The deferral of income taxes has resulted in a significant benefit to the Company and its liquidity position. Since the Company</w:t>
      </w:r>
    </w:p>
    <w:p>
      <w:pPr>
        <w:spacing w:after="0" w:line="249" w:lineRule="auto"/>
        <w:sectPr>
          <w:footerReference w:type="default" r:id="rId26"/>
          <w:pgSz w:w="11880" w:h="15480"/>
          <w:pgMar w:footer="1253" w:header="0" w:top="1240" w:bottom="1440" w:left="1280" w:right="1280"/>
        </w:sectPr>
      </w:pPr>
    </w:p>
    <w:p>
      <w:pPr>
        <w:pStyle w:val="BodyText"/>
        <w:spacing w:line="249" w:lineRule="auto" w:before="73"/>
        <w:ind w:left="100" w:right="180"/>
      </w:pPr>
      <w:r>
        <w:rPr>
          <w:color w:val="231F20"/>
        </w:rPr>
        <w:t>purchases the majority of the aircraft it acquires, it has been able to utilize accelerated depreciation methods (including bonus depreciation) available under the Internal Revenue Code in 2013 and in previous years, which has enabled the Company to defer the cash tax payments associated with these depreciable assets to future years. Based on the Company’s scheduled future aircraft deliveries from Boeing and existing tax laws in effect, the Company will continue to defer significant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Heading3"/>
        <w:spacing w:before="181"/>
      </w:pPr>
      <w:bookmarkStart w:name="_TOC_250011" w:id="18"/>
      <w:bookmarkStart w:name="Off- Balance Sheet Arrangements, Contrac" w:id="19"/>
      <w:r>
        <w:rPr>
          <w:b w:val="0"/>
        </w:rPr>
      </w:r>
      <w:bookmarkEnd w:id="18"/>
      <w:r>
        <w:rPr>
          <w:color w:val="231F20"/>
        </w:rPr>
        <w:t>Off-Balance Sheet Arrangements, Contractual Obligations, and Contingent Liabilities and Commitments</w:t>
      </w:r>
    </w:p>
    <w:p>
      <w:pPr>
        <w:pStyle w:val="BodyText"/>
        <w:spacing w:line="249" w:lineRule="auto" w:before="190"/>
        <w:ind w:left="100" w:right="163" w:firstLine="490"/>
      </w:pPr>
      <w:r>
        <w:rPr>
          <w:color w:val="231F20"/>
        </w:rPr>
        <w:t>The Company has contractual obligations and commitments primarily with regard to future purchases of aircraft, payment of debt, and lease arrangements.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orders, options, and purchase rights with Boeing and other parties. Under the Company’s agreement with Boeing, it has the option to substitute 737-600s for the 737-700s ordered with at least 24 months notice prior to the contractual delivery date and can substitute 737-800s for the 737-700s with at least twelve months notice. Additionally, during January 2014, the Company agreed to purchase five pre-owned aircraft from a third party for delivery in 2014.</w:t>
      </w:r>
    </w:p>
    <w:p>
      <w:pPr>
        <w:pStyle w:val="BodyText"/>
        <w:spacing w:line="249" w:lineRule="auto" w:before="181"/>
        <w:ind w:left="100" w:right="175" w:firstLine="490"/>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2013, the Company operated 164 leased aircraft, of which 160 are under operating leases. Assets and obligations under operating leases are not included in the Company’s Consolidated Balance Sheet.</w:t>
      </w:r>
    </w:p>
    <w:p>
      <w:pPr>
        <w:pStyle w:val="BodyText"/>
        <w:spacing w:line="249" w:lineRule="auto" w:before="1"/>
        <w:ind w:left="100"/>
      </w:pPr>
      <w:r>
        <w:rPr>
          <w:color w:val="231F20"/>
        </w:rPr>
        <w:t>Disclosure of the contractual obligations associated with the Company’s leased aircraft is included below, as well as in Note 8 to the Consolidated Financial Statements.</w:t>
      </w:r>
    </w:p>
    <w:p>
      <w:pPr>
        <w:pStyle w:val="BodyText"/>
        <w:spacing w:line="249" w:lineRule="auto" w:before="181"/>
        <w:ind w:left="100" w:right="142" w:firstLine="490"/>
      </w:pPr>
      <w:r>
        <w:rPr>
          <w:color w:val="231F20"/>
        </w:rPr>
        <w:t>The Company is required to provide standby letters of credit to support certain obligations that arise in the ordinary course of business. Although the letters of credit are off-balance sheet, the majority of the obligations to which they relate are reflected as liabilities in the Consolidated Balance Sheet. Outstanding letters of credit totaled $182 million at December 31, 2013.</w:t>
      </w:r>
    </w:p>
    <w:p>
      <w:pPr>
        <w:pStyle w:val="BodyText"/>
        <w:spacing w:line="249" w:lineRule="auto" w:before="181"/>
        <w:ind w:left="100" w:firstLine="490"/>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off this shelf registration statement for general corporate purposes. The Company has not issued any securities under this shelf registration statement to date.</w:t>
      </w:r>
    </w:p>
    <w:p>
      <w:pPr>
        <w:spacing w:after="0" w:line="249" w:lineRule="auto"/>
        <w:sectPr>
          <w:footerReference w:type="default" r:id="rId27"/>
          <w:pgSz w:w="11880" w:h="15480"/>
          <w:pgMar w:footer="1253" w:header="0" w:top="1240" w:bottom="1440" w:left="1280" w:right="1280"/>
          <w:pgNumType w:start="61"/>
        </w:sectPr>
      </w:pPr>
    </w:p>
    <w:p>
      <w:pPr>
        <w:pStyle w:val="BodyText"/>
        <w:spacing w:line="249" w:lineRule="auto" w:before="73"/>
        <w:ind w:left="160" w:right="200" w:firstLine="490"/>
      </w:pPr>
      <w:r>
        <w:rPr>
          <w:color w:val="231F20"/>
        </w:rPr>
        <w:t>The following table aggregates the Company’s material expected contractual obligations and commitments as of December 31, 2013:</w:t>
      </w:r>
    </w:p>
    <w:p>
      <w:pPr>
        <w:pStyle w:val="BodyText"/>
        <w:spacing w:before="3"/>
        <w:rPr>
          <w:sz w:val="9"/>
        </w:rPr>
      </w:pPr>
    </w:p>
    <w:p>
      <w:pPr>
        <w:spacing w:before="92" w:after="31"/>
        <w:ind w:left="5285" w:right="0" w:firstLine="0"/>
        <w:jc w:val="left"/>
        <w:rPr>
          <w:b/>
          <w:sz w:val="18"/>
        </w:rPr>
      </w:pPr>
      <w:r>
        <w:rPr>
          <w:b/>
          <w:color w:val="231F20"/>
          <w:sz w:val="18"/>
        </w:rPr>
        <w:t>Obligations by period (in millions)</w:t>
      </w: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43"/>
        <w:gridCol w:w="1077"/>
        <w:gridCol w:w="1100"/>
        <w:gridCol w:w="1100"/>
        <w:gridCol w:w="1100"/>
        <w:gridCol w:w="1100"/>
      </w:tblGrid>
      <w:tr>
        <w:trPr>
          <w:trHeight w:val="440" w:hRule="exact"/>
        </w:trPr>
        <w:tc>
          <w:tcPr>
            <w:tcW w:w="3743" w:type="dxa"/>
            <w:tcBorders>
              <w:bottom w:val="single" w:sz="8" w:space="0" w:color="231F20"/>
            </w:tcBorders>
          </w:tcPr>
          <w:p>
            <w:pPr>
              <w:pStyle w:val="TableParagraph"/>
              <w:spacing w:before="6"/>
              <w:jc w:val="left"/>
              <w:rPr>
                <w:b/>
                <w:sz w:val="17"/>
              </w:rPr>
            </w:pPr>
          </w:p>
          <w:p>
            <w:pPr>
              <w:pStyle w:val="TableParagraph"/>
              <w:ind w:left="51"/>
              <w:jc w:val="left"/>
              <w:rPr>
                <w:b/>
                <w:sz w:val="18"/>
              </w:rPr>
            </w:pPr>
            <w:r>
              <w:rPr>
                <w:b/>
                <w:color w:val="231F20"/>
                <w:sz w:val="18"/>
              </w:rPr>
              <w:t>Contractual obligations</w:t>
            </w:r>
          </w:p>
        </w:tc>
        <w:tc>
          <w:tcPr>
            <w:tcW w:w="1077"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right="97"/>
              <w:rPr>
                <w:b/>
                <w:sz w:val="18"/>
              </w:rPr>
            </w:pPr>
            <w:r>
              <w:rPr>
                <w:b/>
                <w:color w:val="231F20"/>
                <w:sz w:val="18"/>
              </w:rPr>
              <w:t>2014</w:t>
            </w:r>
          </w:p>
        </w:tc>
        <w:tc>
          <w:tcPr>
            <w:tcW w:w="1100" w:type="dxa"/>
            <w:tcBorders>
              <w:top w:val="single" w:sz="8" w:space="0" w:color="231F20"/>
              <w:bottom w:val="single" w:sz="8" w:space="0" w:color="231F20"/>
            </w:tcBorders>
          </w:tcPr>
          <w:p>
            <w:pPr>
              <w:pStyle w:val="TableParagraph"/>
              <w:spacing w:line="193" w:lineRule="exact" w:before="12"/>
              <w:ind w:left="515" w:right="80"/>
              <w:jc w:val="center"/>
              <w:rPr>
                <w:b/>
                <w:sz w:val="18"/>
              </w:rPr>
            </w:pPr>
            <w:r>
              <w:rPr>
                <w:b/>
                <w:color w:val="231F20"/>
                <w:sz w:val="18"/>
              </w:rPr>
              <w:t>2015 -</w:t>
            </w:r>
          </w:p>
          <w:p>
            <w:pPr>
              <w:pStyle w:val="TableParagraph"/>
              <w:spacing w:line="193" w:lineRule="exact"/>
              <w:ind w:left="620" w:right="80"/>
              <w:jc w:val="center"/>
              <w:rPr>
                <w:b/>
                <w:sz w:val="18"/>
              </w:rPr>
            </w:pPr>
            <w:r>
              <w:rPr>
                <w:b/>
                <w:color w:val="231F20"/>
                <w:sz w:val="18"/>
              </w:rPr>
              <w:t>2016</w:t>
            </w:r>
          </w:p>
        </w:tc>
        <w:tc>
          <w:tcPr>
            <w:tcW w:w="1100" w:type="dxa"/>
            <w:tcBorders>
              <w:top w:val="single" w:sz="8" w:space="0" w:color="231F20"/>
              <w:bottom w:val="single" w:sz="8" w:space="0" w:color="231F20"/>
            </w:tcBorders>
          </w:tcPr>
          <w:p>
            <w:pPr>
              <w:pStyle w:val="TableParagraph"/>
              <w:spacing w:line="193" w:lineRule="exact" w:before="12"/>
              <w:ind w:left="595"/>
              <w:jc w:val="left"/>
              <w:rPr>
                <w:b/>
                <w:sz w:val="18"/>
              </w:rPr>
            </w:pPr>
            <w:r>
              <w:rPr>
                <w:b/>
                <w:color w:val="231F20"/>
                <w:sz w:val="18"/>
              </w:rPr>
              <w:t>2017 -</w:t>
            </w:r>
          </w:p>
          <w:p>
            <w:pPr>
              <w:pStyle w:val="TableParagraph"/>
              <w:spacing w:line="193" w:lineRule="exact"/>
              <w:ind w:left="640"/>
              <w:jc w:val="left"/>
              <w:rPr>
                <w:b/>
                <w:sz w:val="18"/>
              </w:rPr>
            </w:pPr>
            <w:r>
              <w:rPr>
                <w:b/>
                <w:color w:val="231F20"/>
                <w:sz w:val="18"/>
              </w:rPr>
              <w:t>2018</w:t>
            </w:r>
          </w:p>
        </w:tc>
        <w:tc>
          <w:tcPr>
            <w:tcW w:w="1100" w:type="dxa"/>
            <w:tcBorders>
              <w:top w:val="single" w:sz="8" w:space="0" w:color="231F20"/>
              <w:bottom w:val="single" w:sz="8" w:space="0" w:color="231F20"/>
            </w:tcBorders>
          </w:tcPr>
          <w:p>
            <w:pPr>
              <w:pStyle w:val="TableParagraph"/>
              <w:spacing w:line="193" w:lineRule="exact" w:before="12"/>
              <w:ind w:left="420"/>
              <w:jc w:val="left"/>
              <w:rPr>
                <w:b/>
                <w:sz w:val="18"/>
              </w:rPr>
            </w:pPr>
            <w:r>
              <w:rPr>
                <w:b/>
                <w:color w:val="231F20"/>
                <w:sz w:val="18"/>
              </w:rPr>
              <w:t>Beyond</w:t>
            </w:r>
          </w:p>
          <w:p>
            <w:pPr>
              <w:pStyle w:val="TableParagraph"/>
              <w:spacing w:line="193" w:lineRule="exact"/>
              <w:ind w:left="640"/>
              <w:jc w:val="left"/>
              <w:rPr>
                <w:b/>
                <w:sz w:val="18"/>
              </w:rPr>
            </w:pPr>
            <w:r>
              <w:rPr>
                <w:b/>
                <w:color w:val="231F20"/>
                <w:sz w:val="18"/>
              </w:rPr>
              <w:t>2018</w:t>
            </w:r>
          </w:p>
        </w:tc>
        <w:tc>
          <w:tcPr>
            <w:tcW w:w="1100"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right="48"/>
              <w:rPr>
                <w:b/>
                <w:sz w:val="18"/>
              </w:rPr>
            </w:pPr>
            <w:r>
              <w:rPr>
                <w:b/>
                <w:color w:val="231F20"/>
                <w:sz w:val="18"/>
              </w:rPr>
              <w:t>Total</w:t>
            </w:r>
          </w:p>
        </w:tc>
      </w:tr>
      <w:tr>
        <w:trPr>
          <w:trHeight w:val="280" w:hRule="exact"/>
        </w:trPr>
        <w:tc>
          <w:tcPr>
            <w:tcW w:w="3743" w:type="dxa"/>
            <w:tcBorders>
              <w:top w:val="single" w:sz="8" w:space="0" w:color="231F20"/>
            </w:tcBorders>
          </w:tcPr>
          <w:p>
            <w:pPr>
              <w:pStyle w:val="TableParagraph"/>
              <w:spacing w:before="52"/>
              <w:ind w:left="50"/>
              <w:jc w:val="left"/>
              <w:rPr>
                <w:sz w:val="18"/>
              </w:rPr>
            </w:pPr>
            <w:r>
              <w:rPr>
                <w:color w:val="231F20"/>
                <w:sz w:val="18"/>
              </w:rPr>
              <w:t>Long-term debt (1)  . . . . . . . . . . . . . . . . . . . . . . . . </w:t>
            </w:r>
          </w:p>
        </w:tc>
        <w:tc>
          <w:tcPr>
            <w:tcW w:w="1077"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609</w:t>
            </w:r>
          </w:p>
        </w:tc>
        <w:tc>
          <w:tcPr>
            <w:tcW w:w="1100"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687</w:t>
            </w:r>
          </w:p>
        </w:tc>
        <w:tc>
          <w:tcPr>
            <w:tcW w:w="1100"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744</w:t>
            </w:r>
          </w:p>
        </w:tc>
        <w:tc>
          <w:tcPr>
            <w:tcW w:w="1100"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648</w:t>
            </w:r>
          </w:p>
        </w:tc>
        <w:tc>
          <w:tcPr>
            <w:tcW w:w="1100" w:type="dxa"/>
            <w:tcBorders>
              <w:top w:val="single" w:sz="8" w:space="0" w:color="231F20"/>
            </w:tcBorders>
          </w:tcPr>
          <w:p>
            <w:pPr>
              <w:pStyle w:val="TableParagraph"/>
              <w:tabs>
                <w:tab w:pos="544" w:val="left" w:leader="none"/>
              </w:tabs>
              <w:spacing w:before="52"/>
              <w:ind w:right="48"/>
              <w:rPr>
                <w:sz w:val="18"/>
              </w:rPr>
            </w:pPr>
            <w:r>
              <w:rPr>
                <w:color w:val="231F20"/>
                <w:sz w:val="18"/>
              </w:rPr>
              <w:t>$</w:t>
              <w:tab/>
            </w:r>
            <w:r>
              <w:rPr>
                <w:color w:val="231F20"/>
                <w:spacing w:val="-1"/>
                <w:sz w:val="18"/>
              </w:rPr>
              <w:t>2,688</w:t>
            </w:r>
          </w:p>
        </w:tc>
      </w:tr>
      <w:tr>
        <w:trPr>
          <w:trHeight w:val="220" w:hRule="exact"/>
        </w:trPr>
        <w:tc>
          <w:tcPr>
            <w:tcW w:w="3743" w:type="dxa"/>
          </w:tcPr>
          <w:p>
            <w:pPr>
              <w:pStyle w:val="TableParagraph"/>
              <w:spacing w:before="1"/>
              <w:ind w:left="50"/>
              <w:jc w:val="left"/>
              <w:rPr>
                <w:sz w:val="18"/>
              </w:rPr>
            </w:pPr>
            <w:r>
              <w:rPr>
                <w:color w:val="231F20"/>
                <w:sz w:val="18"/>
              </w:rPr>
              <w:t>Interest commitments — fixed (2)  . . . . . . . . . . . . </w:t>
            </w:r>
          </w:p>
        </w:tc>
        <w:tc>
          <w:tcPr>
            <w:tcW w:w="1077" w:type="dxa"/>
          </w:tcPr>
          <w:p>
            <w:pPr>
              <w:pStyle w:val="TableParagraph"/>
              <w:spacing w:before="1"/>
              <w:ind w:right="98"/>
              <w:rPr>
                <w:sz w:val="18"/>
              </w:rPr>
            </w:pPr>
            <w:r>
              <w:rPr>
                <w:color w:val="231F20"/>
                <w:sz w:val="18"/>
              </w:rPr>
              <w:t>136</w:t>
            </w:r>
          </w:p>
        </w:tc>
        <w:tc>
          <w:tcPr>
            <w:tcW w:w="1100" w:type="dxa"/>
          </w:tcPr>
          <w:p>
            <w:pPr>
              <w:pStyle w:val="TableParagraph"/>
              <w:spacing w:before="1"/>
              <w:ind w:right="98"/>
              <w:rPr>
                <w:sz w:val="18"/>
              </w:rPr>
            </w:pPr>
            <w:r>
              <w:rPr>
                <w:color w:val="231F20"/>
                <w:sz w:val="18"/>
              </w:rPr>
              <w:t>195</w:t>
            </w:r>
          </w:p>
        </w:tc>
        <w:tc>
          <w:tcPr>
            <w:tcW w:w="1100" w:type="dxa"/>
          </w:tcPr>
          <w:p>
            <w:pPr>
              <w:pStyle w:val="TableParagraph"/>
              <w:spacing w:before="1"/>
              <w:ind w:right="98"/>
              <w:rPr>
                <w:sz w:val="18"/>
              </w:rPr>
            </w:pPr>
            <w:r>
              <w:rPr>
                <w:color w:val="231F20"/>
                <w:sz w:val="18"/>
              </w:rPr>
              <w:t>119</w:t>
            </w:r>
          </w:p>
        </w:tc>
        <w:tc>
          <w:tcPr>
            <w:tcW w:w="1100" w:type="dxa"/>
          </w:tcPr>
          <w:p>
            <w:pPr>
              <w:pStyle w:val="TableParagraph"/>
              <w:spacing w:before="1"/>
              <w:ind w:right="98"/>
              <w:rPr>
                <w:sz w:val="18"/>
              </w:rPr>
            </w:pPr>
            <w:r>
              <w:rPr>
                <w:color w:val="231F20"/>
                <w:sz w:val="18"/>
              </w:rPr>
              <w:t>117</w:t>
            </w:r>
          </w:p>
        </w:tc>
        <w:tc>
          <w:tcPr>
            <w:tcW w:w="1100" w:type="dxa"/>
          </w:tcPr>
          <w:p>
            <w:pPr>
              <w:pStyle w:val="TableParagraph"/>
              <w:spacing w:before="1"/>
              <w:ind w:right="48"/>
              <w:rPr>
                <w:sz w:val="18"/>
              </w:rPr>
            </w:pPr>
            <w:r>
              <w:rPr>
                <w:color w:val="231F20"/>
                <w:sz w:val="18"/>
              </w:rPr>
              <w:t>567</w:t>
            </w:r>
          </w:p>
        </w:tc>
      </w:tr>
      <w:tr>
        <w:trPr>
          <w:trHeight w:val="220" w:hRule="exact"/>
        </w:trPr>
        <w:tc>
          <w:tcPr>
            <w:tcW w:w="3743" w:type="dxa"/>
          </w:tcPr>
          <w:p>
            <w:pPr>
              <w:pStyle w:val="TableParagraph"/>
              <w:spacing w:before="1"/>
              <w:ind w:left="50"/>
              <w:jc w:val="left"/>
              <w:rPr>
                <w:sz w:val="18"/>
              </w:rPr>
            </w:pPr>
            <w:r>
              <w:rPr>
                <w:color w:val="231F20"/>
                <w:sz w:val="18"/>
              </w:rPr>
              <w:t>Interest commitments — floating (3) . . . . . . . . . . </w:t>
            </w:r>
          </w:p>
        </w:tc>
        <w:tc>
          <w:tcPr>
            <w:tcW w:w="1077" w:type="dxa"/>
          </w:tcPr>
          <w:p>
            <w:pPr>
              <w:pStyle w:val="TableParagraph"/>
              <w:spacing w:before="1"/>
              <w:ind w:right="98"/>
              <w:rPr>
                <w:sz w:val="18"/>
              </w:rPr>
            </w:pPr>
            <w:r>
              <w:rPr>
                <w:color w:val="231F20"/>
                <w:sz w:val="18"/>
              </w:rPr>
              <w:t>9</w:t>
            </w:r>
          </w:p>
        </w:tc>
        <w:tc>
          <w:tcPr>
            <w:tcW w:w="1100" w:type="dxa"/>
          </w:tcPr>
          <w:p>
            <w:pPr>
              <w:pStyle w:val="TableParagraph"/>
              <w:spacing w:before="1"/>
              <w:ind w:right="98"/>
              <w:rPr>
                <w:sz w:val="18"/>
              </w:rPr>
            </w:pPr>
            <w:r>
              <w:rPr>
                <w:color w:val="231F20"/>
                <w:sz w:val="18"/>
              </w:rPr>
              <w:t>27</w:t>
            </w:r>
          </w:p>
        </w:tc>
        <w:tc>
          <w:tcPr>
            <w:tcW w:w="1100" w:type="dxa"/>
          </w:tcPr>
          <w:p>
            <w:pPr>
              <w:pStyle w:val="TableParagraph"/>
              <w:spacing w:before="1"/>
              <w:ind w:right="98"/>
              <w:rPr>
                <w:sz w:val="18"/>
              </w:rPr>
            </w:pPr>
            <w:r>
              <w:rPr>
                <w:color w:val="231F20"/>
                <w:sz w:val="18"/>
              </w:rPr>
              <w:t>3</w:t>
            </w:r>
          </w:p>
        </w:tc>
        <w:tc>
          <w:tcPr>
            <w:tcW w:w="1100" w:type="dxa"/>
          </w:tcPr>
          <w:p>
            <w:pPr>
              <w:pStyle w:val="TableParagraph"/>
              <w:spacing w:before="1"/>
              <w:ind w:right="98"/>
              <w:rPr>
                <w:sz w:val="18"/>
              </w:rPr>
            </w:pPr>
            <w:r>
              <w:rPr>
                <w:color w:val="231F20"/>
                <w:sz w:val="18"/>
              </w:rPr>
              <w:t>1</w:t>
            </w:r>
          </w:p>
        </w:tc>
        <w:tc>
          <w:tcPr>
            <w:tcW w:w="1100" w:type="dxa"/>
          </w:tcPr>
          <w:p>
            <w:pPr>
              <w:pStyle w:val="TableParagraph"/>
              <w:spacing w:before="1"/>
              <w:ind w:right="48"/>
              <w:rPr>
                <w:sz w:val="18"/>
              </w:rPr>
            </w:pPr>
            <w:r>
              <w:rPr>
                <w:color w:val="231F20"/>
                <w:sz w:val="18"/>
              </w:rPr>
              <w:t>40</w:t>
            </w:r>
          </w:p>
        </w:tc>
      </w:tr>
      <w:tr>
        <w:trPr>
          <w:trHeight w:val="220" w:hRule="exact"/>
        </w:trPr>
        <w:tc>
          <w:tcPr>
            <w:tcW w:w="3743" w:type="dxa"/>
          </w:tcPr>
          <w:p>
            <w:pPr>
              <w:pStyle w:val="TableParagraph"/>
              <w:spacing w:before="1"/>
              <w:ind w:left="50"/>
              <w:jc w:val="left"/>
              <w:rPr>
                <w:sz w:val="18"/>
              </w:rPr>
            </w:pPr>
            <w:r>
              <w:rPr>
                <w:color w:val="231F20"/>
                <w:sz w:val="18"/>
              </w:rPr>
              <w:t>Operating lease commitments (4)   . . . . . . . . . . . . </w:t>
            </w:r>
          </w:p>
        </w:tc>
        <w:tc>
          <w:tcPr>
            <w:tcW w:w="1077" w:type="dxa"/>
          </w:tcPr>
          <w:p>
            <w:pPr>
              <w:pStyle w:val="TableParagraph"/>
              <w:spacing w:before="1"/>
              <w:ind w:right="98"/>
              <w:rPr>
                <w:sz w:val="18"/>
              </w:rPr>
            </w:pPr>
            <w:r>
              <w:rPr>
                <w:color w:val="231F20"/>
                <w:sz w:val="18"/>
              </w:rPr>
              <w:t>689</w:t>
            </w:r>
          </w:p>
        </w:tc>
        <w:tc>
          <w:tcPr>
            <w:tcW w:w="1100" w:type="dxa"/>
          </w:tcPr>
          <w:p>
            <w:pPr>
              <w:pStyle w:val="TableParagraph"/>
              <w:spacing w:before="1"/>
              <w:ind w:right="98"/>
              <w:rPr>
                <w:sz w:val="18"/>
              </w:rPr>
            </w:pPr>
            <w:r>
              <w:rPr>
                <w:color w:val="231F20"/>
                <w:sz w:val="18"/>
              </w:rPr>
              <w:t>1,199</w:t>
            </w:r>
          </w:p>
        </w:tc>
        <w:tc>
          <w:tcPr>
            <w:tcW w:w="1100" w:type="dxa"/>
          </w:tcPr>
          <w:p>
            <w:pPr>
              <w:pStyle w:val="TableParagraph"/>
              <w:spacing w:before="1"/>
              <w:ind w:right="98"/>
              <w:rPr>
                <w:sz w:val="18"/>
              </w:rPr>
            </w:pPr>
            <w:r>
              <w:rPr>
                <w:color w:val="231F20"/>
                <w:sz w:val="18"/>
              </w:rPr>
              <w:t>945</w:t>
            </w:r>
          </w:p>
        </w:tc>
        <w:tc>
          <w:tcPr>
            <w:tcW w:w="1100" w:type="dxa"/>
          </w:tcPr>
          <w:p>
            <w:pPr>
              <w:pStyle w:val="TableParagraph"/>
              <w:spacing w:before="1"/>
              <w:ind w:right="98"/>
              <w:rPr>
                <w:sz w:val="18"/>
              </w:rPr>
            </w:pPr>
            <w:r>
              <w:rPr>
                <w:color w:val="231F20"/>
                <w:sz w:val="18"/>
              </w:rPr>
              <w:t>1,755</w:t>
            </w:r>
          </w:p>
        </w:tc>
        <w:tc>
          <w:tcPr>
            <w:tcW w:w="1100" w:type="dxa"/>
          </w:tcPr>
          <w:p>
            <w:pPr>
              <w:pStyle w:val="TableParagraph"/>
              <w:spacing w:before="1"/>
              <w:ind w:right="48"/>
              <w:rPr>
                <w:sz w:val="18"/>
              </w:rPr>
            </w:pPr>
            <w:r>
              <w:rPr>
                <w:color w:val="231F20"/>
                <w:sz w:val="18"/>
              </w:rPr>
              <w:t>4,588</w:t>
            </w:r>
          </w:p>
        </w:tc>
      </w:tr>
      <w:tr>
        <w:trPr>
          <w:trHeight w:val="220" w:hRule="exact"/>
        </w:trPr>
        <w:tc>
          <w:tcPr>
            <w:tcW w:w="3743" w:type="dxa"/>
          </w:tcPr>
          <w:p>
            <w:pPr>
              <w:pStyle w:val="TableParagraph"/>
              <w:spacing w:before="1"/>
              <w:ind w:left="50"/>
              <w:jc w:val="left"/>
              <w:rPr>
                <w:sz w:val="18"/>
              </w:rPr>
            </w:pPr>
            <w:r>
              <w:rPr>
                <w:color w:val="231F20"/>
                <w:sz w:val="18"/>
              </w:rPr>
              <w:t>Capital lease commitments (5) . . . . . . . . . . . . . . . </w:t>
            </w:r>
          </w:p>
        </w:tc>
        <w:tc>
          <w:tcPr>
            <w:tcW w:w="1077" w:type="dxa"/>
          </w:tcPr>
          <w:p>
            <w:pPr>
              <w:pStyle w:val="TableParagraph"/>
              <w:spacing w:before="1"/>
              <w:ind w:right="98"/>
              <w:rPr>
                <w:sz w:val="18"/>
              </w:rPr>
            </w:pPr>
            <w:r>
              <w:rPr>
                <w:color w:val="231F20"/>
                <w:sz w:val="18"/>
              </w:rPr>
              <w:t>8</w:t>
            </w:r>
          </w:p>
        </w:tc>
        <w:tc>
          <w:tcPr>
            <w:tcW w:w="1100" w:type="dxa"/>
          </w:tcPr>
          <w:p>
            <w:pPr>
              <w:pStyle w:val="TableParagraph"/>
              <w:spacing w:before="1"/>
              <w:ind w:right="98"/>
              <w:rPr>
                <w:sz w:val="18"/>
              </w:rPr>
            </w:pPr>
            <w:r>
              <w:rPr>
                <w:color w:val="231F20"/>
                <w:sz w:val="18"/>
              </w:rPr>
              <w:t>16</w:t>
            </w:r>
          </w:p>
        </w:tc>
        <w:tc>
          <w:tcPr>
            <w:tcW w:w="1100" w:type="dxa"/>
          </w:tcPr>
          <w:p>
            <w:pPr>
              <w:pStyle w:val="TableParagraph"/>
              <w:spacing w:before="1"/>
              <w:ind w:right="98"/>
              <w:rPr>
                <w:sz w:val="18"/>
              </w:rPr>
            </w:pPr>
            <w:r>
              <w:rPr>
                <w:color w:val="231F20"/>
                <w:sz w:val="18"/>
              </w:rPr>
              <w:t>16</w:t>
            </w:r>
          </w:p>
        </w:tc>
        <w:tc>
          <w:tcPr>
            <w:tcW w:w="1100" w:type="dxa"/>
          </w:tcPr>
          <w:p>
            <w:pPr>
              <w:pStyle w:val="TableParagraph"/>
              <w:spacing w:before="1"/>
              <w:ind w:right="98"/>
              <w:rPr>
                <w:sz w:val="18"/>
              </w:rPr>
            </w:pPr>
            <w:r>
              <w:rPr>
                <w:color w:val="231F20"/>
                <w:sz w:val="18"/>
              </w:rPr>
              <w:t>29</w:t>
            </w:r>
          </w:p>
        </w:tc>
        <w:tc>
          <w:tcPr>
            <w:tcW w:w="1100" w:type="dxa"/>
          </w:tcPr>
          <w:p>
            <w:pPr>
              <w:pStyle w:val="TableParagraph"/>
              <w:spacing w:before="1"/>
              <w:ind w:right="48"/>
              <w:rPr>
                <w:sz w:val="18"/>
              </w:rPr>
            </w:pPr>
            <w:r>
              <w:rPr>
                <w:color w:val="231F20"/>
                <w:sz w:val="18"/>
              </w:rPr>
              <w:t>69</w:t>
            </w:r>
          </w:p>
        </w:tc>
      </w:tr>
      <w:tr>
        <w:trPr>
          <w:trHeight w:val="220" w:hRule="exact"/>
        </w:trPr>
        <w:tc>
          <w:tcPr>
            <w:tcW w:w="3743" w:type="dxa"/>
          </w:tcPr>
          <w:p>
            <w:pPr>
              <w:pStyle w:val="TableParagraph"/>
              <w:spacing w:before="1"/>
              <w:ind w:left="50"/>
              <w:jc w:val="left"/>
              <w:rPr>
                <w:sz w:val="18"/>
              </w:rPr>
            </w:pPr>
            <w:r>
              <w:rPr>
                <w:color w:val="231F20"/>
                <w:sz w:val="18"/>
              </w:rPr>
              <w:t>Aircraft purchase commitments (6)  . . . . . . . . . . . </w:t>
            </w:r>
          </w:p>
        </w:tc>
        <w:tc>
          <w:tcPr>
            <w:tcW w:w="1077" w:type="dxa"/>
          </w:tcPr>
          <w:p>
            <w:pPr>
              <w:pStyle w:val="TableParagraph"/>
              <w:spacing w:before="1"/>
              <w:ind w:right="98"/>
              <w:rPr>
                <w:sz w:val="18"/>
              </w:rPr>
            </w:pPr>
            <w:r>
              <w:rPr>
                <w:color w:val="231F20"/>
                <w:sz w:val="18"/>
              </w:rPr>
              <w:t>876</w:t>
            </w:r>
          </w:p>
        </w:tc>
        <w:tc>
          <w:tcPr>
            <w:tcW w:w="1100" w:type="dxa"/>
          </w:tcPr>
          <w:p>
            <w:pPr>
              <w:pStyle w:val="TableParagraph"/>
              <w:spacing w:before="1"/>
              <w:ind w:right="98"/>
              <w:rPr>
                <w:sz w:val="18"/>
              </w:rPr>
            </w:pPr>
            <w:r>
              <w:rPr>
                <w:color w:val="231F20"/>
                <w:sz w:val="18"/>
              </w:rPr>
              <w:t>2,004</w:t>
            </w:r>
          </w:p>
        </w:tc>
        <w:tc>
          <w:tcPr>
            <w:tcW w:w="1100" w:type="dxa"/>
          </w:tcPr>
          <w:p>
            <w:pPr>
              <w:pStyle w:val="TableParagraph"/>
              <w:spacing w:before="1"/>
              <w:ind w:right="98"/>
              <w:rPr>
                <w:sz w:val="18"/>
              </w:rPr>
            </w:pPr>
            <w:r>
              <w:rPr>
                <w:color w:val="231F20"/>
                <w:sz w:val="18"/>
              </w:rPr>
              <w:t>2,224</w:t>
            </w:r>
          </w:p>
        </w:tc>
        <w:tc>
          <w:tcPr>
            <w:tcW w:w="1100" w:type="dxa"/>
          </w:tcPr>
          <w:p>
            <w:pPr>
              <w:pStyle w:val="TableParagraph"/>
              <w:spacing w:before="1"/>
              <w:ind w:right="98"/>
              <w:rPr>
                <w:sz w:val="18"/>
              </w:rPr>
            </w:pPr>
            <w:r>
              <w:rPr>
                <w:color w:val="231F20"/>
                <w:sz w:val="18"/>
              </w:rPr>
              <w:t>6,807</w:t>
            </w:r>
          </w:p>
        </w:tc>
        <w:tc>
          <w:tcPr>
            <w:tcW w:w="1100" w:type="dxa"/>
          </w:tcPr>
          <w:p>
            <w:pPr>
              <w:pStyle w:val="TableParagraph"/>
              <w:spacing w:before="1"/>
              <w:ind w:right="48"/>
              <w:rPr>
                <w:sz w:val="18"/>
              </w:rPr>
            </w:pPr>
            <w:r>
              <w:rPr>
                <w:color w:val="231F20"/>
                <w:sz w:val="18"/>
              </w:rPr>
              <w:t>11,911</w:t>
            </w:r>
          </w:p>
        </w:tc>
      </w:tr>
      <w:tr>
        <w:trPr>
          <w:trHeight w:val="245" w:hRule="exact"/>
        </w:trPr>
        <w:tc>
          <w:tcPr>
            <w:tcW w:w="3743" w:type="dxa"/>
          </w:tcPr>
          <w:p>
            <w:pPr>
              <w:pStyle w:val="TableParagraph"/>
              <w:spacing w:before="1"/>
              <w:ind w:left="50"/>
              <w:jc w:val="left"/>
              <w:rPr>
                <w:sz w:val="18"/>
              </w:rPr>
            </w:pPr>
            <w:r>
              <w:rPr>
                <w:color w:val="231F20"/>
                <w:sz w:val="18"/>
              </w:rPr>
              <w:t>Other commitments  . . . . . . . . . . . . . . . . . . . . . . . </w:t>
            </w:r>
          </w:p>
        </w:tc>
        <w:tc>
          <w:tcPr>
            <w:tcW w:w="1077" w:type="dxa"/>
            <w:tcBorders>
              <w:bottom w:val="single" w:sz="4" w:space="0" w:color="231F20"/>
            </w:tcBorders>
          </w:tcPr>
          <w:p>
            <w:pPr>
              <w:pStyle w:val="TableParagraph"/>
              <w:spacing w:before="1"/>
              <w:ind w:right="98"/>
              <w:rPr>
                <w:sz w:val="18"/>
              </w:rPr>
            </w:pPr>
            <w:r>
              <w:rPr>
                <w:color w:val="231F20"/>
                <w:sz w:val="18"/>
              </w:rPr>
              <w:t>372</w:t>
            </w:r>
          </w:p>
        </w:tc>
        <w:tc>
          <w:tcPr>
            <w:tcW w:w="1100" w:type="dxa"/>
            <w:tcBorders>
              <w:bottom w:val="single" w:sz="4" w:space="0" w:color="231F20"/>
            </w:tcBorders>
          </w:tcPr>
          <w:p>
            <w:pPr>
              <w:pStyle w:val="TableParagraph"/>
              <w:spacing w:before="1"/>
              <w:ind w:right="98"/>
              <w:rPr>
                <w:sz w:val="18"/>
              </w:rPr>
            </w:pPr>
            <w:r>
              <w:rPr>
                <w:color w:val="231F20"/>
                <w:sz w:val="18"/>
              </w:rPr>
              <w:t>182</w:t>
            </w:r>
          </w:p>
        </w:tc>
        <w:tc>
          <w:tcPr>
            <w:tcW w:w="1100" w:type="dxa"/>
            <w:tcBorders>
              <w:bottom w:val="single" w:sz="4" w:space="0" w:color="231F20"/>
            </w:tcBorders>
          </w:tcPr>
          <w:p>
            <w:pPr>
              <w:pStyle w:val="TableParagraph"/>
              <w:spacing w:before="1"/>
              <w:ind w:right="190"/>
              <w:rPr>
                <w:sz w:val="18"/>
              </w:rPr>
            </w:pPr>
            <w:r>
              <w:rPr>
                <w:color w:val="231F20"/>
                <w:sz w:val="18"/>
              </w:rPr>
              <w:t>—</w:t>
            </w:r>
          </w:p>
        </w:tc>
        <w:tc>
          <w:tcPr>
            <w:tcW w:w="1100" w:type="dxa"/>
            <w:tcBorders>
              <w:bottom w:val="single" w:sz="4" w:space="0" w:color="231F20"/>
            </w:tcBorders>
          </w:tcPr>
          <w:p>
            <w:pPr>
              <w:pStyle w:val="TableParagraph"/>
              <w:spacing w:before="1"/>
              <w:ind w:right="190"/>
              <w:rPr>
                <w:sz w:val="18"/>
              </w:rPr>
            </w:pPr>
            <w:r>
              <w:rPr>
                <w:color w:val="231F20"/>
                <w:sz w:val="18"/>
              </w:rPr>
              <w:t>—</w:t>
            </w:r>
          </w:p>
        </w:tc>
        <w:tc>
          <w:tcPr>
            <w:tcW w:w="1100" w:type="dxa"/>
            <w:tcBorders>
              <w:bottom w:val="single" w:sz="4" w:space="0" w:color="231F20"/>
            </w:tcBorders>
          </w:tcPr>
          <w:p>
            <w:pPr>
              <w:pStyle w:val="TableParagraph"/>
              <w:spacing w:before="1"/>
              <w:ind w:right="49"/>
              <w:rPr>
                <w:sz w:val="18"/>
              </w:rPr>
            </w:pPr>
            <w:r>
              <w:rPr>
                <w:color w:val="231F20"/>
                <w:sz w:val="18"/>
              </w:rPr>
              <w:t>554</w:t>
            </w:r>
          </w:p>
        </w:tc>
      </w:tr>
      <w:tr>
        <w:trPr>
          <w:trHeight w:val="320" w:hRule="exact"/>
        </w:trPr>
        <w:tc>
          <w:tcPr>
            <w:tcW w:w="3743" w:type="dxa"/>
          </w:tcPr>
          <w:p>
            <w:pPr>
              <w:pStyle w:val="TableParagraph"/>
              <w:spacing w:before="57"/>
              <w:ind w:left="231"/>
              <w:jc w:val="left"/>
              <w:rPr>
                <w:sz w:val="18"/>
              </w:rPr>
            </w:pPr>
            <w:r>
              <w:rPr>
                <w:color w:val="231F20"/>
                <w:sz w:val="18"/>
              </w:rPr>
              <w:t>Total contractual obligations  . . . . . . . . . . . . . . </w:t>
            </w:r>
          </w:p>
        </w:tc>
        <w:tc>
          <w:tcPr>
            <w:tcW w:w="1077" w:type="dxa"/>
            <w:tcBorders>
              <w:top w:val="single" w:sz="4" w:space="0" w:color="231F20"/>
              <w:bottom w:val="double" w:sz="7" w:space="0" w:color="231F20"/>
            </w:tcBorders>
          </w:tcPr>
          <w:p>
            <w:pPr>
              <w:pStyle w:val="TableParagraph"/>
              <w:tabs>
                <w:tab w:pos="494" w:val="left" w:leader="none"/>
              </w:tabs>
              <w:spacing w:before="52"/>
              <w:ind w:right="97"/>
              <w:rPr>
                <w:sz w:val="18"/>
              </w:rPr>
            </w:pPr>
            <w:r>
              <w:rPr>
                <w:color w:val="231F20"/>
                <w:sz w:val="18"/>
              </w:rPr>
              <w:t>$</w:t>
              <w:tab/>
            </w:r>
            <w:r>
              <w:rPr>
                <w:color w:val="231F20"/>
                <w:spacing w:val="-1"/>
                <w:sz w:val="18"/>
              </w:rPr>
              <w:t>2,699</w:t>
            </w:r>
          </w:p>
        </w:tc>
        <w:tc>
          <w:tcPr>
            <w:tcW w:w="1100" w:type="dxa"/>
            <w:tcBorders>
              <w:top w:val="single" w:sz="4" w:space="0" w:color="231F20"/>
              <w:bottom w:val="double" w:sz="7" w:space="0" w:color="231F20"/>
            </w:tcBorders>
          </w:tcPr>
          <w:p>
            <w:pPr>
              <w:pStyle w:val="TableParagraph"/>
              <w:tabs>
                <w:tab w:pos="494" w:val="left" w:leader="none"/>
              </w:tabs>
              <w:spacing w:before="52"/>
              <w:ind w:right="97"/>
              <w:rPr>
                <w:sz w:val="18"/>
              </w:rPr>
            </w:pPr>
            <w:r>
              <w:rPr>
                <w:color w:val="231F20"/>
                <w:sz w:val="18"/>
              </w:rPr>
              <w:t>$</w:t>
              <w:tab/>
            </w:r>
            <w:r>
              <w:rPr>
                <w:color w:val="231F20"/>
                <w:spacing w:val="-1"/>
                <w:sz w:val="18"/>
              </w:rPr>
              <w:t>4,310</w:t>
            </w:r>
          </w:p>
        </w:tc>
        <w:tc>
          <w:tcPr>
            <w:tcW w:w="1100" w:type="dxa"/>
            <w:tcBorders>
              <w:top w:val="single" w:sz="4" w:space="0" w:color="231F20"/>
              <w:bottom w:val="double" w:sz="7" w:space="0" w:color="231F20"/>
            </w:tcBorders>
          </w:tcPr>
          <w:p>
            <w:pPr>
              <w:pStyle w:val="TableParagraph"/>
              <w:tabs>
                <w:tab w:pos="494" w:val="left" w:leader="none"/>
              </w:tabs>
              <w:spacing w:before="52"/>
              <w:ind w:right="97"/>
              <w:rPr>
                <w:sz w:val="18"/>
              </w:rPr>
            </w:pPr>
            <w:r>
              <w:rPr>
                <w:color w:val="231F20"/>
                <w:sz w:val="18"/>
              </w:rPr>
              <w:t>$</w:t>
              <w:tab/>
            </w:r>
            <w:r>
              <w:rPr>
                <w:color w:val="231F20"/>
                <w:spacing w:val="-1"/>
                <w:sz w:val="18"/>
              </w:rPr>
              <w:t>4,051</w:t>
            </w:r>
          </w:p>
        </w:tc>
        <w:tc>
          <w:tcPr>
            <w:tcW w:w="1100" w:type="dxa"/>
            <w:tcBorders>
              <w:top w:val="single" w:sz="4" w:space="0" w:color="231F20"/>
              <w:bottom w:val="double" w:sz="7" w:space="0" w:color="231F20"/>
            </w:tcBorders>
          </w:tcPr>
          <w:p>
            <w:pPr>
              <w:pStyle w:val="TableParagraph"/>
              <w:tabs>
                <w:tab w:pos="494" w:val="left" w:leader="none"/>
              </w:tabs>
              <w:spacing w:before="52"/>
              <w:ind w:right="97"/>
              <w:rPr>
                <w:sz w:val="18"/>
              </w:rPr>
            </w:pPr>
            <w:r>
              <w:rPr>
                <w:color w:val="231F20"/>
                <w:sz w:val="18"/>
              </w:rPr>
              <w:t>$</w:t>
              <w:tab/>
            </w:r>
            <w:r>
              <w:rPr>
                <w:color w:val="231F20"/>
                <w:spacing w:val="-1"/>
                <w:sz w:val="18"/>
              </w:rPr>
              <w:t>9,357</w:t>
            </w:r>
          </w:p>
        </w:tc>
        <w:tc>
          <w:tcPr>
            <w:tcW w:w="1100" w:type="dxa"/>
            <w:tcBorders>
              <w:top w:val="single" w:sz="4" w:space="0" w:color="231F20"/>
              <w:bottom w:val="double" w:sz="7" w:space="0" w:color="231F20"/>
            </w:tcBorders>
          </w:tcPr>
          <w:p>
            <w:pPr>
              <w:pStyle w:val="TableParagraph"/>
              <w:tabs>
                <w:tab w:pos="454" w:val="left" w:leader="none"/>
              </w:tabs>
              <w:spacing w:before="52"/>
              <w:ind w:right="48"/>
              <w:rPr>
                <w:sz w:val="18"/>
              </w:rPr>
            </w:pPr>
            <w:r>
              <w:rPr>
                <w:color w:val="231F20"/>
                <w:sz w:val="18"/>
              </w:rPr>
              <w:t>$</w:t>
              <w:tab/>
            </w:r>
            <w:r>
              <w:rPr>
                <w:color w:val="231F20"/>
                <w:spacing w:val="-1"/>
                <w:sz w:val="18"/>
              </w:rPr>
              <w:t>20,417</w:t>
            </w:r>
          </w:p>
        </w:tc>
      </w:tr>
      <w:tr>
        <w:trPr>
          <w:trHeight w:val="180" w:hRule="exact"/>
        </w:trPr>
        <w:tc>
          <w:tcPr>
            <w:tcW w:w="3743" w:type="dxa"/>
            <w:tcBorders>
              <w:bottom w:val="single" w:sz="4" w:space="0" w:color="231F20"/>
            </w:tcBorders>
          </w:tcPr>
          <w:p>
            <w:pPr/>
          </w:p>
        </w:tc>
        <w:tc>
          <w:tcPr>
            <w:tcW w:w="1077" w:type="dxa"/>
            <w:tcBorders>
              <w:top w:val="double" w:sz="7" w:space="0" w:color="231F20"/>
            </w:tcBorders>
          </w:tcPr>
          <w:p>
            <w:pPr/>
          </w:p>
        </w:tc>
        <w:tc>
          <w:tcPr>
            <w:tcW w:w="1100" w:type="dxa"/>
            <w:tcBorders>
              <w:top w:val="double" w:sz="7" w:space="0" w:color="231F20"/>
            </w:tcBorders>
          </w:tcPr>
          <w:p>
            <w:pPr/>
          </w:p>
        </w:tc>
        <w:tc>
          <w:tcPr>
            <w:tcW w:w="1100" w:type="dxa"/>
            <w:tcBorders>
              <w:top w:val="double" w:sz="7" w:space="0" w:color="231F20"/>
            </w:tcBorders>
          </w:tcPr>
          <w:p>
            <w:pPr/>
          </w:p>
        </w:tc>
        <w:tc>
          <w:tcPr>
            <w:tcW w:w="1100" w:type="dxa"/>
            <w:tcBorders>
              <w:top w:val="double" w:sz="7" w:space="0" w:color="231F20"/>
            </w:tcBorders>
          </w:tcPr>
          <w:p>
            <w:pPr/>
          </w:p>
        </w:tc>
        <w:tc>
          <w:tcPr>
            <w:tcW w:w="1100" w:type="dxa"/>
            <w:tcBorders>
              <w:top w:val="double" w:sz="7" w:space="0" w:color="231F20"/>
            </w:tcBorders>
          </w:tcPr>
          <w:p>
            <w:pPr/>
          </w:p>
        </w:tc>
      </w:tr>
    </w:tbl>
    <w:p>
      <w:pPr>
        <w:pStyle w:val="ListParagraph"/>
        <w:numPr>
          <w:ilvl w:val="0"/>
          <w:numId w:val="10"/>
        </w:numPr>
        <w:tabs>
          <w:tab w:pos="520" w:val="left" w:leader="none"/>
        </w:tabs>
        <w:spacing w:line="254" w:lineRule="auto" w:before="47" w:after="0"/>
        <w:ind w:left="520" w:right="478" w:hanging="360"/>
        <w:jc w:val="left"/>
        <w:rPr>
          <w:sz w:val="18"/>
        </w:rPr>
      </w:pPr>
      <w:r>
        <w:rPr>
          <w:color w:val="231F20"/>
          <w:sz w:val="18"/>
        </w:rPr>
        <w:t>Includes principal only and includes $68 million in 2014 associated with the Company’s convertible senior notes due 2016. See Note 5 to the Consolidated Financial Statements.</w:t>
      </w:r>
    </w:p>
    <w:p>
      <w:pPr>
        <w:pStyle w:val="ListParagraph"/>
        <w:numPr>
          <w:ilvl w:val="0"/>
          <w:numId w:val="10"/>
        </w:numPr>
        <w:tabs>
          <w:tab w:pos="520" w:val="left" w:leader="none"/>
        </w:tabs>
        <w:spacing w:line="240" w:lineRule="auto" w:before="1" w:after="0"/>
        <w:ind w:left="520" w:right="0" w:hanging="360"/>
        <w:jc w:val="left"/>
        <w:rPr>
          <w:sz w:val="18"/>
        </w:rPr>
      </w:pPr>
      <w:r>
        <w:rPr>
          <w:color w:val="231F20"/>
          <w:sz w:val="18"/>
        </w:rPr>
        <w:t>Related to fixed-rate debt only.</w:t>
      </w:r>
    </w:p>
    <w:p>
      <w:pPr>
        <w:pStyle w:val="ListParagraph"/>
        <w:numPr>
          <w:ilvl w:val="0"/>
          <w:numId w:val="10"/>
        </w:numPr>
        <w:tabs>
          <w:tab w:pos="520" w:val="left" w:leader="none"/>
        </w:tabs>
        <w:spacing w:line="254" w:lineRule="auto" w:before="13" w:after="0"/>
        <w:ind w:left="520" w:right="243" w:hanging="360"/>
        <w:jc w:val="left"/>
        <w:rPr>
          <w:sz w:val="18"/>
        </w:rPr>
      </w:pPr>
      <w:r>
        <w:rPr>
          <w:color w:val="231F20"/>
          <w:sz w:val="18"/>
        </w:rPr>
        <w:t>Interest obligations associated with floating-rate debt (either at issuance or through swaps) is estimated utilizing forward interest rate curves as of December 31, 2013 and can be subject to significant fluctuation.</w:t>
      </w:r>
    </w:p>
    <w:p>
      <w:pPr>
        <w:pStyle w:val="ListParagraph"/>
        <w:numPr>
          <w:ilvl w:val="0"/>
          <w:numId w:val="10"/>
        </w:numPr>
        <w:tabs>
          <w:tab w:pos="520" w:val="left" w:leader="none"/>
        </w:tabs>
        <w:spacing w:line="254" w:lineRule="auto" w:before="1" w:after="0"/>
        <w:ind w:left="520" w:right="508" w:hanging="360"/>
        <w:jc w:val="left"/>
        <w:rPr>
          <w:sz w:val="18"/>
        </w:rPr>
      </w:pPr>
      <w:r>
        <w:rPr>
          <w:color w:val="231F20"/>
          <w:sz w:val="18"/>
        </w:rPr>
        <w:t>Includes Love Field Modernization Program commitment amounts, and includes the impact of the Boeing 717 lease/ sublease transaction entered into in 2012. See Note 8 to the Consolidated Financial</w:t>
      </w:r>
      <w:r>
        <w:rPr>
          <w:color w:val="231F20"/>
          <w:spacing w:val="-1"/>
          <w:sz w:val="18"/>
        </w:rPr>
        <w:t> </w:t>
      </w:r>
      <w:r>
        <w:rPr>
          <w:color w:val="231F20"/>
          <w:sz w:val="18"/>
        </w:rPr>
        <w:t>Statements.</w:t>
      </w:r>
    </w:p>
    <w:p>
      <w:pPr>
        <w:pStyle w:val="ListParagraph"/>
        <w:numPr>
          <w:ilvl w:val="0"/>
          <w:numId w:val="10"/>
        </w:numPr>
        <w:tabs>
          <w:tab w:pos="520" w:val="left" w:leader="none"/>
        </w:tabs>
        <w:spacing w:line="240" w:lineRule="auto" w:before="1" w:after="0"/>
        <w:ind w:left="520" w:right="0" w:hanging="360"/>
        <w:jc w:val="left"/>
        <w:rPr>
          <w:sz w:val="18"/>
        </w:rPr>
      </w:pPr>
      <w:r>
        <w:rPr>
          <w:color w:val="231F20"/>
          <w:sz w:val="18"/>
        </w:rPr>
        <w:t>Includes interest on capital leases.</w:t>
      </w:r>
    </w:p>
    <w:p>
      <w:pPr>
        <w:pStyle w:val="ListParagraph"/>
        <w:numPr>
          <w:ilvl w:val="0"/>
          <w:numId w:val="10"/>
        </w:numPr>
        <w:tabs>
          <w:tab w:pos="520" w:val="left" w:leader="none"/>
        </w:tabs>
        <w:spacing w:line="240" w:lineRule="auto" w:before="13" w:after="0"/>
        <w:ind w:left="520" w:right="0" w:hanging="360"/>
        <w:jc w:val="left"/>
        <w:rPr>
          <w:sz w:val="18"/>
        </w:rPr>
      </w:pPr>
      <w:r>
        <w:rPr>
          <w:color w:val="231F20"/>
          <w:sz w:val="18"/>
        </w:rPr>
        <w:t>Firm orders from Boeing and commitments with other</w:t>
      </w:r>
      <w:r>
        <w:rPr>
          <w:color w:val="231F20"/>
          <w:spacing w:val="-2"/>
          <w:sz w:val="18"/>
        </w:rPr>
        <w:t> </w:t>
      </w:r>
      <w:r>
        <w:rPr>
          <w:color w:val="231F20"/>
          <w:sz w:val="18"/>
        </w:rPr>
        <w:t>parties.</w:t>
      </w:r>
    </w:p>
    <w:p>
      <w:pPr>
        <w:pStyle w:val="BodyText"/>
        <w:rPr>
          <w:sz w:val="22"/>
        </w:rPr>
      </w:pPr>
    </w:p>
    <w:p>
      <w:pPr>
        <w:pStyle w:val="BodyText"/>
        <w:spacing w:line="249" w:lineRule="auto"/>
        <w:ind w:left="160" w:right="297" w:firstLine="490"/>
      </w:pPr>
      <w:r>
        <w:rPr>
          <w:color w:val="231F20"/>
        </w:rPr>
        <w:t>The Company expects to incur no more than $550 million in Acquisition and integration costs associated with the AirTran acquisition, of which $410 million has been recorded through December 31, 2013. These costs have been, and are expected to continue to be, funded with cash from operations. The Company believes that its current liquidity position, including unrestricted cash and short-term investments of $3.2 billion as of  December 31, 2013, anticipated future internally generated funds from operations, and its fully available, unsecured revolving credit facility of $1 billion that expires in April 2018, will enable it to meet these future integration expenditures.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w:t>
      </w:r>
      <w:r>
        <w:rPr>
          <w:color w:val="231F20"/>
          <w:spacing w:val="10"/>
        </w:rPr>
        <w:t> </w:t>
      </w:r>
      <w:r>
        <w:rPr>
          <w:color w:val="231F20"/>
        </w:rPr>
        <w:t>liquidity</w:t>
      </w:r>
    </w:p>
    <w:p>
      <w:pPr>
        <w:pStyle w:val="BodyText"/>
        <w:spacing w:line="249" w:lineRule="auto"/>
        <w:ind w:left="160" w:right="178"/>
      </w:pPr>
      <w:r>
        <w:rPr>
          <w:color w:val="231F20"/>
        </w:rPr>
        <w:t>requirements. The Company will continue to consider various borrowing or leasing options to maximize liquidity and supplement cash requirements as necessary.</w:t>
      </w:r>
    </w:p>
    <w:p>
      <w:pPr>
        <w:pStyle w:val="BodyText"/>
        <w:spacing w:before="9"/>
      </w:pPr>
    </w:p>
    <w:p>
      <w:pPr>
        <w:pStyle w:val="BodyText"/>
        <w:spacing w:line="249" w:lineRule="auto"/>
        <w:ind w:left="160" w:right="250" w:firstLine="490"/>
      </w:pPr>
      <w:r>
        <w:rPr>
          <w:color w:val="231F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a total of up to $500 million of the Company’s common stock following such authorization. On May 16, 2012, the Company’s Board of Directors increased the previous share repurchase authorization by $500 million to a total of $1.0 billion. On May 15, 2013, the Company’s Board of Directors further increased the previous share repurchase authorization by an additional</w:t>
      </w:r>
    </w:p>
    <w:p>
      <w:pPr>
        <w:pStyle w:val="BodyText"/>
        <w:spacing w:line="249" w:lineRule="auto"/>
        <w:ind w:left="160" w:right="147"/>
      </w:pPr>
      <w:r>
        <w:rPr>
          <w:color w:val="231F20"/>
        </w:rPr>
        <w:t>$500 million to a total of $1.5 billion. Under an accelerated share repurchase agreement entered into by the Company with a third party financial institution in second quarter 2013, the Company paid a total of approximately $251 million and received a total of approximately 18.0 million shares. Under a separate accelerated share repurchase program entered into by the Company with a third party financial institution in third quarter 2013, the Company paid approximately $150 million and received an initial delivery of approximately</w:t>
      </w:r>
    </w:p>
    <w:p>
      <w:pPr>
        <w:pStyle w:val="BodyText"/>
        <w:spacing w:line="249" w:lineRule="auto"/>
        <w:ind w:left="160" w:right="423"/>
      </w:pPr>
      <w:r>
        <w:rPr>
          <w:color w:val="231F20"/>
        </w:rPr>
        <w:t>11.5 million shares. Final settlement of this third quarter ASR Program occurred in December 2013, and the Company elected to make a cash payment of approximately $40 million. As of December 31, 2013, the Company’s cumulative purchases under all Board-authorized repurchases since the August 2011 authorization</w:t>
      </w:r>
    </w:p>
    <w:p>
      <w:pPr>
        <w:spacing w:after="0" w:line="249" w:lineRule="auto"/>
        <w:sectPr>
          <w:pgSz w:w="11880" w:h="15480"/>
          <w:pgMar w:header="0" w:footer="1253" w:top="1240" w:bottom="1440" w:left="1220" w:right="1220"/>
        </w:sectPr>
      </w:pPr>
    </w:p>
    <w:p>
      <w:pPr>
        <w:pStyle w:val="BodyText"/>
        <w:spacing w:line="249" w:lineRule="auto" w:before="73"/>
        <w:ind w:left="100"/>
      </w:pPr>
      <w:r>
        <w:rPr>
          <w:color w:val="231F20"/>
        </w:rPr>
        <w:t>have totaled 111 million shares for $1.2 billion of the $1.5 billion in total authorized by the Board. During 2014, the Company currently intends to complete the remaining authorized share repurchases of the $1.5 billion in total authorized by the Board.</w:t>
      </w:r>
    </w:p>
    <w:p>
      <w:pPr>
        <w:pStyle w:val="BodyText"/>
        <w:spacing w:before="9"/>
        <w:rPr>
          <w:sz w:val="18"/>
        </w:rPr>
      </w:pPr>
    </w:p>
    <w:p>
      <w:pPr>
        <w:pStyle w:val="Heading3"/>
        <w:spacing w:before="1"/>
      </w:pPr>
      <w:r>
        <w:rPr>
          <w:color w:val="231F20"/>
        </w:rPr>
        <w:t>Airport Projects</w:t>
      </w:r>
    </w:p>
    <w:p>
      <w:pPr>
        <w:pStyle w:val="BodyText"/>
        <w:spacing w:before="7"/>
        <w:rPr>
          <w:b/>
          <w:sz w:val="19"/>
        </w:rPr>
      </w:pPr>
    </w:p>
    <w:p>
      <w:pPr>
        <w:pStyle w:val="BodyText"/>
        <w:spacing w:line="249" w:lineRule="auto"/>
        <w:ind w:left="100" w:right="252" w:firstLine="490"/>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spacing w:before="9"/>
        <w:rPr>
          <w:sz w:val="18"/>
        </w:rPr>
      </w:pPr>
    </w:p>
    <w:p>
      <w:pPr>
        <w:pStyle w:val="Heading3"/>
        <w:ind w:left="300"/>
      </w:pPr>
      <w:r>
        <w:rPr>
          <w:color w:val="231F20"/>
        </w:rPr>
        <w:t>Dallas Love Field</w:t>
      </w:r>
    </w:p>
    <w:p>
      <w:pPr>
        <w:pStyle w:val="BodyText"/>
        <w:spacing w:before="7"/>
        <w:rPr>
          <w:b/>
          <w:sz w:val="19"/>
        </w:rPr>
      </w:pPr>
    </w:p>
    <w:p>
      <w:pPr>
        <w:pStyle w:val="BodyText"/>
        <w:spacing w:line="249" w:lineRule="auto"/>
        <w:ind w:left="100" w:right="110" w:firstLine="490"/>
      </w:pPr>
      <w:r>
        <w:rPr>
          <w:color w:val="231F20"/>
        </w:rPr>
        <w:t>For the rebuilding of the facilities at Dallas Love Field, the Company has guaranteed principal, premium, and interest on $456 million in bonds issued by the Love Field Airport Modernization Corporation (“LFAMC”) that have been utilized to fund the majority of the project. Repayment of the bonds will be through the “Facilities Payments” described below. Reimbursement of the Company for its payment of Facilities Payments are expected to be made through recurring ground rents, fees, and other revenues collected at the airport.</w:t>
      </w:r>
    </w:p>
    <w:p>
      <w:pPr>
        <w:pStyle w:val="BodyText"/>
        <w:spacing w:before="10"/>
        <w:rPr>
          <w:sz w:val="18"/>
        </w:rPr>
      </w:pPr>
    </w:p>
    <w:p>
      <w:pPr>
        <w:pStyle w:val="BodyText"/>
        <w:spacing w:line="249" w:lineRule="auto"/>
        <w:ind w:left="100" w:right="248" w:firstLine="490"/>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will reimburse the Company for the Facilities Payments made by the Company.</w:t>
      </w:r>
    </w:p>
    <w:p>
      <w:pPr>
        <w:pStyle w:val="BodyText"/>
        <w:spacing w:before="10"/>
        <w:rPr>
          <w:sz w:val="18"/>
        </w:rPr>
      </w:pPr>
    </w:p>
    <w:p>
      <w:pPr>
        <w:pStyle w:val="BodyText"/>
        <w:spacing w:line="249" w:lineRule="auto"/>
        <w:ind w:left="100" w:right="304" w:firstLine="490"/>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(i) use and lease agreements with other airlines, (ii) various concession agreements, and (iii) other airport miscellaneous revenues.</w:t>
      </w:r>
    </w:p>
    <w:p>
      <w:pPr>
        <w:pStyle w:val="BodyText"/>
        <w:spacing w:before="10"/>
        <w:rPr>
          <w:sz w:val="18"/>
        </w:rPr>
      </w:pPr>
    </w:p>
    <w:p>
      <w:pPr>
        <w:pStyle w:val="BodyText"/>
        <w:spacing w:line="249" w:lineRule="auto"/>
        <w:ind w:left="100" w:right="132" w:firstLine="490"/>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is not expected to have a significant impact on the Company’s capital resources or financial position.</w:t>
      </w:r>
    </w:p>
    <w:p>
      <w:pPr>
        <w:pStyle w:val="BodyText"/>
        <w:spacing w:before="10"/>
        <w:rPr>
          <w:sz w:val="18"/>
        </w:rPr>
      </w:pPr>
    </w:p>
    <w:p>
      <w:pPr>
        <w:pStyle w:val="Heading3"/>
        <w:ind w:left="300"/>
      </w:pPr>
      <w:r>
        <w:rPr>
          <w:color w:val="231F20"/>
        </w:rPr>
        <w:t>Fort Lauderdale-Hollywood International Airport</w:t>
      </w:r>
    </w:p>
    <w:p>
      <w:pPr>
        <w:pStyle w:val="BodyText"/>
        <w:spacing w:before="7"/>
        <w:rPr>
          <w:b/>
          <w:sz w:val="19"/>
        </w:rPr>
      </w:pPr>
    </w:p>
    <w:p>
      <w:pPr>
        <w:pStyle w:val="BodyText"/>
        <w:spacing w:line="249" w:lineRule="auto"/>
        <w:ind w:left="100" w:right="193" w:firstLine="490"/>
      </w:pPr>
      <w:r>
        <w:rPr>
          <w:color w:val="231F20"/>
        </w:rPr>
        <w:t>The Company has committed to oversee and manage the design and construction of Fort-Lauderdale- Hollywood International Airport’s Terminal 1 Modernization Project, including the design and construction of a new five-gate Concourse A with an international processing facility, at a cost not to exceed $295 million.</w:t>
      </w:r>
    </w:p>
    <w:p>
      <w:pPr>
        <w:pStyle w:val="BodyText"/>
        <w:spacing w:line="249" w:lineRule="auto"/>
        <w:ind w:left="100" w:right="209"/>
      </w:pPr>
      <w:r>
        <w:rPr>
          <w:color w:val="231F20"/>
        </w:rPr>
        <w:t>Funding for the project will come directly from Broward County aviation sources, but will flow through the Company in its capacity as manager of the project. In general, as work is being completed on the project by various contractors, invoices would be submitted to Broward County for initial payment to the Company, which would then make such payments to the contractors performing the work.</w:t>
      </w:r>
    </w:p>
    <w:p>
      <w:pPr>
        <w:pStyle w:val="BodyText"/>
        <w:spacing w:before="9"/>
        <w:rPr>
          <w:sz w:val="18"/>
        </w:rPr>
      </w:pPr>
    </w:p>
    <w:p>
      <w:pPr>
        <w:pStyle w:val="BodyText"/>
        <w:spacing w:line="249" w:lineRule="auto"/>
        <w:ind w:left="100" w:right="364" w:firstLine="490"/>
      </w:pPr>
      <w:r>
        <w:rPr>
          <w:color w:val="231F20"/>
        </w:rPr>
        <w:t>The Company’s liquidity could be impacted by this project to the extent there are instances in which the Company chooses to make payments to contractors prior to receiving initial payment from Broward County,</w:t>
      </w:r>
    </w:p>
    <w:p>
      <w:pPr>
        <w:spacing w:after="0" w:line="249" w:lineRule="auto"/>
        <w:sectPr>
          <w:pgSz w:w="11880" w:h="15480"/>
          <w:pgMar w:header="0" w:footer="1253" w:top="1240" w:bottom="1440" w:left="1280" w:right="1300"/>
        </w:sectPr>
      </w:pPr>
    </w:p>
    <w:p>
      <w:pPr>
        <w:pStyle w:val="BodyText"/>
        <w:spacing w:line="249" w:lineRule="auto" w:before="73"/>
        <w:ind w:left="100" w:right="465"/>
      </w:pPr>
      <w:r>
        <w:rPr>
          <w:color w:val="231F20"/>
        </w:rPr>
        <w:t>although the Company currently does not expect this to occur often based on its past experience with smaller projects conducted at the airport. The project is not expected to have a significant impact on the Company’s capital resources or financial position. Construction is currently estimated to begin during 2014.</w:t>
      </w:r>
    </w:p>
    <w:p>
      <w:pPr>
        <w:pStyle w:val="BodyText"/>
        <w:rPr>
          <w:sz w:val="19"/>
        </w:rPr>
      </w:pPr>
    </w:p>
    <w:p>
      <w:pPr>
        <w:pStyle w:val="Heading3"/>
        <w:ind w:left="300"/>
      </w:pPr>
      <w:r>
        <w:rPr>
          <w:color w:val="231F20"/>
        </w:rPr>
        <w:t>Houston Hobby International Airport</w:t>
      </w:r>
    </w:p>
    <w:p>
      <w:pPr>
        <w:pStyle w:val="BodyText"/>
        <w:spacing w:before="9"/>
        <w:rPr>
          <w:b/>
          <w:sz w:val="19"/>
        </w:rPr>
      </w:pPr>
    </w:p>
    <w:p>
      <w:pPr>
        <w:pStyle w:val="BodyText"/>
        <w:spacing w:line="249" w:lineRule="auto"/>
        <w:ind w:left="100" w:right="110" w:firstLine="490"/>
      </w:pPr>
      <w:r>
        <w:rPr>
          <w:color w:val="231F20"/>
        </w:rPr>
        <w:t>The Company has committed to oversee and manage the construction, at Houston Hobby International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is estimated to cost $156 million, and the Company has agreed to provide the funding for the project. In return, the Company will receive a monthly credit for the capital cost portions of the international terminal, from the date of initial occupancy of the terminal until expiration of the Lease. Additionally, some portion of the project is expected to qualify for rental credits that would be utilized upon completion of the facility against the Company’s current lease space at the airport. At any time after the completion of the project, the City may buy out the Company’s investment in the international terminal for the then-unamortized cost of the</w:t>
      </w:r>
      <w:r>
        <w:rPr>
          <w:color w:val="231F20"/>
          <w:spacing w:val="5"/>
        </w:rPr>
        <w:t> </w:t>
      </w:r>
      <w:r>
        <w:rPr>
          <w:color w:val="231F20"/>
        </w:rPr>
        <w:t>project.</w:t>
      </w:r>
    </w:p>
    <w:p>
      <w:pPr>
        <w:pStyle w:val="BodyText"/>
        <w:rPr>
          <w:sz w:val="19"/>
        </w:rPr>
      </w:pPr>
    </w:p>
    <w:p>
      <w:pPr>
        <w:pStyle w:val="BodyText"/>
        <w:spacing w:line="249" w:lineRule="auto"/>
        <w:ind w:left="100" w:right="165" w:firstLine="490"/>
      </w:pPr>
      <w:r>
        <w:rPr>
          <w:color w:val="231F20"/>
        </w:rPr>
        <w:t>The Company’s liquidity will be impacted by this project from the point of initial funding until the time at which it receives monthly credits upon completion, and whether or not the City chooses to buy out the Company’s investment prior to the full amortization of the project. The project is not expected to have a significant impact on the Company’s capital resources or financial position.</w:t>
      </w:r>
    </w:p>
    <w:p>
      <w:pPr>
        <w:pStyle w:val="BodyText"/>
        <w:spacing w:before="3"/>
        <w:rPr>
          <w:sz w:val="11"/>
        </w:rPr>
      </w:pPr>
    </w:p>
    <w:p>
      <w:pPr>
        <w:pStyle w:val="BodyText"/>
        <w:spacing w:before="89"/>
        <w:ind w:left="590"/>
      </w:pPr>
      <w:r>
        <w:rPr>
          <w:color w:val="231F20"/>
        </w:rPr>
        <w:t>Construction began during third quarter 2013 and is estimated to be completed during the second half of</w:t>
      </w:r>
    </w:p>
    <w:p>
      <w:pPr>
        <w:pStyle w:val="BodyText"/>
        <w:spacing w:before="10"/>
        <w:ind w:left="100"/>
      </w:pPr>
      <w:r>
        <w:rPr>
          <w:color w:val="231F20"/>
        </w:rPr>
        <w:t>2015.</w:t>
      </w:r>
    </w:p>
    <w:p>
      <w:pPr>
        <w:pStyle w:val="BodyText"/>
        <w:spacing w:before="10"/>
        <w:rPr>
          <w:sz w:val="11"/>
        </w:rPr>
      </w:pPr>
    </w:p>
    <w:p>
      <w:pPr>
        <w:pStyle w:val="Heading3"/>
        <w:spacing w:before="91"/>
        <w:ind w:left="300"/>
      </w:pPr>
      <w:r>
        <w:rPr>
          <w:color w:val="231F20"/>
        </w:rPr>
        <w:t>Los Angeles International Airport</w:t>
      </w:r>
    </w:p>
    <w:p>
      <w:pPr>
        <w:pStyle w:val="BodyText"/>
        <w:spacing w:before="8"/>
        <w:rPr>
          <w:b/>
          <w:sz w:val="19"/>
        </w:rPr>
      </w:pPr>
    </w:p>
    <w:p>
      <w:pPr>
        <w:pStyle w:val="BodyText"/>
        <w:spacing w:line="249" w:lineRule="auto" w:before="1"/>
        <w:ind w:left="100" w:right="99" w:firstLine="490"/>
      </w:pPr>
      <w:r>
        <w:rPr>
          <w:color w:val="231F20"/>
        </w:rPr>
        <w:t>During 2013, the Company committed to oversee and manage a renovation of Terminal 1 at Los Angeles International Airport, where it operates at 12 of the total 15 available gates, at a cost not to exceed $400 million. Although the Company has agreed to oversee and manage the project, all parties continue to discuss the scope of the project and how it will ultimately be funded. At the current time, the Company has not determined whether or how its liquidity may be impacted by this project.</w:t>
      </w:r>
    </w:p>
    <w:p>
      <w:pPr>
        <w:pStyle w:val="BodyText"/>
        <w:rPr>
          <w:sz w:val="19"/>
        </w:rPr>
      </w:pPr>
    </w:p>
    <w:p>
      <w:pPr>
        <w:pStyle w:val="BodyText"/>
        <w:ind w:left="590"/>
      </w:pPr>
      <w:r>
        <w:rPr>
          <w:color w:val="231F20"/>
        </w:rPr>
        <w:t>The project is expected to begin sometime during 2014.</w:t>
      </w:r>
    </w:p>
    <w:p>
      <w:pPr>
        <w:pStyle w:val="BodyText"/>
        <w:spacing w:before="8"/>
        <w:rPr>
          <w:sz w:val="19"/>
        </w:rPr>
      </w:pPr>
    </w:p>
    <w:p>
      <w:pPr>
        <w:pStyle w:val="Heading3"/>
      </w:pPr>
      <w:bookmarkStart w:name="_TOC_250010" w:id="20"/>
      <w:bookmarkStart w:name="Critical Accounting Policies and Estimat" w:id="21"/>
      <w:r>
        <w:rPr>
          <w:b w:val="0"/>
        </w:rPr>
      </w:r>
      <w:bookmarkEnd w:id="20"/>
      <w:r>
        <w:rPr>
          <w:color w:val="231F20"/>
        </w:rPr>
        <w:t>CRITICAL ACCOUNTING POLICIES AND ESTIMATES</w:t>
      </w:r>
    </w:p>
    <w:p>
      <w:pPr>
        <w:pStyle w:val="BodyText"/>
        <w:spacing w:before="8"/>
        <w:rPr>
          <w:b/>
          <w:sz w:val="19"/>
        </w:rPr>
      </w:pPr>
    </w:p>
    <w:p>
      <w:pPr>
        <w:pStyle w:val="BodyText"/>
        <w:spacing w:line="249" w:lineRule="auto"/>
        <w:ind w:left="100" w:right="121" w:firstLine="490"/>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pStyle w:val="BodyText"/>
        <w:spacing w:before="11"/>
        <w:rPr>
          <w:sz w:val="18"/>
        </w:rPr>
      </w:pPr>
    </w:p>
    <w:p>
      <w:pPr>
        <w:pStyle w:val="Heading3"/>
        <w:ind w:left="300"/>
      </w:pPr>
      <w:r>
        <w:rPr>
          <w:color w:val="231F20"/>
        </w:rPr>
        <w:t>Revenue recognition</w:t>
      </w:r>
    </w:p>
    <w:p>
      <w:pPr>
        <w:pStyle w:val="BodyText"/>
        <w:spacing w:before="9"/>
        <w:rPr>
          <w:b/>
          <w:sz w:val="19"/>
        </w:rPr>
      </w:pPr>
    </w:p>
    <w:p>
      <w:pPr>
        <w:pStyle w:val="BodyText"/>
        <w:spacing w:line="249" w:lineRule="auto"/>
        <w:ind w:left="100" w:firstLine="490"/>
      </w:pPr>
      <w:r>
        <w:rPr>
          <w:color w:val="231F20"/>
        </w:rPr>
        <w:t>Tickets sold for Passenger air travel are initially deferred as Air traffic liability. Passenger revenue is recognized and Air traffic liability is reduced when the service is provided (i.e., when the flight takes place). Air traffic liability primarily represents tickets sold for future travel dates and estimated future refunds and</w:t>
      </w:r>
    </w:p>
    <w:p>
      <w:pPr>
        <w:spacing w:after="0" w:line="249" w:lineRule="auto"/>
        <w:sectPr>
          <w:pgSz w:w="11880" w:h="15480"/>
          <w:pgMar w:header="0" w:footer="1253" w:top="1240" w:bottom="1440" w:left="1280" w:right="1300"/>
        </w:sectPr>
      </w:pPr>
    </w:p>
    <w:p>
      <w:pPr>
        <w:pStyle w:val="BodyText"/>
        <w:spacing w:line="249" w:lineRule="auto" w:before="73"/>
        <w:ind w:left="120" w:right="143"/>
        <w:jc w:val="both"/>
      </w:pPr>
      <w:r>
        <w:rPr>
          <w:color w:val="231F20"/>
        </w:rPr>
        <w:t>exchanges of tickets sold for past travel dates. The balance in Air traffic liability, which includes a portion of the Company’s liability associated with its frequent flyer programs, fluctuates throughout the year based on seasonal travel patterns, fare sale activity, and activity associated with the Company’s frequent flyer programs.</w:t>
      </w:r>
    </w:p>
    <w:p>
      <w:pPr>
        <w:pStyle w:val="BodyText"/>
        <w:spacing w:line="249" w:lineRule="auto" w:before="198"/>
        <w:ind w:left="120" w:right="149" w:firstLine="490"/>
      </w:pPr>
      <w:r>
        <w:rPr>
          <w:color w:val="231F20"/>
        </w:rPr>
        <w:t>For air travel on Southwest, the amount of tickets that will expire unused are estimated and recognized in Passenger revenue once the scheduled flight date has passed. Estimating the amount of tickets that will expire unused, be refunded, or exchanged involves some level of subjectivity and judgment. The majority of Southwest’s tickets sold are nonrefundable, which is the primary source of unused tickets. According to Southwest’s current “Contract of Carriage,” all refundable tickets that are sold but not flown on the travel date can be reused for another flight, up to a year from the date of sale, or can be refunded. This policy also applies to unused Customer funds that may be left over from exchanging a less expensive ticket for a previously purchased ticket that was more expensive. On September 13, 2013, Southwest implemented a No Show policy that applies to nonrefundable fares that are not canceled or changed by a Customer at least ten minutes prior to a flight’s scheduled departure. See Note 1 to the Consolidated Financial Statements for further information. A small percentage of tickets (or partial tickets) expire unused. Fully refundable tickets are rarely forfeited. Estimates of tickets that will expire unused are based on historical experience over many years. Southwest and other airlines have consistently applied this accounting method to estimate revenue from unused tickets at the date of scheduled travel.</w:t>
      </w:r>
    </w:p>
    <w:p>
      <w:pPr>
        <w:pStyle w:val="BodyText"/>
        <w:spacing w:before="2"/>
        <w:rPr>
          <w:sz w:val="17"/>
        </w:rPr>
      </w:pPr>
    </w:p>
    <w:p>
      <w:pPr>
        <w:pStyle w:val="BodyText"/>
        <w:spacing w:line="249" w:lineRule="auto"/>
        <w:ind w:left="120" w:right="98" w:firstLine="490"/>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refund, exchange, and forfeiture activity may vary from estimated amounts.</w:t>
      </w:r>
    </w:p>
    <w:p>
      <w:pPr>
        <w:pStyle w:val="BodyText"/>
        <w:spacing w:line="249" w:lineRule="auto" w:before="197"/>
        <w:ind w:left="120" w:right="213" w:firstLine="490"/>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Heading3"/>
        <w:spacing w:before="197"/>
        <w:ind w:left="320"/>
      </w:pPr>
      <w:r>
        <w:rPr>
          <w:color w:val="231F20"/>
        </w:rPr>
        <w:t>Accounting for long-lived assets</w:t>
      </w:r>
    </w:p>
    <w:p>
      <w:pPr>
        <w:pStyle w:val="BodyText"/>
        <w:spacing w:before="10"/>
        <w:rPr>
          <w:b/>
          <w:sz w:val="17"/>
        </w:rPr>
      </w:pPr>
    </w:p>
    <w:p>
      <w:pPr>
        <w:pStyle w:val="BodyText"/>
        <w:spacing w:line="249" w:lineRule="auto"/>
        <w:ind w:left="120" w:right="119" w:firstLine="490"/>
      </w:pPr>
      <w:r>
        <w:rPr>
          <w:color w:val="231F20"/>
        </w:rPr>
        <w:t>Flight equipment and related assets make up the majority of the Company’s long-lived assets. Flight equipment primarily relates to the 510 Boeing 737 aircraft and 10 Boeing 717 aircraft in the Company’s in- service fleet at December 31, 2013, which are either owned or on capital lease. The remaining 104 Boeing 737 aircraft and 56 Boeing 717 aircraft in the Company’s in-service fleet at December 31, 2013, are operated under operating leases. In accounting for long-lived assets, the Company must make estimates about the expected useful lives of the assets, the expected residual values of the assets, and the potential for impairment based on the fair value of the assets and their future expected cash</w:t>
      </w:r>
      <w:r>
        <w:rPr>
          <w:color w:val="231F20"/>
          <w:spacing w:val="5"/>
        </w:rPr>
        <w:t> </w:t>
      </w:r>
      <w:r>
        <w:rPr>
          <w:color w:val="231F20"/>
        </w:rPr>
        <w:t>flows.</w:t>
      </w:r>
    </w:p>
    <w:p>
      <w:pPr>
        <w:pStyle w:val="BodyText"/>
        <w:spacing w:line="249" w:lineRule="auto" w:before="197"/>
        <w:ind w:left="120" w:right="202" w:firstLine="490"/>
      </w:pPr>
      <w:r>
        <w:rPr>
          <w:color w:val="231F20"/>
        </w:rPr>
        <w:t>The following table shows a breakdown of the Company’s long-lived asset groups along with information about estimated useful lives and residual values for new assets generally purchased from the manufacturer:</w:t>
      </w:r>
    </w:p>
    <w:p>
      <w:pPr>
        <w:spacing w:after="0" w:line="249" w:lineRule="auto"/>
        <w:sectPr>
          <w:pgSz w:w="11880" w:h="15480"/>
          <w:pgMar w:header="0" w:footer="1253" w:top="1240" w:bottom="1440" w:left="1260" w:right="1300"/>
        </w:sectPr>
      </w:pPr>
    </w:p>
    <w:p>
      <w:pPr>
        <w:pStyle w:val="Heading2"/>
        <w:spacing w:line="220" w:lineRule="exact" w:before="188"/>
        <w:ind w:left="4481" w:firstLine="3"/>
        <w:jc w:val="right"/>
      </w:pPr>
      <w:r>
        <w:rPr>
          <w:color w:val="231F20"/>
        </w:rPr>
        <w:t>Estimated</w:t>
      </w:r>
      <w:r>
        <w:rPr>
          <w:color w:val="231F20"/>
          <w:w w:val="100"/>
        </w:rPr>
        <w:t> </w:t>
      </w:r>
      <w:r>
        <w:rPr>
          <w:color w:val="231F20"/>
        </w:rPr>
        <w:t>useful life</w:t>
      </w:r>
    </w:p>
    <w:p>
      <w:pPr>
        <w:spacing w:line="220" w:lineRule="exact" w:before="188"/>
        <w:ind w:left="865" w:right="1798" w:firstLine="174"/>
        <w:jc w:val="left"/>
        <w:rPr>
          <w:sz w:val="22"/>
        </w:rPr>
      </w:pPr>
      <w:r>
        <w:rPr/>
        <w:br w:type="column"/>
      </w:r>
      <w:r>
        <w:rPr>
          <w:color w:val="231F20"/>
          <w:sz w:val="22"/>
        </w:rPr>
        <w:t>Estimated residual value</w:t>
      </w:r>
    </w:p>
    <w:p>
      <w:pPr>
        <w:spacing w:after="0" w:line="220" w:lineRule="exact"/>
        <w:jc w:val="left"/>
        <w:rPr>
          <w:sz w:val="22"/>
        </w:rPr>
        <w:sectPr>
          <w:type w:val="continuous"/>
          <w:pgSz w:w="11880" w:h="15480"/>
          <w:pgMar w:top="1200" w:bottom="280" w:left="1260" w:right="1300"/>
          <w:cols w:num="2" w:equalWidth="0">
            <w:col w:w="5369" w:space="40"/>
            <w:col w:w="3911"/>
          </w:cols>
        </w:sectPr>
      </w:pPr>
    </w:p>
    <w:p>
      <w:pPr>
        <w:tabs>
          <w:tab w:pos="6126" w:val="left" w:leader="none"/>
        </w:tabs>
        <w:spacing w:line="20" w:lineRule="exact"/>
        <w:ind w:left="4005" w:right="0" w:firstLine="0"/>
        <w:rPr>
          <w:sz w:val="2"/>
        </w:rPr>
      </w:pPr>
      <w:r>
        <w:rPr>
          <w:sz w:val="2"/>
        </w:rPr>
        <w:pict>
          <v:group style="width:92.05pt;height:1pt;mso-position-horizontal-relative:char;mso-position-vertical-relative:line" coordorigin="0,0" coordsize="1841,20">
            <v:line style="position:absolute" from="10,10" to="1831,10" stroked="true" strokeweight="1pt" strokecolor="#231f20">
              <v:stroke dashstyle="solid"/>
            </v:line>
          </v:group>
        </w:pict>
      </w:r>
      <w:r>
        <w:rPr>
          <w:sz w:val="2"/>
        </w:rPr>
      </w:r>
      <w:r>
        <w:rPr>
          <w:sz w:val="2"/>
        </w:rPr>
        <w:tab/>
      </w:r>
      <w:r>
        <w:rPr>
          <w:sz w:val="2"/>
        </w:rPr>
        <w:pict>
          <v:group style="width:76.2pt;height:1pt;mso-position-horizontal-relative:char;mso-position-vertical-relative:line" coordorigin="0,0" coordsize="1524,20">
            <v:line style="position:absolute" from="10,10" to="1514,10" stroked="true" strokeweight="1pt" strokecolor="#231f20">
              <v:stroke dashstyle="solid"/>
            </v:line>
          </v:group>
        </w:pict>
      </w:r>
      <w:r>
        <w:rPr>
          <w:sz w:val="2"/>
        </w:rPr>
      </w:r>
    </w:p>
    <w:p>
      <w:pPr>
        <w:pStyle w:val="BodyText"/>
        <w:spacing w:before="9"/>
        <w:rPr>
          <w:sz w:val="15"/>
        </w:rPr>
      </w:pPr>
    </w:p>
    <w:p>
      <w:pPr>
        <w:pStyle w:val="Heading2"/>
        <w:tabs>
          <w:tab w:pos="4304" w:val="left" w:leader="none"/>
          <w:tab w:pos="4359" w:val="left" w:leader="none"/>
          <w:tab w:pos="4530" w:val="left" w:leader="none"/>
          <w:tab w:pos="6502" w:val="left" w:leader="none"/>
          <w:tab w:pos="6740" w:val="left" w:leader="none"/>
        </w:tabs>
        <w:spacing w:line="247" w:lineRule="auto" w:before="88"/>
        <w:ind w:left="119" w:right="2045"/>
      </w:pPr>
      <w:r>
        <w:rPr>
          <w:color w:val="231F20"/>
        </w:rPr>
        <w:t>Airframes and engines  . . . . . . . . . . . .</w:t>
      </w:r>
      <w:r>
        <w:rPr>
          <w:color w:val="231F20"/>
          <w:spacing w:val="8"/>
        </w:rPr>
        <w:t> </w:t>
      </w:r>
      <w:r>
        <w:rPr>
          <w:color w:val="231F20"/>
        </w:rPr>
        <w:t>. .</w:t>
        <w:tab/>
        <w:t>23 to</w:t>
      </w:r>
      <w:r>
        <w:rPr>
          <w:color w:val="231F20"/>
          <w:spacing w:val="-1"/>
        </w:rPr>
        <w:t> </w:t>
      </w:r>
      <w:r>
        <w:rPr>
          <w:color w:val="231F20"/>
        </w:rPr>
        <w:t>25 years</w:t>
        <w:tab/>
        <w:t>2%-20% Aircraft parts   . . . . . . . . . . . . . . . . . . .</w:t>
      </w:r>
      <w:r>
        <w:rPr>
          <w:color w:val="231F20"/>
          <w:spacing w:val="-5"/>
        </w:rPr>
        <w:t> </w:t>
      </w:r>
      <w:r>
        <w:rPr>
          <w:color w:val="231F20"/>
        </w:rPr>
        <w:t>. .</w:t>
        <w:tab/>
        <w:tab/>
        <w:tab/>
        <w:t>Fleet life</w:t>
        <w:tab/>
        <w:tab/>
        <w:t>4% Ground property and</w:t>
      </w:r>
      <w:r>
        <w:rPr>
          <w:color w:val="231F20"/>
          <w:spacing w:val="-2"/>
        </w:rPr>
        <w:t> </w:t>
      </w:r>
      <w:r>
        <w:rPr>
          <w:color w:val="231F20"/>
        </w:rPr>
        <w:t>equipment </w:t>
      </w:r>
      <w:r>
        <w:rPr>
          <w:color w:val="231F20"/>
          <w:spacing w:val="51"/>
        </w:rPr>
        <w:t> </w:t>
      </w:r>
      <w:r>
        <w:rPr>
          <w:color w:val="231F20"/>
          <w:spacing w:val="45"/>
        </w:rPr>
        <w:t>......</w:t>
        <w:tab/>
        <w:tab/>
      </w:r>
      <w:r>
        <w:rPr>
          <w:color w:val="231F20"/>
        </w:rPr>
        <w:t>5 to</w:t>
      </w:r>
      <w:r>
        <w:rPr>
          <w:color w:val="231F20"/>
          <w:spacing w:val="-3"/>
        </w:rPr>
        <w:t> </w:t>
      </w:r>
      <w:r>
        <w:rPr>
          <w:color w:val="231F20"/>
        </w:rPr>
        <w:t>30</w:t>
      </w:r>
      <w:r>
        <w:rPr>
          <w:color w:val="231F20"/>
          <w:spacing w:val="-2"/>
        </w:rPr>
        <w:t> </w:t>
      </w:r>
      <w:r>
        <w:rPr>
          <w:color w:val="231F20"/>
        </w:rPr>
        <w:t>years</w:t>
        <w:tab/>
        <w:t>0%-10%</w:t>
      </w:r>
    </w:p>
    <w:p>
      <w:pPr>
        <w:spacing w:after="0" w:line="247" w:lineRule="auto"/>
        <w:sectPr>
          <w:type w:val="continuous"/>
          <w:pgSz w:w="11880" w:h="15480"/>
          <w:pgMar w:top="1200" w:bottom="280" w:left="1260" w:right="1300"/>
        </w:sectPr>
      </w:pPr>
    </w:p>
    <w:p>
      <w:pPr>
        <w:pStyle w:val="BodyText"/>
        <w:spacing w:line="249" w:lineRule="auto" w:before="73"/>
        <w:ind w:left="100" w:right="130" w:firstLine="490"/>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For example, during third quarter 2012, the Company changed the estimated residual values of its entire remaining fleet of owned 737-300 and 737-500 aircraft. Based on current and expected future market conditions related to these aircraft, as well as a significant change in the way the Company expected to utilize the fleet, the Company reduced the residual values of these aircraft. This determination was made based on the continuous assessment of the market for these older aircraft, as many buyers of used aircraft prefer newer, more fuel efficient models, and the increase in the number of airlines retiring these older aircraft, which has increased the supply of older aircraft on the market. As this reduction in residual value is considered a change in estimate, it was accounted for on a prospective basis, and thus the Company has effectively accelerated the recording of depreciation expense over the remainder of the useful lives for each aircraft. The Company does not believe these changes in estimates towards the end of the useful lives for a given fleet type are unusual, especially given the rapid pace of technological advancement, volatile fuel prices, and recent significant transactions involving the Company’s fleet. The 2012 reduction in estimated salvage value resulted in a $34 million increase in depreciation expense during the second half of the year, and increased 2013 expense by approximately $26 million. See Note 3 to the Consolidated Financial Statements for further</w:t>
      </w:r>
      <w:r>
        <w:rPr>
          <w:color w:val="231F20"/>
          <w:spacing w:val="5"/>
        </w:rPr>
        <w:t> </w:t>
      </w:r>
      <w:r>
        <w:rPr>
          <w:color w:val="231F20"/>
        </w:rPr>
        <w:t>information.</w:t>
      </w:r>
    </w:p>
    <w:p>
      <w:pPr>
        <w:pStyle w:val="BodyText"/>
        <w:spacing w:line="249" w:lineRule="auto" w:before="192"/>
        <w:ind w:left="100" w:right="191" w:firstLine="490"/>
      </w:pPr>
      <w:r>
        <w:rPr>
          <w:color w:val="231F20"/>
        </w:rPr>
        <w:t>The Company evaluates its long-lived assets for impairment. Factors that would indicate potential impairment may include, but are not limited to, significant decreases in the market value of the long-lived asset(s), a significant change in the long-lived asset’s physical condition, and operating or cash flow losses associated with the use of the long-lived asset. The Company has continued to operate virtually all of its aircraft, generate positive cash flow, and produce operating profits. Consequently, the Company has not identified any impairment related to its existing aircraft fleet. The Company will continue to monitor its long-lived assets and the airline operating environment.</w:t>
      </w:r>
    </w:p>
    <w:p>
      <w:pPr>
        <w:pStyle w:val="BodyText"/>
        <w:spacing w:line="249" w:lineRule="auto" w:before="192"/>
        <w:ind w:left="100" w:firstLine="490"/>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Heading3"/>
        <w:spacing w:before="192"/>
        <w:ind w:left="300"/>
      </w:pPr>
      <w:r>
        <w:rPr>
          <w:color w:val="231F20"/>
        </w:rPr>
        <w:t>Financial derivative instruments</w:t>
      </w:r>
    </w:p>
    <w:p>
      <w:pPr>
        <w:pStyle w:val="BodyText"/>
        <w:spacing w:before="5"/>
        <w:rPr>
          <w:b/>
          <w:sz w:val="17"/>
        </w:rPr>
      </w:pPr>
    </w:p>
    <w:p>
      <w:pPr>
        <w:pStyle w:val="BodyText"/>
        <w:spacing w:line="249" w:lineRule="auto"/>
        <w:ind w:left="100" w:right="186" w:firstLine="490"/>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pStyle w:val="BodyText"/>
        <w:spacing w:line="249" w:lineRule="auto" w:before="191"/>
        <w:ind w:left="100" w:right="197" w:firstLine="490"/>
      </w:pPr>
      <w:r>
        <w:rPr>
          <w:color w:val="231F20"/>
        </w:rPr>
        <w:t>All derivatives are required to be reflected at fair value and recorded on the Consolidated Balance Sheet. At December 31, 2013, the Company was a party to over 706 separate financial derivative instruments related to its fuel hedging program for the years 2014 through 2017. Changes in the fair values of these instruments can vary dramatically based on changes in the underlying commodity prices, as has been evident in recent years. For example, during 2012, market “spot” prices for West Texas Intermediate crude oil peaked at a high of approximately $110 per barrel and hit a low price of approximately $78 per barrel. During 2013, market spot prices ranged from a high of $111 per barrel to a low of $87 per barrel. Market price changes can be driven by factors such as supply and demand, inventory levels, weather events, refinery capacity, political agendas, the value of the U.S. dollar, geopolitical events, and general economic conditions, among other items. The financial</w:t>
      </w:r>
    </w:p>
    <w:p>
      <w:pPr>
        <w:spacing w:after="0" w:line="249" w:lineRule="auto"/>
        <w:sectPr>
          <w:pgSz w:w="11880" w:h="15480"/>
          <w:pgMar w:header="0" w:footer="1253" w:top="1240" w:bottom="1440" w:left="1280" w:right="1280"/>
        </w:sectPr>
      </w:pPr>
    </w:p>
    <w:p>
      <w:pPr>
        <w:pStyle w:val="BodyText"/>
        <w:spacing w:line="249" w:lineRule="auto" w:before="73"/>
        <w:ind w:left="100" w:right="213"/>
      </w:pPr>
      <w:r>
        <w:rPr>
          <w:color w:val="231F20"/>
        </w:rPr>
        <w:t>derivative instruments utilized by the Company primarily are a combination of collars, purchased call options, call spreads, and fixed price swap agreements. The Company does not purchase or hold any derivative instruments for trading purposes.</w:t>
      </w:r>
    </w:p>
    <w:p>
      <w:pPr>
        <w:pStyle w:val="BodyText"/>
        <w:spacing w:line="249" w:lineRule="auto" w:before="181"/>
        <w:ind w:left="100" w:right="102" w:firstLine="490"/>
      </w:pPr>
      <w:r>
        <w:rPr>
          <w:color w:val="231F20"/>
        </w:rPr>
        <w:t>The Company enters into financial derivative instruments with third party institutions in “over-the-counter”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w:t>
      </w:r>
      <w:r>
        <w:rPr>
          <w:color w:val="231F20"/>
          <w:spacing w:val="5"/>
        </w:rPr>
        <w:t> </w:t>
      </w:r>
      <w:r>
        <w:rPr>
          <w:color w:val="231F20"/>
        </w:rPr>
        <w:t>hedges.</w:t>
      </w:r>
    </w:p>
    <w:p>
      <w:pPr>
        <w:pStyle w:val="BodyText"/>
        <w:spacing w:line="249" w:lineRule="auto" w:before="181"/>
        <w:ind w:left="100" w:right="173" w:firstLine="490"/>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historical periods, because of increased volatility in energy markets, the Company has in fact lost hedge accounting for certain types of commodities. In the third quarter of 2013, because of increased volatility in energy markets, the Company lost hedge accounting for West Texas Intermediate crude oil instruments. At this time, the Company marks all such derivatives to fair value in each quarterly period, with all changes in value reflected as a component of Other (gains) losses, net in the Consolidated Statement of Income. The Company did not lose hedge accounting for an entire commodity during 2012 or 2011. Although the Company’s prospective assessment has been utilized to ensure that the commodities used in most cases still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financial results.</w:t>
      </w:r>
    </w:p>
    <w:p>
      <w:pPr>
        <w:pStyle w:val="BodyText"/>
        <w:spacing w:line="249" w:lineRule="auto" w:before="181"/>
        <w:ind w:left="100" w:right="97" w:firstLine="490"/>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 settle until a future period. Likewise, if a derivative contract ceases to qualify for hedge accounting, the change in the fair value of the derivative instrument is recorded every period to Other (gains) and losses, net in the Consolidated Statement of Income in the period of the change.</w:t>
      </w:r>
    </w:p>
    <w:p>
      <w:pPr>
        <w:pStyle w:val="BodyText"/>
        <w:spacing w:line="249" w:lineRule="auto" w:before="181"/>
        <w:ind w:left="100" w:right="129" w:firstLine="490"/>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w:t>
      </w:r>
    </w:p>
    <w:p>
      <w:pPr>
        <w:spacing w:after="0" w:line="249" w:lineRule="auto"/>
        <w:sectPr>
          <w:pgSz w:w="11880" w:h="15480"/>
          <w:pgMar w:header="0" w:footer="1253" w:top="1240" w:bottom="1440" w:left="1280" w:right="1280"/>
        </w:sectPr>
      </w:pPr>
    </w:p>
    <w:p>
      <w:pPr>
        <w:pStyle w:val="BodyText"/>
        <w:spacing w:line="249" w:lineRule="auto" w:before="73"/>
        <w:ind w:left="100" w:right="138"/>
      </w:pPr>
      <w:r>
        <w:rPr>
          <w:color w:val="231F20"/>
        </w:rPr>
        <w:t>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w:t>
      </w:r>
      <w:r>
        <w:rPr>
          <w:color w:val="231F20"/>
          <w:spacing w:val="3"/>
        </w:rPr>
        <w:t> </w:t>
      </w:r>
      <w:r>
        <w:rPr>
          <w:color w:val="231F20"/>
        </w:rPr>
        <w:t>volumes.</w:t>
      </w:r>
    </w:p>
    <w:p>
      <w:pPr>
        <w:pStyle w:val="BodyText"/>
        <w:spacing w:line="249" w:lineRule="auto" w:before="172"/>
        <w:ind w:left="100" w:right="146" w:firstLine="490"/>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2013, 2012, and 2011, and has not changed for either assessing or measuring hedge ineffectiveness during these periods.</w:t>
      </w:r>
    </w:p>
    <w:p>
      <w:pPr>
        <w:pStyle w:val="BodyText"/>
        <w:spacing w:line="249" w:lineRule="auto" w:before="172"/>
        <w:ind w:left="100" w:firstLine="490"/>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Heading4"/>
        <w:spacing w:before="172"/>
        <w:ind w:left="300"/>
        <w:rPr>
          <w:i/>
        </w:rPr>
      </w:pPr>
      <w:r>
        <w:rPr>
          <w:i/>
          <w:color w:val="231F20"/>
        </w:rPr>
        <w:t>Fair value measurements</w:t>
      </w:r>
    </w:p>
    <w:p>
      <w:pPr>
        <w:pStyle w:val="BodyText"/>
        <w:spacing w:line="249" w:lineRule="auto" w:before="181"/>
        <w:ind w:left="100" w:right="496" w:firstLine="490"/>
      </w:pPr>
      <w:r>
        <w:rPr>
          <w:color w:val="231F20"/>
        </w:rPr>
        <w:t>The Company utilizes unobservable (Level 3) inputs in determining the fair value of certain assets and liabilities. At December 31, 2013, these included auction rate security investments, valued at $39 million, a portion of its fuel derivative option contracts, which were a net asset of $172 million, and $5 million in other investments.</w:t>
      </w:r>
    </w:p>
    <w:p>
      <w:pPr>
        <w:pStyle w:val="BodyText"/>
        <w:spacing w:line="249" w:lineRule="auto" w:before="172"/>
        <w:ind w:left="100" w:firstLine="490"/>
      </w:pPr>
      <w:r>
        <w:rPr>
          <w:color w:val="231F20"/>
        </w:rPr>
        <w:t>All of the Company’s auction rate security instruments are reflected at estimated fair value in the Consolidated Balance Sheet. The Company has determined the estimated fair values of these securities utilizing a discounted cash flow analysis or other type of valuation model, which qualify the instruments as Level 3. The Company’s analyses consider,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the London Interbank Offered Rate (“LIBOR”) or the issuer’s net loan rate, and a counterparty credit spread.</w:t>
      </w:r>
    </w:p>
    <w:p>
      <w:pPr>
        <w:pStyle w:val="BodyText"/>
        <w:spacing w:line="249" w:lineRule="auto" w:before="172"/>
        <w:ind w:left="100" w:right="213" w:firstLine="490"/>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line="249" w:lineRule="auto" w:before="172"/>
        <w:ind w:left="100" w:right="162" w:firstLine="490"/>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w:t>
      </w:r>
    </w:p>
    <w:p>
      <w:pPr>
        <w:spacing w:after="0" w:line="249" w:lineRule="auto"/>
        <w:sectPr>
          <w:pgSz w:w="11880" w:h="15480"/>
          <w:pgMar w:header="0" w:footer="1253" w:top="1240" w:bottom="1440" w:left="1280" w:right="1280"/>
        </w:sectPr>
      </w:pPr>
    </w:p>
    <w:p>
      <w:pPr>
        <w:pStyle w:val="BodyText"/>
        <w:spacing w:line="249" w:lineRule="auto" w:before="73"/>
        <w:ind w:left="120" w:right="99"/>
      </w:pPr>
      <w:r>
        <w:rPr>
          <w:color w:val="231F20"/>
        </w:rPr>
        <w:t>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3"/>
        </w:rPr>
        <w:t> </w:t>
      </w:r>
      <w:r>
        <w:rPr>
          <w:color w:val="231F20"/>
        </w:rPr>
        <w:t>values.</w:t>
      </w:r>
    </w:p>
    <w:p>
      <w:pPr>
        <w:pStyle w:val="Heading4"/>
        <w:spacing w:before="181"/>
        <w:ind w:left="320"/>
        <w:rPr>
          <w:i/>
        </w:rPr>
      </w:pPr>
      <w:r>
        <w:rPr>
          <w:i/>
          <w:color w:val="231F20"/>
        </w:rPr>
        <w:t>Frequent flyer accounting</w:t>
      </w:r>
    </w:p>
    <w:p>
      <w:pPr>
        <w:pStyle w:val="BodyText"/>
        <w:spacing w:line="249" w:lineRule="auto" w:before="190"/>
        <w:ind w:left="120" w:firstLine="490"/>
      </w:pPr>
      <w:r>
        <w:rPr>
          <w:color w:val="231F20"/>
        </w:rPr>
        <w:t>Southwest and AirTran utilize estimates in the recognition of liabilities associated with their respective frequent flyer programs. These estimates primarily include the liability associated with frequent flyer member account balances that are expected to be redeemed for travel or other products at a future date, and frequent flyer awards or certificates that have been issued, are outstanding, and are expected to be redeemed at a future date.</w:t>
      </w:r>
    </w:p>
    <w:p>
      <w:pPr>
        <w:pStyle w:val="BodyText"/>
        <w:spacing w:line="249" w:lineRule="auto" w:before="1"/>
        <w:ind w:left="120"/>
      </w:pPr>
      <w:r>
        <w:rPr>
          <w:color w:val="231F20"/>
        </w:rPr>
        <w:t>Frequent flyer account balances include points/credits earned through flights taken, points sold to Customers, or points/credits earned through business partners participating in the frequent flyer programs.</w:t>
      </w:r>
    </w:p>
    <w:p>
      <w:pPr>
        <w:pStyle w:val="BodyText"/>
        <w:spacing w:line="249" w:lineRule="auto" w:before="181"/>
        <w:ind w:left="119" w:right="248" w:firstLine="490"/>
      </w:pPr>
      <w:r>
        <w:rPr>
          <w:color w:val="231F20"/>
        </w:rPr>
        <w:t>In March 2011, Southwest launched its current Rapid Rewards frequent flyer program, under which members earn points for every dollar spent.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w:t>
      </w:r>
    </w:p>
    <w:p>
      <w:pPr>
        <w:pStyle w:val="BodyText"/>
        <w:spacing w:line="249" w:lineRule="auto" w:before="1"/>
        <w:ind w:left="119" w:right="108"/>
      </w:pPr>
      <w:r>
        <w:rPr>
          <w:color w:val="231F20"/>
        </w:rPr>
        <w:t>(i) members are able to redeem their points for every available seat, every day, on every flight, with no blackout dates; and (ii) points do not expire so long as the Rapid Rewards Member has points-earning activity during a 24- month time period. In addition, Southwest co-branded Chase Visa credit card holders are able to redeem their points for items other than travel on Southwest Airlines, such as international flights, cruises, hotel stays, rental cars, gift cards, event tickets, and more. In addition to earning points for revenue flights and qualifying purchases with Rapid Rewards Partners, Rapid Rewards Members also have the ability to purchase points. As part of Southwest’s transition to the current program, Southwest did not convert members’ account balances under the previous program, and allowed members to continue to redeem those balances for award travel under the prior program rules for a period of time. As of December 31, 2013, no awards or credits issued under the previous program remained.</w:t>
      </w:r>
    </w:p>
    <w:p>
      <w:pPr>
        <w:pStyle w:val="BodyText"/>
        <w:spacing w:line="249" w:lineRule="auto" w:before="181"/>
        <w:ind w:left="119" w:right="111" w:firstLine="490"/>
      </w:pPr>
      <w:r>
        <w:rPr>
          <w:color w:val="231F20"/>
        </w:rPr>
        <w:t>AirTran’s A+ Rewards frequent flyer program currently offers a number of ways to earn free travel, including bonus earnings for Business Class travel. A+ Rewards members currently can earn a credit for each one-way trip flown or 1.5 credits for one-way Business Class travel. A+ Rewards credits currently can also be earned for purchases made with an AirTran Airways A+ Visa card or an AirTran A+ Rewards Chase Visa credit card, qualifying car rentals from Hertz, for purchases from other A+ Rewards partners, and in conjunction with marketing promotions that AirTran may run from time to time. A+ Rewards members currently may purchase  A+ Rewards credits, extend the expiration of A+ credits, or give A+ credits to another member to help earn a free flight</w:t>
      </w:r>
      <w:r>
        <w:rPr>
          <w:color w:val="231F20"/>
          <w:spacing w:val="1"/>
        </w:rPr>
        <w:t> </w:t>
      </w:r>
      <w:r>
        <w:rPr>
          <w:color w:val="231F20"/>
        </w:rPr>
        <w:t>faster.</w:t>
      </w:r>
    </w:p>
    <w:p>
      <w:pPr>
        <w:pStyle w:val="BodyText"/>
        <w:spacing w:line="249" w:lineRule="auto" w:before="181"/>
        <w:ind w:left="119" w:right="119" w:firstLine="490"/>
      </w:pPr>
      <w:r>
        <w:rPr>
          <w:color w:val="231F20"/>
        </w:rPr>
        <w:t>Both Southwest and AirTran utilize the incremental cost method of accounting for points and/or credits earned through flights taken in their respective frequent flyer programs. A liability is recorded for the estimated incremental cost of providing free travel as points and/or credits are being earned. The liability recorded represents the total number of points and/or credits expected to be redeemed by members, regardless of whether the members may have enough to qualify for a full travel award. The incremental cost liability is primarily composed of direct Passenger costs such as fuel, food, and other operational costs, but does not include any contribution to fixed overhead costs or profit. At December 31, 2013, Southwest and AirTran’s consolidated incremental cost liability was approximately $79 million.</w:t>
      </w:r>
    </w:p>
    <w:p>
      <w:pPr>
        <w:spacing w:after="0" w:line="249" w:lineRule="auto"/>
        <w:sectPr>
          <w:pgSz w:w="11880" w:h="15480"/>
          <w:pgMar w:header="0" w:footer="1253" w:top="1240" w:bottom="1440" w:left="1260" w:right="1280"/>
        </w:sectPr>
      </w:pPr>
    </w:p>
    <w:p>
      <w:pPr>
        <w:pStyle w:val="BodyText"/>
        <w:spacing w:line="249" w:lineRule="auto" w:before="73"/>
        <w:ind w:left="100" w:right="152" w:firstLine="490"/>
      </w:pPr>
      <w:r>
        <w:rPr>
          <w:color w:val="231F20"/>
        </w:rPr>
        <w:t>Southwest and AirTran also sell frequent flyer points and/or credits and related services to business partners participating in the respective frequent flyer programs. The majority of the points and/or credits sold to business partners are through the Southwest co-branded Chase Visa credit card or the AirTran A+ cards. Funds received from the sale of points and/or credits associated with these agreements are accounted for under the residual method. Under the residual method, as of both December 31, 2012, and 2013, Southwest estimated that 100 percent of the amount received from frequent flyer points sold associated with Southwest’s co-branded Chase Visa credit card relates to free travel. This is due to the significant increase in Southwest’s average fare in recent years, while the average value received from business partners for the purchase of points has remained relatively flat. Therefore, for accounting purposes, the Company currently assigns no value associated with items such as business partner access to Southwest’s frequent flyer program population for marketing/solicitation purposes, use of Southwest’s logo on the co-branded Chase Visa credit cards, and other trademarks, designs, images, etc., of Southwest for use in marketing materials. During 2011, the apportioned amount estimated to be associated with free travel as opposed to marketing services ranged from 86 percent to 92 percent. The estimated amounts associated with free travel are deferred and recognized as Passenger revenue when the ultimate free travel awards are flown. For all points sold to business partners that are expected to expire unused, the Company recognizes spoilage in accordance with the redemption method. For any portion of funds received that is deemed not to be associated with future travel, the Company has determined that the period revenue is recognized is the period in which it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Southwest’s frequent flyer members. Any estimated amount that is not associated with free travel would be recognized in Other revenue in the period earned. For AirTran, 100 percent of amounts received for credits sold is also estimated to relate to free travel and is deferred until the associated travel award is flown.</w:t>
      </w:r>
    </w:p>
    <w:p>
      <w:pPr>
        <w:pStyle w:val="BodyText"/>
        <w:spacing w:line="249" w:lineRule="auto" w:before="136"/>
        <w:ind w:left="100" w:right="108" w:firstLine="490"/>
      </w:pPr>
      <w:r>
        <w:rPr>
          <w:color w:val="231F20"/>
        </w:rPr>
        <w:t>Under its current program, Southwest continues to estimate the portion of frequent flyer points that will not be redeemed. These estimates are based on experience in its previous program and expectations of customer behavior given the rules of the current program. Thus far, the Company has not had any material adjustments as a result of changes in its spoilage estimates. However, since the current program is still relatively new, these estimates may result in significant future adjustments based on actual experience.</w:t>
      </w:r>
    </w:p>
    <w:p>
      <w:pPr>
        <w:pStyle w:val="Heading4"/>
        <w:spacing w:before="136"/>
        <w:ind w:left="300"/>
        <w:rPr>
          <w:i/>
        </w:rPr>
      </w:pPr>
      <w:r>
        <w:rPr>
          <w:i/>
          <w:color w:val="231F20"/>
        </w:rPr>
        <w:t>Goodwill and other intangible assets</w:t>
      </w:r>
    </w:p>
    <w:p>
      <w:pPr>
        <w:pStyle w:val="BodyText"/>
        <w:spacing w:line="249" w:lineRule="auto" w:before="144"/>
        <w:ind w:left="100" w:right="166" w:firstLine="490"/>
      </w:pPr>
      <w:r>
        <w:rPr>
          <w:color w:val="231F20"/>
        </w:rPr>
        <w:t>As a result of the Company’s acquisition of AirTran on May 2, 2011, the Company has reflected Goodwill on its Consolidated Balance Sheet in the amount of $970 million at December 31, 2013, representing the excess of the fair value of AirTran’s assets and liabilities over its book value on the acquisition date. In addition, the Company has recorded other intangible assets totaling approximately $166 million at December 31, 2013, primarily consisting of leasehold rights to airport gates, take-off and landing slots at certain domestic slot- controlled airports, and certain intangible assets recognized as part of the valuation of AirTran. All of the Company’s intangible assets, other than goodwill and owned takeoff and landing slots at domestic airports, are finite-lived and are being amortized over their estimated economic useful lives. Goodwill is not amortized, but will continue to be tested for impairment at least annually, or more frequently if events or circumstances indicate that an impairment may exist. The Company has selected October 1st as its annual testing date for Goodwill impairment.</w:t>
      </w:r>
    </w:p>
    <w:p>
      <w:pPr>
        <w:pStyle w:val="BodyText"/>
        <w:spacing w:line="249" w:lineRule="auto" w:before="135"/>
        <w:ind w:left="100" w:right="147" w:firstLine="490"/>
      </w:pPr>
      <w:r>
        <w:rPr>
          <w:color w:val="231F20"/>
        </w:rPr>
        <w:t>The Company applies a fair value based methodology in testing the carrying value of Goodwill for its one reporting unit. Key assumptions and/or estimates made in the Company’s 2013 Goodwill impairment test included the following: (i) a projection of revenues, expenses, and cash flows; (ii) an estimated weighted average cost of capital of 8.0 percent; and (iii) a tax rate of 37.6 percent. The Company believes these assumptions are consistent with those a hypothetical market participant would use given circumstances that were present at the time the estimates were made. However, actual results and amounts may be significantly different from the Company’s estimates.</w:t>
      </w:r>
    </w:p>
    <w:p>
      <w:pPr>
        <w:pStyle w:val="BodyText"/>
        <w:spacing w:line="249" w:lineRule="auto" w:before="180"/>
        <w:ind w:left="100" w:right="189" w:firstLine="490"/>
      </w:pPr>
      <w:r>
        <w:rPr>
          <w:color w:val="231F20"/>
        </w:rPr>
        <w:t>The Company made the determination that all of its owned domestic slots should be assigned an indefinite life and would thus not be subject to further amortization, including those that are owned but leased to other</w:t>
      </w:r>
    </w:p>
    <w:p>
      <w:pPr>
        <w:spacing w:after="0" w:line="249" w:lineRule="auto"/>
        <w:sectPr>
          <w:footerReference w:type="default" r:id="rId28"/>
          <w:pgSz w:w="11880" w:h="15480"/>
          <w:pgMar w:footer="1253" w:header="0" w:top="1240" w:bottom="1440" w:left="1280" w:right="1280"/>
        </w:sectPr>
      </w:pPr>
    </w:p>
    <w:p>
      <w:pPr>
        <w:pStyle w:val="BodyText"/>
        <w:spacing w:line="249" w:lineRule="auto" w:before="73"/>
        <w:ind w:left="100" w:right="157"/>
      </w:pPr>
      <w:r>
        <w:rPr>
          <w:color w:val="231F20"/>
        </w:rPr>
        <w:t>carriers. Among other factors, this was due to the Company’s reassessment of the current size and importance of its operations at New York’s LaGuardia Airport and Washington’s Ronald Reagan National Airport versus when the Company first began service to these airports in recent years. The impact of this prospective change in accounting estimate had an insignificant impact on amortization expense for 2013.</w:t>
      </w:r>
    </w:p>
    <w:p>
      <w:pPr>
        <w:pStyle w:val="BodyText"/>
        <w:spacing w:before="10"/>
        <w:rPr>
          <w:sz w:val="17"/>
        </w:rPr>
      </w:pPr>
    </w:p>
    <w:p>
      <w:pPr>
        <w:pStyle w:val="BodyText"/>
        <w:spacing w:line="249" w:lineRule="auto"/>
        <w:ind w:left="100" w:right="111" w:firstLine="490"/>
      </w:pPr>
      <w:r>
        <w:rPr>
          <w:color w:val="231F20"/>
        </w:rPr>
        <w:t>Future impairment of Goodwill may result from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 (ii)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w:t>
      </w:r>
      <w:r>
        <w:rPr>
          <w:color w:val="231F20"/>
          <w:spacing w:val="13"/>
        </w:rPr>
        <w:t> </w:t>
      </w:r>
      <w:r>
        <w:rPr>
          <w:color w:val="231F20"/>
        </w:rPr>
        <w:t>regulation.</w:t>
      </w:r>
    </w:p>
    <w:p>
      <w:pPr>
        <w:pStyle w:val="BodyText"/>
        <w:rPr>
          <w:sz w:val="22"/>
        </w:rPr>
      </w:pPr>
    </w:p>
    <w:p>
      <w:pPr>
        <w:pStyle w:val="Heading4"/>
        <w:tabs>
          <w:tab w:pos="1179" w:val="left" w:leader="none"/>
        </w:tabs>
        <w:spacing w:before="158"/>
        <w:ind w:left="100"/>
        <w:rPr>
          <w:i/>
        </w:rPr>
      </w:pPr>
      <w:bookmarkStart w:name="_TOC_250009" w:id="22"/>
      <w:bookmarkStart w:name="Item 7A. Quantitative and Qualitative Di" w:id="23"/>
      <w:r>
        <w:rPr>
          <w:b w:val="0"/>
          <w:i w:val="0"/>
        </w:rPr>
      </w:r>
      <w:r>
        <w:rPr>
          <w:i w:val="0"/>
          <w:color w:val="231F20"/>
        </w:rPr>
        <w:t>Item</w:t>
      </w:r>
      <w:r>
        <w:rPr>
          <w:i w:val="0"/>
          <w:color w:val="231F20"/>
          <w:spacing w:val="1"/>
        </w:rPr>
        <w:t> </w:t>
      </w:r>
      <w:r>
        <w:rPr>
          <w:i w:val="0"/>
          <w:color w:val="231F20"/>
        </w:rPr>
        <w:t>7A.</w:t>
        <w:tab/>
      </w:r>
      <w:r>
        <w:rPr>
          <w:i/>
          <w:color w:val="231F20"/>
        </w:rPr>
        <w:t>Quantitative and Qualitative Disclosures About Market</w:t>
      </w:r>
      <w:r>
        <w:rPr>
          <w:i/>
          <w:color w:val="231F20"/>
          <w:spacing w:val="2"/>
        </w:rPr>
        <w:t> </w:t>
      </w:r>
      <w:bookmarkEnd w:id="22"/>
      <w:r>
        <w:rPr>
          <w:i/>
          <w:color w:val="231F20"/>
        </w:rPr>
        <w:t>Risk</w:t>
      </w:r>
    </w:p>
    <w:p>
      <w:pPr>
        <w:pStyle w:val="BodyText"/>
        <w:spacing w:before="7"/>
        <w:rPr>
          <w:b/>
          <w:i/>
          <w:sz w:val="18"/>
        </w:rPr>
      </w:pPr>
    </w:p>
    <w:p>
      <w:pPr>
        <w:pStyle w:val="BodyText"/>
        <w:spacing w:line="249" w:lineRule="auto"/>
        <w:ind w:left="100" w:right="129" w:firstLine="490"/>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2013, Southwest and AirTran operated a total of 164 aircraft in service under operating and capital leases.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Commitments related to leases are disclosed in Note 8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10"/>
        <w:rPr>
          <w:sz w:val="17"/>
        </w:rPr>
      </w:pPr>
    </w:p>
    <w:p>
      <w:pPr>
        <w:pStyle w:val="Heading4"/>
        <w:ind w:left="300"/>
        <w:rPr>
          <w:i/>
        </w:rPr>
      </w:pPr>
      <w:r>
        <w:rPr>
          <w:i/>
          <w:color w:val="231F20"/>
        </w:rPr>
        <w:t>Hedging</w:t>
      </w:r>
    </w:p>
    <w:p>
      <w:pPr>
        <w:pStyle w:val="BodyText"/>
        <w:spacing w:before="7"/>
        <w:rPr>
          <w:b/>
          <w:i/>
          <w:sz w:val="18"/>
        </w:rPr>
      </w:pPr>
    </w:p>
    <w:p>
      <w:pPr>
        <w:pStyle w:val="BodyText"/>
        <w:spacing w:line="249" w:lineRule="auto"/>
        <w:ind w:left="100" w:right="120" w:firstLine="490"/>
      </w:pPr>
      <w:r>
        <w:rPr>
          <w:color w:val="231F20"/>
        </w:rPr>
        <w:t>The Company purchases jet fuel at prevailing market prices, but seeks to manage market risk through execution of a documented hedging strategy. The Company utilizes financial derivative instruments, on both a short term and a long term basis, as a form of insurance against the potential for significant increases in fuel prices. The Company believes there is significant risk in not hedging against the possibility of such fuel price increases. The Company expects to consume approximately 1.8 billion gallons of jet fuel in 2014. Based on this anticipated usage, a change in jet fuel prices of just one cent per gallon would impact the Company’s Fuel and oil expense by approximately $18 million for 2014, excluding any impact associated with fuel derivative instruments</w:t>
      </w:r>
      <w:r>
        <w:rPr>
          <w:color w:val="231F20"/>
          <w:spacing w:val="2"/>
        </w:rPr>
        <w:t> </w:t>
      </w:r>
      <w:r>
        <w:rPr>
          <w:color w:val="231F20"/>
        </w:rPr>
        <w:t>held.</w:t>
      </w:r>
    </w:p>
    <w:p>
      <w:pPr>
        <w:pStyle w:val="BodyText"/>
        <w:spacing w:before="10"/>
        <w:rPr>
          <w:sz w:val="17"/>
        </w:rPr>
      </w:pPr>
    </w:p>
    <w:p>
      <w:pPr>
        <w:pStyle w:val="BodyText"/>
        <w:spacing w:line="249" w:lineRule="auto"/>
        <w:ind w:left="100" w:right="107" w:firstLine="490"/>
      </w:pPr>
      <w:r>
        <w:rPr>
          <w:color w:val="231F20"/>
        </w:rPr>
        <w:t>As of December 31, 2013, the Company held a net position of fuel derivative instruments that represented a hedge for a portion of its anticipated jet fuel purchases for each year from 2014 through 2017.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different types of hedging strategies. The gross fair value of outstanding financial derivative instruments related to the Company’s jet fuel market price risk at December 31, 2013, was a net asset of $180 million. In addition, no cash collateral deposits were provided by or held by the Company in connection with these instruments based on their fair value as of December 31, 2013.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2013 (for all years from 2014 through 2017) prices would correspondingly change the fair value of the commodity derivative instruments in place by approximately $500 million. Fluctuations in the related commodity derivative instrument cash flows may change by more or less than this amount based</w:t>
      </w:r>
      <w:r>
        <w:rPr>
          <w:color w:val="231F20"/>
          <w:spacing w:val="10"/>
        </w:rPr>
        <w:t> </w:t>
      </w:r>
      <w:r>
        <w:rPr>
          <w:color w:val="231F20"/>
        </w:rPr>
        <w:t>upon</w:t>
      </w:r>
    </w:p>
    <w:p>
      <w:pPr>
        <w:spacing w:after="0" w:line="249" w:lineRule="auto"/>
        <w:sectPr>
          <w:footerReference w:type="default" r:id="rId29"/>
          <w:pgSz w:w="11880" w:h="15480"/>
          <w:pgMar w:footer="1253" w:header="0" w:top="1240" w:bottom="1440" w:left="1280" w:right="1280"/>
          <w:pgNumType w:start="71"/>
        </w:sectPr>
      </w:pPr>
    </w:p>
    <w:p>
      <w:pPr>
        <w:pStyle w:val="BodyText"/>
        <w:spacing w:line="249" w:lineRule="auto" w:before="73"/>
        <w:ind w:left="100" w:right="290"/>
      </w:pPr>
      <w:r>
        <w:rPr>
          <w:color w:val="231F20"/>
        </w:rPr>
        <w:t>further fluctuations in futures prices as well as related income tax effects. In addition, this does not consider changes in cash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2013 levels, except underlying futures prices.</w:t>
      </w:r>
    </w:p>
    <w:p>
      <w:pPr>
        <w:pStyle w:val="BodyText"/>
        <w:spacing w:line="249" w:lineRule="auto" w:before="181"/>
        <w:ind w:left="100" w:right="240" w:firstLine="490"/>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w:t>
      </w:r>
    </w:p>
    <w:p>
      <w:pPr>
        <w:pStyle w:val="BodyText"/>
        <w:spacing w:before="1"/>
        <w:ind w:left="100"/>
      </w:pPr>
      <w:r>
        <w:rPr>
          <w:color w:val="231F20"/>
        </w:rPr>
        <w:t>December 31, 2013, the Company had eight counterparties in which the derivatives held were a net asset, totaling</w:t>
      </w:r>
    </w:p>
    <w:p>
      <w:pPr>
        <w:pStyle w:val="BodyText"/>
        <w:spacing w:line="249" w:lineRule="auto" w:before="9"/>
        <w:ind w:left="100" w:right="101"/>
      </w:pPr>
      <w:r>
        <w:rPr>
          <w:color w:val="231F20"/>
        </w:rPr>
        <w:t>$187 million.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2013,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lines of credit, and/or pledged aircraft are required to be posted whenever the net fair value of derivatives associated with those counterparties exceeds specific thresholds — cash is either posted by the counterparty if the value of derivatives is an asset to the Company, or cash, lines or credit, and/or aircraft could be posted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2013, at which such postings are</w:t>
      </w:r>
      <w:r>
        <w:rPr>
          <w:color w:val="231F20"/>
          <w:spacing w:val="1"/>
        </w:rPr>
        <w:t> </w:t>
      </w:r>
      <w:r>
        <w:rPr>
          <w:color w:val="231F20"/>
        </w:rPr>
        <w:t>triggered.</w:t>
      </w:r>
    </w:p>
    <w:p>
      <w:pPr>
        <w:pStyle w:val="BodyText"/>
        <w:spacing w:line="249" w:lineRule="auto" w:before="180"/>
        <w:ind w:left="100" w:right="166" w:firstLine="490"/>
      </w:pPr>
      <w:r>
        <w:rPr>
          <w:color w:val="231F20"/>
        </w:rPr>
        <w:t>At December 31, 2013, no cash deposits, letters of credit, and/or aircraft collateral were provided by or held by the Company based on its outstanding fuel derivative instrument portfolio. 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25 percent from market prices as of December 31, 2013, given the Company’s fuel derivative portfolio, its aircraft collateral facilities, and its investment grade credit rating, it would likely provide an additional $395 million in cash collateral, post $82 million in aircraft collateral, and post $110 million in letters of credit against these positions with its current counterparties. However, the Company would expect to also benefit from lower market prices paid for fuel used in its operations, and also has the ability to manage or reduce its derivative positions by entering into offsetting positions as one example.</w:t>
      </w:r>
    </w:p>
    <w:p>
      <w:pPr>
        <w:pStyle w:val="BodyText"/>
        <w:spacing w:line="249" w:lineRule="auto" w:before="180"/>
        <w:ind w:left="100" w:right="128" w:firstLine="490"/>
      </w:pPr>
      <w:r>
        <w:rPr>
          <w:color w:val="231F20"/>
        </w:rPr>
        <w:t>The Company is also subject to the risk that the fuel derivatives it uses to hedge against fuel price volatility do not provide adequate protection. A portion of the fuel derivatives in the Company’s hedge portfolio are based on the market price of West Texas intermediate crude oil (“WTI”). The Company can no longer demonstrate that derivatives based on WTI crude oil prices will result in effective hedges on a prospective basis. As such, the change in fair value of all of the Company’s derivatives based in WTI are recorded directly to earnings. In recent years, jet fuel prices have been more closely correlated with changes in the price of Brent crude oil (“Brent”).</w:t>
      </w:r>
    </w:p>
    <w:p>
      <w:pPr>
        <w:pStyle w:val="BodyText"/>
        <w:spacing w:line="249" w:lineRule="auto"/>
        <w:ind w:left="100" w:right="108"/>
      </w:pPr>
      <w:r>
        <w:rPr>
          <w:color w:val="231F20"/>
        </w:rPr>
        <w:t>The Company has attempted to mitigate some of this risk by entering into more fuel hedges based on Brent crude. Although the Company has some fuel derivatives based on the price of Brent, to the extent the Company holds WTI-based derivatives, changes in the fair value of these positions will continue to create income  statement volatility and may not provide complete protection against jet fuel price volatility. In addition, to add further protection, the Company may periodically enter into jet fuel derivatives for short term timeframes. Jet  fuel is not widely traded on an organized futures exchange and, therefore, there are limited opportunities to hedge directly in jet fuel for time horizons longer than approximately six to twelve months into the</w:t>
      </w:r>
      <w:r>
        <w:rPr>
          <w:color w:val="231F20"/>
          <w:spacing w:val="11"/>
        </w:rPr>
        <w:t> </w:t>
      </w:r>
      <w:r>
        <w:rPr>
          <w:color w:val="231F20"/>
        </w:rPr>
        <w:t>future.</w:t>
      </w:r>
    </w:p>
    <w:p>
      <w:pPr>
        <w:spacing w:after="0" w:line="249" w:lineRule="auto"/>
        <w:sectPr>
          <w:pgSz w:w="11880" w:h="15480"/>
          <w:pgMar w:header="0" w:footer="1253" w:top="1240" w:bottom="1440" w:left="1280" w:right="1280"/>
        </w:sectPr>
      </w:pPr>
    </w:p>
    <w:p>
      <w:pPr>
        <w:pStyle w:val="BodyText"/>
        <w:spacing w:line="249" w:lineRule="auto" w:before="73"/>
        <w:ind w:left="100" w:right="274" w:firstLine="490"/>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2013, $31 million had been provided to one counterparty associated with interest rate derivatives based on the Company’s outstanding net liability derivative position with that counterparty. In addition, in connection with interest rate swaps entered into by AirTran, a total of $1 million in cash collateral had been provided to one counterparty at December 31, 2013, as a result of a net liability derivative position with that counterparty. The outstanding interest rate net derivative positions with all other counterparties at December 31, 2013, were assets to the Company.</w:t>
      </w:r>
    </w:p>
    <w:p>
      <w:pPr>
        <w:pStyle w:val="BodyText"/>
        <w:spacing w:line="249" w:lineRule="auto" w:before="181"/>
        <w:ind w:left="100" w:right="150" w:firstLine="490"/>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w:t>
      </w:r>
      <w:r>
        <w:rPr>
          <w:color w:val="231F20"/>
          <w:spacing w:val="15"/>
        </w:rPr>
        <w:t> </w:t>
      </w:r>
      <w:r>
        <w:rPr>
          <w:color w:val="231F20"/>
        </w:rPr>
        <w:t>duties;</w:t>
      </w:r>
    </w:p>
    <w:p>
      <w:pPr>
        <w:pStyle w:val="BodyText"/>
        <w:spacing w:line="249" w:lineRule="auto" w:before="1"/>
        <w:ind w:left="100" w:right="129"/>
      </w:pPr>
      <w:r>
        <w:rPr>
          <w:color w:val="231F20"/>
        </w:rPr>
        <w:t>(iv)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 program.</w:t>
      </w:r>
    </w:p>
    <w:p>
      <w:pPr>
        <w:pStyle w:val="Heading4"/>
        <w:spacing w:before="181"/>
        <w:ind w:left="300"/>
        <w:rPr>
          <w:i/>
        </w:rPr>
      </w:pPr>
      <w:r>
        <w:rPr>
          <w:i/>
          <w:color w:val="231F20"/>
        </w:rPr>
        <w:t>Financial market risk</w:t>
      </w:r>
    </w:p>
    <w:p>
      <w:pPr>
        <w:pStyle w:val="BodyText"/>
        <w:spacing w:line="249" w:lineRule="auto" w:before="190"/>
        <w:ind w:left="100" w:right="96" w:firstLine="490"/>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“Baa3” credit rating with Moody’s as of December 31, 2013,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Notes 6 and 7 to the Consolidated Financial Statements for more information on the material terms of the Company’s short-term and long-term debt.</w:t>
      </w:r>
    </w:p>
    <w:p>
      <w:pPr>
        <w:spacing w:after="0" w:line="249" w:lineRule="auto"/>
        <w:sectPr>
          <w:pgSz w:w="11880" w:h="15480"/>
          <w:pgMar w:header="0" w:footer="1253" w:top="1240" w:bottom="1440" w:left="1280" w:right="1280"/>
        </w:sectPr>
      </w:pPr>
    </w:p>
    <w:p>
      <w:pPr>
        <w:pStyle w:val="BodyText"/>
        <w:spacing w:line="249" w:lineRule="auto" w:before="73"/>
        <w:ind w:left="100" w:right="123" w:firstLine="490"/>
      </w:pPr>
      <w:r>
        <w:rPr>
          <w:color w:val="231F20"/>
        </w:rPr>
        <w:t>As of December 31, 2013, excluding the notes or debentures that have been converted to a floating rate, the Company’s fixed-rate senior unsecured notes outstanding included its $350 million 5.25% senior unsecured notes due 2014, its $300 million 5.125% senior unsecured notes due 2017, and its $100 million 7.375% senior unsecured notes due 2027. Each of these notes had previously been converted to floating rates, but in 2011 and 2012 the Company terminated the fixed-to-floating interest rate swap agreements related to them. See Note 10 to the Consolidated Financial Statements for further information.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Company believes the fixed interest rates associated with each of these notes are comparable to average rates prevailing for similar debt instruments over the last ten years. The following table displays the characteristics of the Company’s secured fixed rate debt as of December 31,</w:t>
      </w:r>
      <w:r>
        <w:rPr>
          <w:color w:val="231F20"/>
          <w:spacing w:val="4"/>
        </w:rPr>
        <w:t> </w:t>
      </w:r>
      <w:r>
        <w:rPr>
          <w:color w:val="231F20"/>
        </w:rPr>
        <w:t>2013:</w:t>
      </w:r>
    </w:p>
    <w:p>
      <w:pPr>
        <w:spacing w:before="179"/>
        <w:ind w:left="2555" w:right="0" w:firstLine="0"/>
        <w:jc w:val="left"/>
        <w:rPr>
          <w:b/>
          <w:sz w:val="18"/>
        </w:rPr>
      </w:pPr>
      <w:r>
        <w:rPr>
          <w:b/>
          <w:color w:val="231F20"/>
          <w:sz w:val="18"/>
        </w:rPr>
        <w:t>Principal</w:t>
      </w:r>
    </w:p>
    <w:p>
      <w:pPr>
        <w:spacing w:after="0"/>
        <w:jc w:val="left"/>
        <w:rPr>
          <w:sz w:val="18"/>
        </w:rPr>
        <w:sectPr>
          <w:pgSz w:w="11880" w:h="15480"/>
          <w:pgMar w:header="0" w:footer="1253" w:top="1240" w:bottom="1440" w:left="1280" w:right="1260"/>
        </w:sectPr>
      </w:pPr>
    </w:p>
    <w:p>
      <w:pPr>
        <w:spacing w:line="254" w:lineRule="auto" w:before="12"/>
        <w:ind w:left="2447" w:right="-20" w:firstLine="167"/>
        <w:jc w:val="left"/>
        <w:rPr>
          <w:b/>
          <w:sz w:val="18"/>
        </w:rPr>
      </w:pPr>
      <w:r>
        <w:rPr>
          <w:b/>
          <w:color w:val="231F20"/>
          <w:sz w:val="18"/>
        </w:rPr>
        <w:t>amount (in millions)</w:t>
      </w:r>
    </w:p>
    <w:p>
      <w:pPr>
        <w:spacing w:line="254" w:lineRule="auto" w:before="12"/>
        <w:ind w:left="524" w:right="-19" w:firstLine="28"/>
        <w:jc w:val="left"/>
        <w:rPr>
          <w:b/>
          <w:sz w:val="18"/>
        </w:rPr>
      </w:pPr>
      <w:r>
        <w:rPr/>
        <w:br w:type="column"/>
      </w:r>
      <w:r>
        <w:rPr>
          <w:b/>
          <w:color w:val="231F20"/>
          <w:sz w:val="18"/>
        </w:rPr>
        <w:t>Effective fixed rate</w:t>
      </w:r>
    </w:p>
    <w:p>
      <w:pPr>
        <w:spacing w:before="12"/>
        <w:ind w:left="665" w:right="0" w:firstLine="0"/>
        <w:jc w:val="left"/>
        <w:rPr>
          <w:b/>
          <w:sz w:val="18"/>
        </w:rPr>
      </w:pPr>
      <w:r>
        <w:rPr/>
        <w:br w:type="column"/>
      </w:r>
      <w:r>
        <w:rPr>
          <w:b/>
          <w:color w:val="231F20"/>
          <w:sz w:val="18"/>
        </w:rPr>
        <w:t>Final</w:t>
      </w:r>
    </w:p>
    <w:p>
      <w:pPr>
        <w:tabs>
          <w:tab w:pos="2220" w:val="left" w:leader="none"/>
        </w:tabs>
        <w:spacing w:before="12"/>
        <w:ind w:left="525" w:right="0" w:firstLine="0"/>
        <w:jc w:val="left"/>
        <w:rPr>
          <w:b/>
          <w:sz w:val="18"/>
        </w:rPr>
      </w:pPr>
      <w:r>
        <w:rPr>
          <w:b/>
          <w:color w:val="231F20"/>
          <w:sz w:val="18"/>
        </w:rPr>
        <w:t>maturity</w:t>
        <w:tab/>
        <w:t>Underlying</w:t>
      </w:r>
      <w:r>
        <w:rPr>
          <w:b/>
          <w:color w:val="231F20"/>
          <w:spacing w:val="-1"/>
          <w:sz w:val="18"/>
        </w:rPr>
        <w:t> </w:t>
      </w:r>
      <w:r>
        <w:rPr>
          <w:b/>
          <w:color w:val="231F20"/>
          <w:sz w:val="18"/>
        </w:rPr>
        <w:t>collateral</w:t>
      </w:r>
    </w:p>
    <w:p>
      <w:pPr>
        <w:spacing w:after="0"/>
        <w:jc w:val="left"/>
        <w:rPr>
          <w:sz w:val="18"/>
        </w:rPr>
        <w:sectPr>
          <w:type w:val="continuous"/>
          <w:pgSz w:w="11880" w:h="15480"/>
          <w:pgMar w:top="1200" w:bottom="280" w:left="1280" w:right="1260"/>
          <w:cols w:num="3" w:equalWidth="0">
            <w:col w:w="3373" w:space="40"/>
            <w:col w:w="1260" w:space="40"/>
            <w:col w:w="4627"/>
          </w:cols>
        </w:sectPr>
      </w:pPr>
    </w:p>
    <w:p>
      <w:pPr>
        <w:spacing w:line="20" w:lineRule="exact"/>
        <w:ind w:left="2235" w:right="0" w:firstLine="0"/>
        <w:rPr>
          <w:sz w:val="2"/>
        </w:rPr>
      </w:pPr>
      <w:r>
        <w:rPr>
          <w:sz w:val="2"/>
        </w:rPr>
        <w:pict>
          <v:group style="width:67.5pt;height:1pt;mso-position-horizontal-relative:char;mso-position-vertical-relative:line" coordorigin="0,0" coordsize="1350,20">
            <v:line style="position:absolute" from="10,10" to="1340,10" stroked="true" strokeweight="1pt" strokecolor="#231f20">
              <v:stroke dashstyle="solid"/>
            </v:line>
          </v:group>
        </w:pict>
      </w:r>
      <w:r>
        <w:rPr>
          <w:sz w:val="2"/>
        </w:rPr>
      </w:r>
      <w:r>
        <w:rPr>
          <w:spacing w:val="120"/>
          <w:sz w:val="2"/>
        </w:rPr>
        <w:t> </w:t>
      </w:r>
      <w:r>
        <w:rPr>
          <w:spacing w:val="120"/>
          <w:sz w:val="2"/>
        </w:rPr>
        <w:pict>
          <v:group style="width:58pt;height:1pt;mso-position-horizontal-relative:char;mso-position-vertical-relative:line" coordorigin="0,0" coordsize="1160,20">
            <v:line style="position:absolute" from="10,10" to="1150,10" stroked="true" strokeweight="1pt" strokecolor="#231f20">
              <v:stroke dashstyle="solid"/>
            </v:line>
          </v:group>
        </w:pict>
      </w:r>
      <w:r>
        <w:rPr>
          <w:spacing w:val="120"/>
          <w:sz w:val="2"/>
        </w:rPr>
      </w:r>
      <w:r>
        <w:rPr>
          <w:spacing w:val="125"/>
          <w:sz w:val="2"/>
        </w:rPr>
        <w:t> </w:t>
      </w:r>
      <w:r>
        <w:rPr>
          <w:spacing w:val="125"/>
          <w:sz w:val="2"/>
        </w:rPr>
        <w:pict>
          <v:group style="width:55.25pt;height:1pt;mso-position-horizontal-relative:char;mso-position-vertical-relative:line" coordorigin="0,0" coordsize="1105,20">
            <v:line style="position:absolute" from="10,10" to="1095,10" stroked="true" strokeweight="1pt" strokecolor="#231f20">
              <v:stroke dashstyle="solid"/>
            </v:line>
          </v:group>
        </w:pict>
      </w:r>
      <w:r>
        <w:rPr>
          <w:spacing w:val="125"/>
          <w:sz w:val="2"/>
        </w:rPr>
      </w:r>
      <w:r>
        <w:rPr>
          <w:spacing w:val="130"/>
          <w:sz w:val="2"/>
        </w:rPr>
        <w:t> </w:t>
      </w:r>
      <w:r>
        <w:rPr>
          <w:spacing w:val="130"/>
          <w:sz w:val="2"/>
        </w:rPr>
        <w:pict>
          <v:group style="width:148pt;height:1pt;mso-position-horizontal-relative:char;mso-position-vertical-relative:line" coordorigin="0,0" coordsize="2960,20">
            <v:line style="position:absolute" from="10,10" to="2950,10" stroked="true" strokeweight="1pt" strokecolor="#231f20">
              <v:stroke dashstyle="solid"/>
            </v:line>
          </v:group>
        </w:pict>
      </w:r>
      <w:r>
        <w:rPr>
          <w:spacing w:val="130"/>
          <w:sz w:val="2"/>
        </w:rPr>
      </w:r>
    </w:p>
    <w:p>
      <w:pPr>
        <w:tabs>
          <w:tab w:pos="2819" w:val="left" w:leader="none"/>
          <w:tab w:pos="2909" w:val="left" w:leader="none"/>
          <w:tab w:pos="4102" w:val="left" w:leader="none"/>
          <w:tab w:pos="4192" w:val="left" w:leader="none"/>
          <w:tab w:pos="5258" w:val="left" w:leader="none"/>
          <w:tab w:pos="6280" w:val="left" w:leader="none"/>
        </w:tabs>
        <w:spacing w:line="254" w:lineRule="auto" w:before="60"/>
        <w:ind w:left="100" w:right="408" w:firstLine="0"/>
        <w:jc w:val="left"/>
        <w:rPr>
          <w:sz w:val="18"/>
        </w:rPr>
      </w:pPr>
      <w:r>
        <w:rPr>
          <w:color w:val="231F20"/>
          <w:sz w:val="18"/>
        </w:rPr>
        <w:t>Term Loan Agreement  . . .</w:t>
      </w:r>
      <w:r>
        <w:rPr>
          <w:color w:val="231F20"/>
          <w:spacing w:val="-10"/>
          <w:sz w:val="18"/>
        </w:rPr>
        <w:t> </w:t>
      </w:r>
      <w:r>
        <w:rPr>
          <w:color w:val="231F20"/>
          <w:sz w:val="18"/>
        </w:rPr>
        <w:t>. </w:t>
      </w:r>
      <w:r>
        <w:rPr>
          <w:color w:val="231F20"/>
          <w:spacing w:val="10"/>
          <w:sz w:val="18"/>
        </w:rPr>
        <w:t> </w:t>
      </w:r>
      <w:r>
        <w:rPr>
          <w:color w:val="231F20"/>
          <w:sz w:val="18"/>
        </w:rPr>
        <w:t>$</w:t>
        <w:tab/>
        <w:t>210</w:t>
        <w:tab/>
        <w:t>6.315%</w:t>
        <w:tab/>
        <w:t>5/6/2019</w:t>
        <w:tab/>
        <w:t>14 specified Boeing 737-700 aircraft</w:t>
      </w:r>
      <w:r>
        <w:rPr>
          <w:color w:val="231F20"/>
          <w:w w:val="100"/>
          <w:sz w:val="18"/>
        </w:rPr>
        <w:t> </w:t>
      </w:r>
      <w:r>
        <w:rPr>
          <w:color w:val="231F20"/>
          <w:sz w:val="18"/>
        </w:rPr>
        <w:t>Term Loan Agreement  . .</w:t>
      </w:r>
      <w:r>
        <w:rPr>
          <w:color w:val="231F20"/>
          <w:spacing w:val="-10"/>
          <w:sz w:val="18"/>
        </w:rPr>
        <w:t> </w:t>
      </w:r>
      <w:r>
        <w:rPr>
          <w:color w:val="231F20"/>
          <w:sz w:val="18"/>
        </w:rPr>
        <w:t>. .</w:t>
        <w:tab/>
        <w:tab/>
        <w:t>85</w:t>
        <w:tab/>
        <w:tab/>
        <w:t>6.84%</w:t>
        <w:tab/>
        <w:t>7/1/2019</w:t>
        <w:tab/>
        <w:t>5 specified Boeing 737-700 aircraft</w:t>
      </w:r>
      <w:r>
        <w:rPr>
          <w:color w:val="231F20"/>
          <w:w w:val="100"/>
          <w:sz w:val="18"/>
        </w:rPr>
        <w:t> </w:t>
      </w:r>
      <w:r>
        <w:rPr>
          <w:color w:val="231F20"/>
          <w:sz w:val="18"/>
        </w:rPr>
        <w:t>Term Loan Agreement  . .</w:t>
      </w:r>
      <w:r>
        <w:rPr>
          <w:color w:val="231F20"/>
          <w:spacing w:val="-10"/>
          <w:sz w:val="18"/>
        </w:rPr>
        <w:t> </w:t>
      </w:r>
      <w:r>
        <w:rPr>
          <w:color w:val="231F20"/>
          <w:sz w:val="18"/>
        </w:rPr>
        <w:t>. .</w:t>
        <w:tab/>
        <w:t>413</w:t>
        <w:tab/>
        <w:t>5.223%</w:t>
        <w:tab/>
        <w:t>5/9/2020</w:t>
        <w:tab/>
        <w:t>21 specified Boeing 737-700 aircraft</w:t>
      </w:r>
    </w:p>
    <w:p>
      <w:pPr>
        <w:pStyle w:val="BodyText"/>
        <w:spacing w:before="9"/>
        <w:rPr>
          <w:sz w:val="15"/>
        </w:rPr>
      </w:pPr>
    </w:p>
    <w:p>
      <w:pPr>
        <w:pStyle w:val="BodyText"/>
        <w:spacing w:line="249" w:lineRule="auto"/>
        <w:ind w:left="100" w:right="199" w:firstLine="490"/>
      </w:pPr>
      <w:r>
        <w:rPr>
          <w:color w:val="231F20"/>
        </w:rPr>
        <w:t>The carrying value of the Company’s floating rate debt totaled $430 million, and this debt had a weighted- average maturity of 3.53 years at floating rates averaging 2.36 percent for the year ended December 31, 2013. In total, the Company’s fixed-rate debt and floating rate debt represented 16.06 percent and 2.89 percent, respectively, of consolidated noncurrent assets at December 31, 2013.</w:t>
      </w:r>
    </w:p>
    <w:p>
      <w:pPr>
        <w:pStyle w:val="BodyText"/>
        <w:spacing w:line="249" w:lineRule="auto" w:before="181"/>
        <w:ind w:left="100" w:right="119" w:firstLine="490"/>
      </w:pPr>
      <w:r>
        <w:rPr>
          <w:color w:val="231F20"/>
        </w:rPr>
        <w:t>The Company also has some risk associated with changing interest rates due to the short-term nature of its invested cash, which totaled $1.4 billion, and short-term investments, which totaled $1.8 billion, at December 31, 2013. See Notes 1 and 10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previous turmoil in credit markets, the Company has discontinued further investments in auction rate securities. Because of the short- 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line="249" w:lineRule="auto" w:before="181"/>
        <w:ind w:left="100" w:right="200" w:firstLine="490"/>
      </w:pPr>
      <w:r>
        <w:rPr>
          <w:color w:val="231F20"/>
        </w:rPr>
        <w:t>A hypothetical 10 percent change in market interest rates as of December 31, 2013,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2013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2013,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spacing w:after="0" w:line="249" w:lineRule="auto"/>
        <w:sectPr>
          <w:type w:val="continuous"/>
          <w:pgSz w:w="11880" w:h="15480"/>
          <w:pgMar w:top="1200" w:bottom="280" w:left="1280" w:right="1260"/>
        </w:sectPr>
      </w:pPr>
    </w:p>
    <w:p>
      <w:pPr>
        <w:pStyle w:val="BodyText"/>
        <w:spacing w:line="249" w:lineRule="auto" w:before="73"/>
        <w:ind w:left="100" w:right="183" w:firstLine="490"/>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2013, the Company was in compliance with this covenant and there were no amounts outstanding under the revolving credit facility.</w:t>
      </w:r>
    </w:p>
    <w:p>
      <w:pPr>
        <w:pStyle w:val="BodyText"/>
        <w:spacing w:line="249" w:lineRule="auto" w:before="1"/>
        <w:ind w:left="100" w:right="114"/>
      </w:pPr>
      <w:r>
        <w:rPr>
          <w:color w:val="231F20"/>
        </w:rPr>
        <w:t>However, if conditions change and the Company fails to meet the minimum standards set forth in the revolving credit facility, there could be a reduction in the availability of cash under the facility, or an increase in the costs to keep the facility intact as written. Eleven of the Company’s hedging counterparty agreements contain ratings triggers in which cash collateral would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2013, no cash collateral deposits were provided by or held by the Company under these provisions. If the Company’s credit rating had been below investment grade as of that date, the Company would have been required to post approximately $7 million in additional cash collateral deposits with fuel hedge</w:t>
      </w:r>
      <w:r>
        <w:rPr>
          <w:color w:val="231F20"/>
          <w:spacing w:val="1"/>
        </w:rPr>
        <w:t> </w:t>
      </w:r>
      <w:r>
        <w:rPr>
          <w:color w:val="231F20"/>
        </w:rPr>
        <w:t>counterparties.</w:t>
      </w:r>
    </w:p>
    <w:p>
      <w:pPr>
        <w:pStyle w:val="BodyText"/>
        <w:spacing w:line="249" w:lineRule="auto" w:before="181"/>
        <w:ind w:left="100" w:right="129" w:firstLine="490"/>
      </w:pPr>
      <w:r>
        <w:rPr>
          <w:color w:val="231F20"/>
        </w:rPr>
        <w:t>The Company currently has agreements with organizations that process credit card transactions arising from purchases of air travel tickets by its Customers utilizing American Express, Discover and MasterCard/ 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 counterparty.</w:t>
      </w:r>
    </w:p>
    <w:p>
      <w:pPr>
        <w:pStyle w:val="BodyText"/>
        <w:spacing w:line="249" w:lineRule="auto" w:before="181"/>
        <w:ind w:left="100" w:right="119" w:firstLine="490"/>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 liability.</w:t>
      </w:r>
    </w:p>
    <w:p>
      <w:pPr>
        <w:pStyle w:val="BodyText"/>
        <w:spacing w:line="249" w:lineRule="auto" w:before="181"/>
        <w:ind w:left="100" w:right="295" w:firstLine="490"/>
      </w:pPr>
      <w:r>
        <w:rPr>
          <w:color w:val="231F20"/>
        </w:rPr>
        <w:t>As of December 31, 2013,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9" w:lineRule="auto"/>
        <w:sectPr>
          <w:pgSz w:w="11880" w:h="15480"/>
          <w:pgMar w:header="0" w:footer="1253" w:top="1240" w:bottom="1440" w:left="1280" w:right="1320"/>
        </w:sectPr>
      </w:pPr>
    </w:p>
    <w:p>
      <w:pPr>
        <w:pStyle w:val="BodyText"/>
      </w:pPr>
      <w:r>
        <w:rPr/>
        <w:pict>
          <v:shape style="position:absolute;margin-left:66.5pt;margin-top:66.110001pt;width:461.35pt;height:596.75pt;mso-position-horizontal-relative:page;mso-position-vertical-relative:page;z-index:37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1"/>
                    <w:gridCol w:w="1242"/>
                    <w:gridCol w:w="80"/>
                    <w:gridCol w:w="80"/>
                    <w:gridCol w:w="1223"/>
                  </w:tblGrid>
                  <w:tr>
                    <w:trPr>
                      <w:trHeight w:val="354" w:hRule="exact"/>
                    </w:trPr>
                    <w:tc>
                      <w:tcPr>
                        <w:tcW w:w="6601" w:type="dxa"/>
                      </w:tcPr>
                      <w:p>
                        <w:pPr>
                          <w:pStyle w:val="TableParagraph"/>
                          <w:tabs>
                            <w:tab w:pos="1129" w:val="left" w:leader="none"/>
                          </w:tabs>
                          <w:spacing w:line="221" w:lineRule="exact"/>
                          <w:ind w:left="50"/>
                          <w:jc w:val="left"/>
                          <w:rPr>
                            <w:b/>
                            <w:i/>
                            <w:sz w:val="20"/>
                          </w:rPr>
                        </w:pPr>
                        <w:r>
                          <w:rPr>
                            <w:b/>
                            <w:color w:val="231F20"/>
                            <w:sz w:val="20"/>
                          </w:rPr>
                          <w:t>Item</w:t>
                        </w:r>
                        <w:r>
                          <w:rPr>
                            <w:b/>
                            <w:color w:val="231F20"/>
                            <w:spacing w:val="1"/>
                            <w:sz w:val="20"/>
                          </w:rPr>
                          <w:t> </w:t>
                        </w:r>
                        <w:r>
                          <w:rPr>
                            <w:b/>
                            <w:color w:val="231F20"/>
                            <w:sz w:val="20"/>
                          </w:rPr>
                          <w:t>8.</w:t>
                          <w:tab/>
                        </w:r>
                        <w:r>
                          <w:rPr>
                            <w:b/>
                            <w:i/>
                            <w:color w:val="231F20"/>
                            <w:sz w:val="20"/>
                          </w:rPr>
                          <w:t>Financial Statements and Supplementary</w:t>
                        </w:r>
                        <w:r>
                          <w:rPr>
                            <w:b/>
                            <w:i/>
                            <w:color w:val="231F20"/>
                            <w:spacing w:val="1"/>
                            <w:sz w:val="20"/>
                          </w:rPr>
                          <w:t> </w:t>
                        </w:r>
                        <w:r>
                          <w:rPr>
                            <w:b/>
                            <w:i/>
                            <w:color w:val="231F20"/>
                            <w:sz w:val="20"/>
                          </w:rPr>
                          <w:t>Data</w:t>
                        </w:r>
                      </w:p>
                    </w:tc>
                    <w:tc>
                      <w:tcPr>
                        <w:tcW w:w="2625" w:type="dxa"/>
                        <w:gridSpan w:val="4"/>
                        <w:vMerge w:val="restart"/>
                      </w:tcPr>
                      <w:p>
                        <w:pPr/>
                      </w:p>
                    </w:tc>
                  </w:tr>
                  <w:tr>
                    <w:trPr>
                      <w:trHeight w:val="423" w:hRule="exact"/>
                    </w:trPr>
                    <w:tc>
                      <w:tcPr>
                        <w:tcW w:w="6601" w:type="dxa"/>
                      </w:tcPr>
                      <w:p>
                        <w:pPr>
                          <w:pStyle w:val="TableParagraph"/>
                          <w:spacing w:before="122"/>
                          <w:ind w:left="3264"/>
                          <w:jc w:val="left"/>
                          <w:rPr>
                            <w:b/>
                            <w:sz w:val="20"/>
                          </w:rPr>
                        </w:pPr>
                        <w:r>
                          <w:rPr>
                            <w:b/>
                            <w:color w:val="231F20"/>
                            <w:sz w:val="20"/>
                          </w:rPr>
                          <w:t>SOUTHWEST AIRLINES CO.</w:t>
                        </w:r>
                      </w:p>
                    </w:tc>
                    <w:tc>
                      <w:tcPr>
                        <w:tcW w:w="2625" w:type="dxa"/>
                        <w:gridSpan w:val="4"/>
                        <w:vMerge/>
                      </w:tcPr>
                      <w:p>
                        <w:pPr/>
                      </w:p>
                    </w:tc>
                  </w:tr>
                  <w:tr>
                    <w:trPr>
                      <w:trHeight w:val="301" w:hRule="exact"/>
                    </w:trPr>
                    <w:tc>
                      <w:tcPr>
                        <w:tcW w:w="6601" w:type="dxa"/>
                      </w:tcPr>
                      <w:p>
                        <w:pPr>
                          <w:pStyle w:val="TableParagraph"/>
                          <w:spacing w:before="59"/>
                          <w:ind w:left="2929"/>
                          <w:jc w:val="left"/>
                          <w:rPr>
                            <w:b/>
                            <w:sz w:val="20"/>
                          </w:rPr>
                        </w:pPr>
                        <w:r>
                          <w:rPr>
                            <w:b/>
                            <w:color w:val="231F20"/>
                            <w:sz w:val="20"/>
                          </w:rPr>
                          <w:t>CONSOLIDATED BALANCE SHEET</w:t>
                        </w:r>
                      </w:p>
                    </w:tc>
                    <w:tc>
                      <w:tcPr>
                        <w:tcW w:w="2625" w:type="dxa"/>
                        <w:gridSpan w:val="4"/>
                        <w:vMerge/>
                      </w:tcPr>
                      <w:p>
                        <w:pPr/>
                      </w:p>
                    </w:tc>
                  </w:tr>
                  <w:tr>
                    <w:trPr>
                      <w:trHeight w:val="340" w:hRule="exact"/>
                    </w:trPr>
                    <w:tc>
                      <w:tcPr>
                        <w:tcW w:w="6601" w:type="dxa"/>
                      </w:tcPr>
                      <w:p>
                        <w:pPr>
                          <w:pStyle w:val="TableParagraph"/>
                          <w:spacing w:line="229" w:lineRule="exact"/>
                          <w:ind w:left="3370"/>
                          <w:jc w:val="left"/>
                          <w:rPr>
                            <w:sz w:val="20"/>
                          </w:rPr>
                        </w:pPr>
                        <w:r>
                          <w:rPr>
                            <w:color w:val="231F20"/>
                            <w:sz w:val="20"/>
                          </w:rPr>
                          <w:t>(in millions, except share data)</w:t>
                        </w:r>
                      </w:p>
                    </w:tc>
                    <w:tc>
                      <w:tcPr>
                        <w:tcW w:w="2625" w:type="dxa"/>
                        <w:gridSpan w:val="4"/>
                        <w:vMerge/>
                      </w:tcPr>
                      <w:p>
                        <w:pPr/>
                      </w:p>
                    </w:tc>
                  </w:tr>
                  <w:tr>
                    <w:trPr>
                      <w:trHeight w:val="560" w:hRule="exact"/>
                    </w:trPr>
                    <w:tc>
                      <w:tcPr>
                        <w:tcW w:w="6601" w:type="dxa"/>
                      </w:tcPr>
                      <w:p>
                        <w:pPr/>
                      </w:p>
                    </w:tc>
                    <w:tc>
                      <w:tcPr>
                        <w:tcW w:w="1322" w:type="dxa"/>
                        <w:gridSpan w:val="2"/>
                        <w:tcBorders>
                          <w:bottom w:val="single" w:sz="8" w:space="0" w:color="231F20"/>
                        </w:tcBorders>
                      </w:tcPr>
                      <w:p>
                        <w:pPr>
                          <w:pStyle w:val="TableParagraph"/>
                          <w:spacing w:line="215" w:lineRule="exact" w:before="103"/>
                          <w:ind w:left="56" w:right="59"/>
                          <w:jc w:val="center"/>
                          <w:rPr>
                            <w:b/>
                            <w:sz w:val="20"/>
                          </w:rPr>
                        </w:pPr>
                        <w:r>
                          <w:rPr>
                            <w:b/>
                            <w:color w:val="231F20"/>
                            <w:sz w:val="20"/>
                          </w:rPr>
                          <w:t>December 31,</w:t>
                        </w:r>
                      </w:p>
                      <w:p>
                        <w:pPr>
                          <w:pStyle w:val="TableParagraph"/>
                          <w:spacing w:line="215" w:lineRule="exact"/>
                          <w:ind w:left="55" w:right="59"/>
                          <w:jc w:val="center"/>
                          <w:rPr>
                            <w:b/>
                            <w:sz w:val="20"/>
                          </w:rPr>
                        </w:pPr>
                        <w:r>
                          <w:rPr>
                            <w:b/>
                            <w:color w:val="231F20"/>
                            <w:sz w:val="20"/>
                          </w:rPr>
                          <w:t>2013</w:t>
                        </w:r>
                      </w:p>
                    </w:tc>
                    <w:tc>
                      <w:tcPr>
                        <w:tcW w:w="1303" w:type="dxa"/>
                        <w:gridSpan w:val="2"/>
                        <w:tcBorders>
                          <w:bottom w:val="single" w:sz="8" w:space="0" w:color="231F20"/>
                        </w:tcBorders>
                      </w:tcPr>
                      <w:p>
                        <w:pPr>
                          <w:pStyle w:val="TableParagraph"/>
                          <w:spacing w:line="215" w:lineRule="exact" w:before="103"/>
                          <w:ind w:left="60" w:right="37"/>
                          <w:jc w:val="center"/>
                          <w:rPr>
                            <w:b/>
                            <w:sz w:val="20"/>
                          </w:rPr>
                        </w:pPr>
                        <w:r>
                          <w:rPr>
                            <w:b/>
                            <w:color w:val="231F20"/>
                            <w:sz w:val="20"/>
                          </w:rPr>
                          <w:t>December 31,</w:t>
                        </w:r>
                      </w:p>
                      <w:p>
                        <w:pPr>
                          <w:pStyle w:val="TableParagraph"/>
                          <w:spacing w:line="215" w:lineRule="exact"/>
                          <w:ind w:left="59" w:right="37"/>
                          <w:jc w:val="center"/>
                          <w:rPr>
                            <w:b/>
                            <w:sz w:val="20"/>
                          </w:rPr>
                        </w:pPr>
                        <w:r>
                          <w:rPr>
                            <w:b/>
                            <w:color w:val="231F20"/>
                            <w:sz w:val="20"/>
                          </w:rPr>
                          <w:t>2012</w:t>
                        </w:r>
                      </w:p>
                    </w:tc>
                  </w:tr>
                  <w:tr>
                    <w:trPr>
                      <w:trHeight w:val="714" w:hRule="exact"/>
                    </w:trPr>
                    <w:tc>
                      <w:tcPr>
                        <w:tcW w:w="6601" w:type="dxa"/>
                      </w:tcPr>
                      <w:p>
                        <w:pPr>
                          <w:pStyle w:val="TableParagraph"/>
                          <w:spacing w:line="225" w:lineRule="exact" w:before="43"/>
                          <w:ind w:left="50"/>
                          <w:jc w:val="left"/>
                          <w:rPr>
                            <w:b/>
                            <w:sz w:val="20"/>
                          </w:rPr>
                        </w:pPr>
                        <w:r>
                          <w:rPr>
                            <w:b/>
                            <w:color w:val="231F20"/>
                            <w:sz w:val="20"/>
                          </w:rPr>
                          <w:t>ASSETS</w:t>
                        </w:r>
                      </w:p>
                      <w:p>
                        <w:pPr>
                          <w:pStyle w:val="TableParagraph"/>
                          <w:spacing w:line="220" w:lineRule="exact"/>
                          <w:ind w:left="50"/>
                          <w:jc w:val="left"/>
                          <w:rPr>
                            <w:sz w:val="20"/>
                          </w:rPr>
                        </w:pPr>
                        <w:r>
                          <w:rPr>
                            <w:color w:val="231F20"/>
                            <w:sz w:val="20"/>
                          </w:rPr>
                          <w:t>Current assets:</w:t>
                        </w:r>
                      </w:p>
                      <w:p>
                        <w:pPr>
                          <w:pStyle w:val="TableParagraph"/>
                          <w:spacing w:line="225" w:lineRule="exact"/>
                          <w:ind w:left="150"/>
                          <w:jc w:val="left"/>
                          <w:rPr>
                            <w:sz w:val="20"/>
                          </w:rPr>
                        </w:pPr>
                        <w:r>
                          <w:rPr>
                            <w:color w:val="231F20"/>
                            <w:sz w:val="20"/>
                          </w:rPr>
                          <w:t>Cash and cash equivalents . . . . . . . . . . . . . . . . . . . . . . . . . . . . . . . . . . . . . . . . . . </w:t>
                        </w:r>
                      </w:p>
                    </w:tc>
                    <w:tc>
                      <w:tcPr>
                        <w:tcW w:w="1322" w:type="dxa"/>
                        <w:gridSpan w:val="2"/>
                        <w:tcBorders>
                          <w:top w:val="single" w:sz="8" w:space="0" w:color="231F20"/>
                        </w:tcBorders>
                      </w:tcPr>
                      <w:p>
                        <w:pPr>
                          <w:pStyle w:val="TableParagraph"/>
                          <w:jc w:val="left"/>
                          <w:rPr>
                            <w:sz w:val="22"/>
                          </w:rPr>
                        </w:pPr>
                      </w:p>
                      <w:p>
                        <w:pPr>
                          <w:pStyle w:val="TableParagraph"/>
                          <w:spacing w:before="1"/>
                          <w:jc w:val="left"/>
                          <w:rPr>
                            <w:sz w:val="19"/>
                          </w:rPr>
                        </w:pPr>
                      </w:p>
                      <w:p>
                        <w:pPr>
                          <w:pStyle w:val="TableParagraph"/>
                          <w:tabs>
                            <w:tab w:pos="731" w:val="left" w:leader="none"/>
                          </w:tabs>
                          <w:spacing w:before="1"/>
                          <w:ind w:left="75"/>
                          <w:jc w:val="left"/>
                          <w:rPr>
                            <w:sz w:val="20"/>
                          </w:rPr>
                        </w:pPr>
                        <w:r>
                          <w:rPr>
                            <w:color w:val="231F20"/>
                            <w:sz w:val="20"/>
                          </w:rPr>
                          <w:t>$</w:t>
                          <w:tab/>
                          <w:t>1,355</w:t>
                        </w:r>
                      </w:p>
                    </w:tc>
                    <w:tc>
                      <w:tcPr>
                        <w:tcW w:w="1303" w:type="dxa"/>
                        <w:gridSpan w:val="2"/>
                        <w:tcBorders>
                          <w:top w:val="single" w:sz="8" w:space="0" w:color="231F20"/>
                        </w:tcBorders>
                      </w:tcPr>
                      <w:p>
                        <w:pPr>
                          <w:pStyle w:val="TableParagraph"/>
                          <w:jc w:val="left"/>
                          <w:rPr>
                            <w:sz w:val="22"/>
                          </w:rPr>
                        </w:pPr>
                      </w:p>
                      <w:p>
                        <w:pPr>
                          <w:pStyle w:val="TableParagraph"/>
                          <w:spacing w:before="1"/>
                          <w:jc w:val="left"/>
                          <w:rPr>
                            <w:sz w:val="19"/>
                          </w:rPr>
                        </w:pPr>
                      </w:p>
                      <w:p>
                        <w:pPr>
                          <w:pStyle w:val="TableParagraph"/>
                          <w:tabs>
                            <w:tab w:pos="736" w:val="left" w:leader="none"/>
                          </w:tabs>
                          <w:spacing w:before="1"/>
                          <w:ind w:left="79"/>
                          <w:jc w:val="left"/>
                          <w:rPr>
                            <w:sz w:val="20"/>
                          </w:rPr>
                        </w:pPr>
                        <w:r>
                          <w:rPr>
                            <w:color w:val="231F20"/>
                            <w:sz w:val="20"/>
                          </w:rPr>
                          <w:t>$</w:t>
                          <w:tab/>
                          <w:t>1,113</w:t>
                        </w:r>
                      </w:p>
                    </w:tc>
                  </w:tr>
                  <w:tr>
                    <w:trPr>
                      <w:trHeight w:val="220" w:hRule="exact"/>
                    </w:trPr>
                    <w:tc>
                      <w:tcPr>
                        <w:tcW w:w="6601" w:type="dxa"/>
                      </w:tcPr>
                      <w:p>
                        <w:pPr>
                          <w:pStyle w:val="TableParagraph"/>
                          <w:spacing w:line="219" w:lineRule="exact"/>
                          <w:ind w:right="74"/>
                          <w:rPr>
                            <w:sz w:val="20"/>
                          </w:rPr>
                        </w:pPr>
                        <w:r>
                          <w:rPr>
                            <w:color w:val="231F20"/>
                            <w:sz w:val="20"/>
                          </w:rPr>
                          <w:t>Short-term investments  . . . . . . . . . . . . . . . . . . . . . . . . . . . . . . . . . . . . . . . . . . . . </w:t>
                        </w:r>
                      </w:p>
                    </w:tc>
                    <w:tc>
                      <w:tcPr>
                        <w:tcW w:w="1322" w:type="dxa"/>
                        <w:gridSpan w:val="2"/>
                      </w:tcPr>
                      <w:p>
                        <w:pPr>
                          <w:pStyle w:val="TableParagraph"/>
                          <w:spacing w:line="219" w:lineRule="exact"/>
                          <w:ind w:left="731"/>
                          <w:jc w:val="left"/>
                          <w:rPr>
                            <w:sz w:val="20"/>
                          </w:rPr>
                        </w:pPr>
                        <w:r>
                          <w:rPr>
                            <w:color w:val="231F20"/>
                            <w:sz w:val="20"/>
                          </w:rPr>
                          <w:t>1,797</w:t>
                        </w:r>
                      </w:p>
                    </w:tc>
                    <w:tc>
                      <w:tcPr>
                        <w:tcW w:w="1303" w:type="dxa"/>
                        <w:gridSpan w:val="2"/>
                      </w:tcPr>
                      <w:p>
                        <w:pPr>
                          <w:pStyle w:val="TableParagraph"/>
                          <w:spacing w:line="219" w:lineRule="exact"/>
                          <w:ind w:left="736"/>
                          <w:jc w:val="left"/>
                          <w:rPr>
                            <w:sz w:val="20"/>
                          </w:rPr>
                        </w:pPr>
                        <w:r>
                          <w:rPr>
                            <w:color w:val="231F20"/>
                            <w:sz w:val="20"/>
                          </w:rPr>
                          <w:t>1,857</w:t>
                        </w:r>
                      </w:p>
                    </w:tc>
                  </w:tr>
                  <w:tr>
                    <w:trPr>
                      <w:trHeight w:val="220" w:hRule="exact"/>
                    </w:trPr>
                    <w:tc>
                      <w:tcPr>
                        <w:tcW w:w="6601" w:type="dxa"/>
                      </w:tcPr>
                      <w:p>
                        <w:pPr>
                          <w:pStyle w:val="TableParagraph"/>
                          <w:spacing w:line="219" w:lineRule="exact"/>
                          <w:ind w:right="74"/>
                          <w:rPr>
                            <w:sz w:val="20"/>
                          </w:rPr>
                        </w:pPr>
                        <w:r>
                          <w:rPr>
                            <w:color w:val="231F20"/>
                            <w:sz w:val="20"/>
                          </w:rPr>
                          <w:t>Accounts and other receivables . . . . . . . . . . . . . . . . . . . . . . . . . . . . . . . . . . . . . . </w:t>
                        </w:r>
                      </w:p>
                    </w:tc>
                    <w:tc>
                      <w:tcPr>
                        <w:tcW w:w="1322" w:type="dxa"/>
                        <w:gridSpan w:val="2"/>
                      </w:tcPr>
                      <w:p>
                        <w:pPr>
                          <w:pStyle w:val="TableParagraph"/>
                          <w:spacing w:line="219" w:lineRule="exact"/>
                          <w:ind w:right="139"/>
                          <w:rPr>
                            <w:sz w:val="20"/>
                          </w:rPr>
                        </w:pPr>
                        <w:r>
                          <w:rPr>
                            <w:color w:val="231F20"/>
                            <w:sz w:val="20"/>
                          </w:rPr>
                          <w:t>419</w:t>
                        </w:r>
                      </w:p>
                    </w:tc>
                    <w:tc>
                      <w:tcPr>
                        <w:tcW w:w="1303" w:type="dxa"/>
                        <w:gridSpan w:val="2"/>
                      </w:tcPr>
                      <w:p>
                        <w:pPr>
                          <w:pStyle w:val="TableParagraph"/>
                          <w:spacing w:line="219" w:lineRule="exact"/>
                          <w:ind w:right="114"/>
                          <w:rPr>
                            <w:sz w:val="20"/>
                          </w:rPr>
                        </w:pPr>
                        <w:r>
                          <w:rPr>
                            <w:color w:val="231F20"/>
                            <w:sz w:val="20"/>
                          </w:rPr>
                          <w:t>332</w:t>
                        </w:r>
                      </w:p>
                    </w:tc>
                  </w:tr>
                  <w:tr>
                    <w:trPr>
                      <w:trHeight w:val="220" w:hRule="exact"/>
                    </w:trPr>
                    <w:tc>
                      <w:tcPr>
                        <w:tcW w:w="6601" w:type="dxa"/>
                      </w:tcPr>
                      <w:p>
                        <w:pPr>
                          <w:pStyle w:val="TableParagraph"/>
                          <w:spacing w:line="219" w:lineRule="exact"/>
                          <w:ind w:right="74"/>
                          <w:rPr>
                            <w:sz w:val="20"/>
                          </w:rPr>
                        </w:pPr>
                        <w:r>
                          <w:rPr>
                            <w:color w:val="231F20"/>
                            <w:sz w:val="20"/>
                          </w:rPr>
                          <w:t>Inventories of parts and supplies, at cost . . . . . . . . . . . . . . . . . . . . . . . . . . . . . . . </w:t>
                        </w:r>
                      </w:p>
                    </w:tc>
                    <w:tc>
                      <w:tcPr>
                        <w:tcW w:w="1322" w:type="dxa"/>
                        <w:gridSpan w:val="2"/>
                      </w:tcPr>
                      <w:p>
                        <w:pPr>
                          <w:pStyle w:val="TableParagraph"/>
                          <w:spacing w:line="219" w:lineRule="exact"/>
                          <w:ind w:right="139"/>
                          <w:rPr>
                            <w:sz w:val="20"/>
                          </w:rPr>
                        </w:pPr>
                        <w:r>
                          <w:rPr>
                            <w:color w:val="231F20"/>
                            <w:sz w:val="20"/>
                          </w:rPr>
                          <w:t>467</w:t>
                        </w:r>
                      </w:p>
                    </w:tc>
                    <w:tc>
                      <w:tcPr>
                        <w:tcW w:w="1303" w:type="dxa"/>
                        <w:gridSpan w:val="2"/>
                      </w:tcPr>
                      <w:p>
                        <w:pPr>
                          <w:pStyle w:val="TableParagraph"/>
                          <w:spacing w:line="219" w:lineRule="exact"/>
                          <w:ind w:right="114"/>
                          <w:rPr>
                            <w:sz w:val="20"/>
                          </w:rPr>
                        </w:pPr>
                        <w:r>
                          <w:rPr>
                            <w:color w:val="231F20"/>
                            <w:sz w:val="20"/>
                          </w:rPr>
                          <w:t>469</w:t>
                        </w:r>
                      </w:p>
                    </w:tc>
                  </w:tr>
                  <w:tr>
                    <w:trPr>
                      <w:trHeight w:val="220" w:hRule="exact"/>
                    </w:trPr>
                    <w:tc>
                      <w:tcPr>
                        <w:tcW w:w="6601" w:type="dxa"/>
                      </w:tcPr>
                      <w:p>
                        <w:pPr>
                          <w:pStyle w:val="TableParagraph"/>
                          <w:spacing w:line="219" w:lineRule="exact"/>
                          <w:ind w:right="74"/>
                          <w:rPr>
                            <w:sz w:val="20"/>
                          </w:rPr>
                        </w:pPr>
                        <w:r>
                          <w:rPr>
                            <w:color w:val="231F20"/>
                            <w:sz w:val="20"/>
                          </w:rPr>
                          <w:t>Deferred income taxes . . . . . . . . . . . . . . . . . . . . . . . . . . . . . . . . . . . . . . . . . . . . . </w:t>
                        </w:r>
                      </w:p>
                    </w:tc>
                    <w:tc>
                      <w:tcPr>
                        <w:tcW w:w="1322" w:type="dxa"/>
                        <w:gridSpan w:val="2"/>
                      </w:tcPr>
                      <w:p>
                        <w:pPr>
                          <w:pStyle w:val="TableParagraph"/>
                          <w:spacing w:line="219" w:lineRule="exact"/>
                          <w:ind w:right="139"/>
                          <w:rPr>
                            <w:sz w:val="20"/>
                          </w:rPr>
                        </w:pPr>
                        <w:r>
                          <w:rPr>
                            <w:color w:val="231F20"/>
                            <w:sz w:val="20"/>
                          </w:rPr>
                          <w:t>168</w:t>
                        </w:r>
                      </w:p>
                    </w:tc>
                    <w:tc>
                      <w:tcPr>
                        <w:tcW w:w="1303" w:type="dxa"/>
                        <w:gridSpan w:val="2"/>
                      </w:tcPr>
                      <w:p>
                        <w:pPr>
                          <w:pStyle w:val="TableParagraph"/>
                          <w:spacing w:line="219" w:lineRule="exact"/>
                          <w:ind w:right="114"/>
                          <w:rPr>
                            <w:sz w:val="20"/>
                          </w:rPr>
                        </w:pPr>
                        <w:r>
                          <w:rPr>
                            <w:color w:val="231F20"/>
                            <w:sz w:val="20"/>
                          </w:rPr>
                          <w:t>246</w:t>
                        </w:r>
                      </w:p>
                    </w:tc>
                  </w:tr>
                  <w:tr>
                    <w:trPr>
                      <w:trHeight w:val="251" w:hRule="exact"/>
                    </w:trPr>
                    <w:tc>
                      <w:tcPr>
                        <w:tcW w:w="6601" w:type="dxa"/>
                      </w:tcPr>
                      <w:p>
                        <w:pPr>
                          <w:pStyle w:val="TableParagraph"/>
                          <w:spacing w:line="219" w:lineRule="exact"/>
                          <w:ind w:right="74"/>
                          <w:rPr>
                            <w:sz w:val="20"/>
                          </w:rPr>
                        </w:pPr>
                        <w:r>
                          <w:rPr>
                            <w:color w:val="231F20"/>
                            <w:sz w:val="20"/>
                          </w:rPr>
                          <w:t>Prepaid expenses and other current assets . . . . . . . . . . . . . . . . . . . . . . . . . . . . . . </w:t>
                        </w:r>
                      </w:p>
                    </w:tc>
                    <w:tc>
                      <w:tcPr>
                        <w:tcW w:w="1322" w:type="dxa"/>
                        <w:gridSpan w:val="2"/>
                        <w:tcBorders>
                          <w:bottom w:val="single" w:sz="4" w:space="0" w:color="231F20"/>
                        </w:tcBorders>
                      </w:tcPr>
                      <w:p>
                        <w:pPr>
                          <w:pStyle w:val="TableParagraph"/>
                          <w:spacing w:line="219" w:lineRule="exact"/>
                          <w:ind w:right="139"/>
                          <w:rPr>
                            <w:sz w:val="20"/>
                          </w:rPr>
                        </w:pPr>
                        <w:r>
                          <w:rPr>
                            <w:color w:val="231F20"/>
                            <w:sz w:val="20"/>
                          </w:rPr>
                          <w:t>250</w:t>
                        </w:r>
                      </w:p>
                    </w:tc>
                    <w:tc>
                      <w:tcPr>
                        <w:tcW w:w="1303" w:type="dxa"/>
                        <w:gridSpan w:val="2"/>
                        <w:tcBorders>
                          <w:bottom w:val="single" w:sz="4" w:space="0" w:color="231F20"/>
                        </w:tcBorders>
                      </w:tcPr>
                      <w:p>
                        <w:pPr>
                          <w:pStyle w:val="TableParagraph"/>
                          <w:spacing w:line="219" w:lineRule="exact"/>
                          <w:ind w:right="114"/>
                          <w:rPr>
                            <w:sz w:val="20"/>
                          </w:rPr>
                        </w:pPr>
                        <w:r>
                          <w:rPr>
                            <w:color w:val="231F20"/>
                            <w:sz w:val="20"/>
                          </w:rPr>
                          <w:t>210</w:t>
                        </w:r>
                      </w:p>
                    </w:tc>
                  </w:tr>
                  <w:tr>
                    <w:trPr>
                      <w:trHeight w:val="268" w:hRule="exact"/>
                    </w:trPr>
                    <w:tc>
                      <w:tcPr>
                        <w:tcW w:w="6601" w:type="dxa"/>
                      </w:tcPr>
                      <w:p>
                        <w:pPr>
                          <w:pStyle w:val="TableParagraph"/>
                          <w:spacing w:before="38"/>
                          <w:ind w:right="74"/>
                          <w:rPr>
                            <w:sz w:val="20"/>
                          </w:rPr>
                        </w:pPr>
                        <w:r>
                          <w:rPr>
                            <w:color w:val="231F20"/>
                            <w:sz w:val="20"/>
                          </w:rPr>
                          <w:t>Total current assets  . . . . . . . . . . . . . . . . . . . . . . . . . . . . . . . . . . . . . . . . . . . . . . </w:t>
                        </w:r>
                      </w:p>
                    </w:tc>
                    <w:tc>
                      <w:tcPr>
                        <w:tcW w:w="1322" w:type="dxa"/>
                        <w:gridSpan w:val="2"/>
                        <w:tcBorders>
                          <w:top w:val="single" w:sz="4" w:space="0" w:color="231F20"/>
                        </w:tcBorders>
                      </w:tcPr>
                      <w:p>
                        <w:pPr>
                          <w:pStyle w:val="TableParagraph"/>
                          <w:spacing w:before="33"/>
                          <w:ind w:left="731"/>
                          <w:jc w:val="left"/>
                          <w:rPr>
                            <w:sz w:val="20"/>
                          </w:rPr>
                        </w:pPr>
                        <w:r>
                          <w:rPr>
                            <w:color w:val="231F20"/>
                            <w:sz w:val="20"/>
                          </w:rPr>
                          <w:t>4,456</w:t>
                        </w:r>
                      </w:p>
                    </w:tc>
                    <w:tc>
                      <w:tcPr>
                        <w:tcW w:w="1303" w:type="dxa"/>
                        <w:gridSpan w:val="2"/>
                        <w:tcBorders>
                          <w:top w:val="single" w:sz="4" w:space="0" w:color="231F20"/>
                        </w:tcBorders>
                      </w:tcPr>
                      <w:p>
                        <w:pPr>
                          <w:pStyle w:val="TableParagraph"/>
                          <w:spacing w:before="33"/>
                          <w:ind w:left="736"/>
                          <w:jc w:val="left"/>
                          <w:rPr>
                            <w:sz w:val="20"/>
                          </w:rPr>
                        </w:pPr>
                        <w:r>
                          <w:rPr>
                            <w:color w:val="231F20"/>
                            <w:sz w:val="20"/>
                          </w:rPr>
                          <w:t>4,227</w:t>
                        </w:r>
                      </w:p>
                    </w:tc>
                  </w:tr>
                  <w:tr>
                    <w:trPr>
                      <w:trHeight w:val="220" w:hRule="exact"/>
                    </w:trPr>
                    <w:tc>
                      <w:tcPr>
                        <w:tcW w:w="6601" w:type="dxa"/>
                      </w:tcPr>
                      <w:p>
                        <w:pPr>
                          <w:pStyle w:val="TableParagraph"/>
                          <w:spacing w:line="220" w:lineRule="exact"/>
                          <w:ind w:left="50"/>
                          <w:jc w:val="left"/>
                          <w:rPr>
                            <w:sz w:val="20"/>
                          </w:rPr>
                        </w:pPr>
                        <w:r>
                          <w:rPr>
                            <w:color w:val="231F20"/>
                            <w:sz w:val="20"/>
                          </w:rPr>
                          <w:t>Property and equipment, at cost:</w:t>
                        </w:r>
                      </w:p>
                    </w:tc>
                    <w:tc>
                      <w:tcPr>
                        <w:tcW w:w="1322" w:type="dxa"/>
                        <w:gridSpan w:val="2"/>
                      </w:tcPr>
                      <w:p>
                        <w:pPr/>
                      </w:p>
                    </w:tc>
                    <w:tc>
                      <w:tcPr>
                        <w:tcW w:w="1303" w:type="dxa"/>
                        <w:gridSpan w:val="2"/>
                      </w:tcPr>
                      <w:p>
                        <w:pPr/>
                      </w:p>
                    </w:tc>
                  </w:tr>
                  <w:tr>
                    <w:trPr>
                      <w:trHeight w:val="221" w:hRule="exact"/>
                    </w:trPr>
                    <w:tc>
                      <w:tcPr>
                        <w:tcW w:w="6601" w:type="dxa"/>
                      </w:tcPr>
                      <w:p>
                        <w:pPr>
                          <w:pStyle w:val="TableParagraph"/>
                          <w:spacing w:line="219" w:lineRule="exact"/>
                          <w:ind w:right="74"/>
                          <w:rPr>
                            <w:sz w:val="20"/>
                          </w:rPr>
                        </w:pPr>
                        <w:r>
                          <w:rPr>
                            <w:color w:val="231F20"/>
                            <w:sz w:val="20"/>
                          </w:rPr>
                          <w:t>Flight equipment  . . . . . . . . . . . . . . . . . . . . . . . . . . . . . . . . . . . . . . . . . . . . . . . . . </w:t>
                        </w:r>
                      </w:p>
                    </w:tc>
                    <w:tc>
                      <w:tcPr>
                        <w:tcW w:w="1242" w:type="dxa"/>
                      </w:tcPr>
                      <w:p>
                        <w:pPr>
                          <w:pStyle w:val="TableParagraph"/>
                          <w:spacing w:line="219" w:lineRule="exact"/>
                          <w:ind w:right="58"/>
                          <w:rPr>
                            <w:sz w:val="20"/>
                          </w:rPr>
                        </w:pPr>
                        <w:r>
                          <w:rPr>
                            <w:color w:val="231F20"/>
                            <w:sz w:val="20"/>
                          </w:rPr>
                          <w:t>16,937</w:t>
                        </w:r>
                      </w:p>
                    </w:tc>
                    <w:tc>
                      <w:tcPr>
                        <w:tcW w:w="160" w:type="dxa"/>
                        <w:gridSpan w:val="2"/>
                      </w:tcPr>
                      <w:p>
                        <w:pPr/>
                      </w:p>
                    </w:tc>
                    <w:tc>
                      <w:tcPr>
                        <w:tcW w:w="1223" w:type="dxa"/>
                      </w:tcPr>
                      <w:p>
                        <w:pPr>
                          <w:pStyle w:val="TableParagraph"/>
                          <w:spacing w:line="219" w:lineRule="exact"/>
                          <w:ind w:right="114"/>
                          <w:rPr>
                            <w:sz w:val="20"/>
                          </w:rPr>
                        </w:pPr>
                        <w:r>
                          <w:rPr>
                            <w:color w:val="231F20"/>
                            <w:sz w:val="20"/>
                          </w:rPr>
                          <w:t>16,367</w:t>
                        </w:r>
                      </w:p>
                    </w:tc>
                  </w:tr>
                  <w:tr>
                    <w:trPr>
                      <w:trHeight w:val="220" w:hRule="exact"/>
                    </w:trPr>
                    <w:tc>
                      <w:tcPr>
                        <w:tcW w:w="6601" w:type="dxa"/>
                      </w:tcPr>
                      <w:p>
                        <w:pPr>
                          <w:pStyle w:val="TableParagraph"/>
                          <w:spacing w:line="219" w:lineRule="exact"/>
                          <w:ind w:right="74"/>
                          <w:rPr>
                            <w:sz w:val="20"/>
                          </w:rPr>
                        </w:pPr>
                        <w:r>
                          <w:rPr>
                            <w:color w:val="231F20"/>
                            <w:sz w:val="20"/>
                          </w:rPr>
                          <w:t>Ground property and equipment  . . . . . . . . . . . . . . . . . . . . . . . . . . . . . . . . . . . . . </w:t>
                        </w:r>
                      </w:p>
                    </w:tc>
                    <w:tc>
                      <w:tcPr>
                        <w:tcW w:w="1242" w:type="dxa"/>
                      </w:tcPr>
                      <w:p>
                        <w:pPr>
                          <w:pStyle w:val="TableParagraph"/>
                          <w:spacing w:line="219" w:lineRule="exact"/>
                          <w:ind w:right="58"/>
                          <w:rPr>
                            <w:sz w:val="20"/>
                          </w:rPr>
                        </w:pPr>
                        <w:r>
                          <w:rPr>
                            <w:color w:val="231F20"/>
                            <w:sz w:val="20"/>
                          </w:rPr>
                          <w:t>2,666</w:t>
                        </w:r>
                      </w:p>
                    </w:tc>
                    <w:tc>
                      <w:tcPr>
                        <w:tcW w:w="160" w:type="dxa"/>
                        <w:gridSpan w:val="2"/>
                      </w:tcPr>
                      <w:p>
                        <w:pPr/>
                      </w:p>
                    </w:tc>
                    <w:tc>
                      <w:tcPr>
                        <w:tcW w:w="1223" w:type="dxa"/>
                      </w:tcPr>
                      <w:p>
                        <w:pPr>
                          <w:pStyle w:val="TableParagraph"/>
                          <w:spacing w:line="219" w:lineRule="exact"/>
                          <w:ind w:right="114"/>
                          <w:rPr>
                            <w:sz w:val="20"/>
                          </w:rPr>
                        </w:pPr>
                        <w:r>
                          <w:rPr>
                            <w:color w:val="231F20"/>
                            <w:sz w:val="20"/>
                          </w:rPr>
                          <w:t>2,383</w:t>
                        </w:r>
                      </w:p>
                    </w:tc>
                  </w:tr>
                  <w:tr>
                    <w:trPr>
                      <w:trHeight w:val="220" w:hRule="exact"/>
                    </w:trPr>
                    <w:tc>
                      <w:tcPr>
                        <w:tcW w:w="6601" w:type="dxa"/>
                      </w:tcPr>
                      <w:p>
                        <w:pPr>
                          <w:pStyle w:val="TableParagraph"/>
                          <w:spacing w:line="219" w:lineRule="exact"/>
                          <w:ind w:right="74"/>
                          <w:rPr>
                            <w:sz w:val="20"/>
                          </w:rPr>
                        </w:pPr>
                        <w:r>
                          <w:rPr>
                            <w:color w:val="231F20"/>
                            <w:sz w:val="20"/>
                          </w:rPr>
                          <w:t>Deposits on flight equipment purchase contracts  . . . . . . . . . . . . . . . . . . . . . . . . </w:t>
                        </w:r>
                      </w:p>
                    </w:tc>
                    <w:tc>
                      <w:tcPr>
                        <w:tcW w:w="1242" w:type="dxa"/>
                      </w:tcPr>
                      <w:p>
                        <w:pPr>
                          <w:pStyle w:val="TableParagraph"/>
                          <w:spacing w:line="219" w:lineRule="exact"/>
                          <w:ind w:right="59"/>
                          <w:rPr>
                            <w:sz w:val="20"/>
                          </w:rPr>
                        </w:pPr>
                        <w:r>
                          <w:rPr>
                            <w:color w:val="231F20"/>
                            <w:sz w:val="20"/>
                          </w:rPr>
                          <w:t>764</w:t>
                        </w:r>
                      </w:p>
                    </w:tc>
                    <w:tc>
                      <w:tcPr>
                        <w:tcW w:w="160" w:type="dxa"/>
                        <w:gridSpan w:val="2"/>
                      </w:tcPr>
                      <w:p>
                        <w:pPr/>
                      </w:p>
                    </w:tc>
                    <w:tc>
                      <w:tcPr>
                        <w:tcW w:w="1223" w:type="dxa"/>
                      </w:tcPr>
                      <w:p>
                        <w:pPr>
                          <w:pStyle w:val="TableParagraph"/>
                          <w:spacing w:line="219" w:lineRule="exact"/>
                          <w:ind w:right="114"/>
                          <w:rPr>
                            <w:sz w:val="20"/>
                          </w:rPr>
                        </w:pPr>
                        <w:r>
                          <w:rPr>
                            <w:color w:val="231F20"/>
                            <w:sz w:val="20"/>
                          </w:rPr>
                          <w:t>416</w:t>
                        </w:r>
                      </w:p>
                    </w:tc>
                  </w:tr>
                  <w:tr>
                    <w:trPr>
                      <w:trHeight w:val="251" w:hRule="exact"/>
                    </w:trPr>
                    <w:tc>
                      <w:tcPr>
                        <w:tcW w:w="6601" w:type="dxa"/>
                      </w:tcPr>
                      <w:p>
                        <w:pPr>
                          <w:pStyle w:val="TableParagraph"/>
                          <w:spacing w:line="219" w:lineRule="exact"/>
                          <w:ind w:right="74"/>
                          <w:rPr>
                            <w:sz w:val="20"/>
                          </w:rPr>
                        </w:pPr>
                        <w:r>
                          <w:rPr>
                            <w:color w:val="231F20"/>
                            <w:sz w:val="20"/>
                          </w:rPr>
                          <w:t>Assets constructed for others . . . . . . . . . . . . . . . . . . . . . . . . . . . . . . . . . . . . . . . . </w:t>
                        </w:r>
                      </w:p>
                    </w:tc>
                    <w:tc>
                      <w:tcPr>
                        <w:tcW w:w="1242" w:type="dxa"/>
                        <w:tcBorders>
                          <w:bottom w:val="single" w:sz="4" w:space="0" w:color="231F20"/>
                        </w:tcBorders>
                      </w:tcPr>
                      <w:p>
                        <w:pPr>
                          <w:pStyle w:val="TableParagraph"/>
                          <w:spacing w:line="219" w:lineRule="exact"/>
                          <w:ind w:right="59"/>
                          <w:rPr>
                            <w:sz w:val="20"/>
                          </w:rPr>
                        </w:pPr>
                        <w:r>
                          <w:rPr>
                            <w:color w:val="231F20"/>
                            <w:sz w:val="20"/>
                          </w:rPr>
                          <w:t>453</w:t>
                        </w:r>
                      </w:p>
                    </w:tc>
                    <w:tc>
                      <w:tcPr>
                        <w:tcW w:w="160" w:type="dxa"/>
                        <w:gridSpan w:val="2"/>
                      </w:tcPr>
                      <w:p>
                        <w:pPr/>
                      </w:p>
                    </w:tc>
                    <w:tc>
                      <w:tcPr>
                        <w:tcW w:w="1223" w:type="dxa"/>
                        <w:tcBorders>
                          <w:bottom w:val="single" w:sz="4" w:space="0" w:color="231F20"/>
                        </w:tcBorders>
                      </w:tcPr>
                      <w:p>
                        <w:pPr>
                          <w:pStyle w:val="TableParagraph"/>
                          <w:spacing w:line="219" w:lineRule="exact"/>
                          <w:ind w:right="114"/>
                          <w:rPr>
                            <w:sz w:val="20"/>
                          </w:rPr>
                        </w:pPr>
                        <w:r>
                          <w:rPr>
                            <w:color w:val="231F20"/>
                            <w:sz w:val="20"/>
                          </w:rPr>
                          <w:t>331</w:t>
                        </w:r>
                      </w:p>
                    </w:tc>
                  </w:tr>
                  <w:tr>
                    <w:trPr>
                      <w:trHeight w:val="269" w:hRule="exact"/>
                    </w:trPr>
                    <w:tc>
                      <w:tcPr>
                        <w:tcW w:w="6601" w:type="dxa"/>
                      </w:tcPr>
                      <w:p>
                        <w:pPr/>
                      </w:p>
                    </w:tc>
                    <w:tc>
                      <w:tcPr>
                        <w:tcW w:w="1242" w:type="dxa"/>
                        <w:tcBorders>
                          <w:top w:val="single" w:sz="4" w:space="0" w:color="231F20"/>
                        </w:tcBorders>
                      </w:tcPr>
                      <w:p>
                        <w:pPr>
                          <w:pStyle w:val="TableParagraph"/>
                          <w:spacing w:before="33"/>
                          <w:ind w:right="58"/>
                          <w:rPr>
                            <w:sz w:val="20"/>
                          </w:rPr>
                        </w:pPr>
                        <w:r>
                          <w:rPr>
                            <w:color w:val="231F20"/>
                            <w:sz w:val="20"/>
                          </w:rPr>
                          <w:t>20,820</w:t>
                        </w:r>
                      </w:p>
                    </w:tc>
                    <w:tc>
                      <w:tcPr>
                        <w:tcW w:w="160" w:type="dxa"/>
                        <w:gridSpan w:val="2"/>
                      </w:tcPr>
                      <w:p>
                        <w:pPr/>
                      </w:p>
                    </w:tc>
                    <w:tc>
                      <w:tcPr>
                        <w:tcW w:w="1223" w:type="dxa"/>
                        <w:tcBorders>
                          <w:top w:val="single" w:sz="4" w:space="0" w:color="231F20"/>
                        </w:tcBorders>
                      </w:tcPr>
                      <w:p>
                        <w:pPr>
                          <w:pStyle w:val="TableParagraph"/>
                          <w:spacing w:before="33"/>
                          <w:ind w:right="114"/>
                          <w:rPr>
                            <w:sz w:val="20"/>
                          </w:rPr>
                        </w:pPr>
                        <w:r>
                          <w:rPr>
                            <w:color w:val="231F20"/>
                            <w:sz w:val="20"/>
                          </w:rPr>
                          <w:t>19,497</w:t>
                        </w:r>
                      </w:p>
                    </w:tc>
                  </w:tr>
                  <w:tr>
                    <w:trPr>
                      <w:trHeight w:val="251" w:hRule="exact"/>
                    </w:trPr>
                    <w:tc>
                      <w:tcPr>
                        <w:tcW w:w="6601" w:type="dxa"/>
                      </w:tcPr>
                      <w:p>
                        <w:pPr>
                          <w:pStyle w:val="TableParagraph"/>
                          <w:spacing w:line="219" w:lineRule="exact"/>
                          <w:ind w:right="73"/>
                          <w:rPr>
                            <w:sz w:val="20"/>
                          </w:rPr>
                        </w:pPr>
                        <w:r>
                          <w:rPr>
                            <w:color w:val="231F20"/>
                            <w:sz w:val="20"/>
                          </w:rPr>
                          <w:t>Less allowance for depreciation and amortization  . . . . . . . . . . . . . . . . . . . . . . . </w:t>
                        </w:r>
                      </w:p>
                    </w:tc>
                    <w:tc>
                      <w:tcPr>
                        <w:tcW w:w="1242" w:type="dxa"/>
                        <w:tcBorders>
                          <w:bottom w:val="single" w:sz="4" w:space="0" w:color="231F20"/>
                        </w:tcBorders>
                      </w:tcPr>
                      <w:p>
                        <w:pPr>
                          <w:pStyle w:val="TableParagraph"/>
                          <w:spacing w:line="219" w:lineRule="exact"/>
                          <w:ind w:right="58"/>
                          <w:rPr>
                            <w:sz w:val="20"/>
                          </w:rPr>
                        </w:pPr>
                        <w:r>
                          <w:rPr>
                            <w:color w:val="231F20"/>
                            <w:sz w:val="20"/>
                          </w:rPr>
                          <w:t>7,431</w:t>
                        </w:r>
                      </w:p>
                    </w:tc>
                    <w:tc>
                      <w:tcPr>
                        <w:tcW w:w="160" w:type="dxa"/>
                        <w:gridSpan w:val="2"/>
                      </w:tcPr>
                      <w:p>
                        <w:pPr/>
                      </w:p>
                    </w:tc>
                    <w:tc>
                      <w:tcPr>
                        <w:tcW w:w="1223" w:type="dxa"/>
                        <w:tcBorders>
                          <w:bottom w:val="single" w:sz="4" w:space="0" w:color="231F20"/>
                        </w:tcBorders>
                      </w:tcPr>
                      <w:p>
                        <w:pPr>
                          <w:pStyle w:val="TableParagraph"/>
                          <w:spacing w:line="219" w:lineRule="exact"/>
                          <w:ind w:right="114"/>
                          <w:rPr>
                            <w:sz w:val="20"/>
                          </w:rPr>
                        </w:pPr>
                        <w:r>
                          <w:rPr>
                            <w:color w:val="231F20"/>
                            <w:sz w:val="20"/>
                          </w:rPr>
                          <w:t>6,731</w:t>
                        </w:r>
                      </w:p>
                    </w:tc>
                  </w:tr>
                  <w:tr>
                    <w:trPr>
                      <w:trHeight w:val="269" w:hRule="exact"/>
                    </w:trPr>
                    <w:tc>
                      <w:tcPr>
                        <w:tcW w:w="6601" w:type="dxa"/>
                      </w:tcPr>
                      <w:p>
                        <w:pPr/>
                      </w:p>
                    </w:tc>
                    <w:tc>
                      <w:tcPr>
                        <w:tcW w:w="1242" w:type="dxa"/>
                        <w:tcBorders>
                          <w:top w:val="single" w:sz="4" w:space="0" w:color="231F20"/>
                        </w:tcBorders>
                      </w:tcPr>
                      <w:p>
                        <w:pPr>
                          <w:pStyle w:val="TableParagraph"/>
                          <w:spacing w:before="33"/>
                          <w:ind w:right="58"/>
                          <w:rPr>
                            <w:sz w:val="20"/>
                          </w:rPr>
                        </w:pPr>
                        <w:r>
                          <w:rPr>
                            <w:color w:val="231F20"/>
                            <w:sz w:val="20"/>
                          </w:rPr>
                          <w:t>13,389</w:t>
                        </w:r>
                      </w:p>
                    </w:tc>
                    <w:tc>
                      <w:tcPr>
                        <w:tcW w:w="160" w:type="dxa"/>
                        <w:gridSpan w:val="2"/>
                      </w:tcPr>
                      <w:p>
                        <w:pPr/>
                      </w:p>
                    </w:tc>
                    <w:tc>
                      <w:tcPr>
                        <w:tcW w:w="1223" w:type="dxa"/>
                        <w:tcBorders>
                          <w:top w:val="single" w:sz="4" w:space="0" w:color="231F20"/>
                        </w:tcBorders>
                      </w:tcPr>
                      <w:p>
                        <w:pPr>
                          <w:pStyle w:val="TableParagraph"/>
                          <w:spacing w:before="33"/>
                          <w:ind w:right="114"/>
                          <w:rPr>
                            <w:sz w:val="20"/>
                          </w:rPr>
                        </w:pPr>
                        <w:r>
                          <w:rPr>
                            <w:color w:val="231F20"/>
                            <w:sz w:val="20"/>
                          </w:rPr>
                          <w:t>12,766</w:t>
                        </w:r>
                      </w:p>
                    </w:tc>
                  </w:tr>
                  <w:tr>
                    <w:trPr>
                      <w:trHeight w:val="220" w:hRule="exact"/>
                    </w:trPr>
                    <w:tc>
                      <w:tcPr>
                        <w:tcW w:w="6601" w:type="dxa"/>
                      </w:tcPr>
                      <w:p>
                        <w:pPr>
                          <w:pStyle w:val="TableParagraph"/>
                          <w:spacing w:line="219" w:lineRule="exact"/>
                          <w:ind w:left="50"/>
                          <w:jc w:val="left"/>
                          <w:rPr>
                            <w:sz w:val="20"/>
                          </w:rPr>
                        </w:pPr>
                        <w:r>
                          <w:rPr>
                            <w:color w:val="231F20"/>
                            <w:sz w:val="20"/>
                          </w:rPr>
                          <w:t>Goodwill  . . . . . . . . . . . . . . . . . . . . . . . . . . . . . . . . . . . . . . . . . . . . . . . . . . . . . . . . </w:t>
                        </w:r>
                      </w:p>
                    </w:tc>
                    <w:tc>
                      <w:tcPr>
                        <w:tcW w:w="1242" w:type="dxa"/>
                      </w:tcPr>
                      <w:p>
                        <w:pPr>
                          <w:pStyle w:val="TableParagraph"/>
                          <w:spacing w:line="219" w:lineRule="exact"/>
                          <w:ind w:right="59"/>
                          <w:rPr>
                            <w:sz w:val="20"/>
                          </w:rPr>
                        </w:pPr>
                        <w:r>
                          <w:rPr>
                            <w:color w:val="231F20"/>
                            <w:sz w:val="20"/>
                          </w:rPr>
                          <w:t>970</w:t>
                        </w:r>
                      </w:p>
                    </w:tc>
                    <w:tc>
                      <w:tcPr>
                        <w:tcW w:w="160" w:type="dxa"/>
                        <w:gridSpan w:val="2"/>
                      </w:tcPr>
                      <w:p>
                        <w:pPr/>
                      </w:p>
                    </w:tc>
                    <w:tc>
                      <w:tcPr>
                        <w:tcW w:w="1223" w:type="dxa"/>
                      </w:tcPr>
                      <w:p>
                        <w:pPr>
                          <w:pStyle w:val="TableParagraph"/>
                          <w:spacing w:line="219" w:lineRule="exact"/>
                          <w:ind w:right="114"/>
                          <w:rPr>
                            <w:sz w:val="20"/>
                          </w:rPr>
                        </w:pPr>
                        <w:r>
                          <w:rPr>
                            <w:color w:val="231F20"/>
                            <w:sz w:val="20"/>
                          </w:rPr>
                          <w:t>970</w:t>
                        </w:r>
                      </w:p>
                    </w:tc>
                  </w:tr>
                  <w:tr>
                    <w:trPr>
                      <w:trHeight w:val="251" w:hRule="exact"/>
                    </w:trPr>
                    <w:tc>
                      <w:tcPr>
                        <w:tcW w:w="6601" w:type="dxa"/>
                      </w:tcPr>
                      <w:p>
                        <w:pPr>
                          <w:pStyle w:val="TableParagraph"/>
                          <w:spacing w:line="219" w:lineRule="exact"/>
                          <w:ind w:left="50"/>
                          <w:jc w:val="left"/>
                          <w:rPr>
                            <w:sz w:val="20"/>
                          </w:rPr>
                        </w:pPr>
                        <w:r>
                          <w:rPr>
                            <w:color w:val="231F20"/>
                            <w:sz w:val="20"/>
                          </w:rPr>
                          <w:t>Other assets  . . . . . . . . . . . . . . . . . . . . . . . . . . . . . . . . . . . . . . . . . . . . . . . . . . . . . . </w:t>
                        </w:r>
                      </w:p>
                    </w:tc>
                    <w:tc>
                      <w:tcPr>
                        <w:tcW w:w="1242" w:type="dxa"/>
                        <w:tcBorders>
                          <w:bottom w:val="single" w:sz="4" w:space="0" w:color="231F20"/>
                        </w:tcBorders>
                      </w:tcPr>
                      <w:p>
                        <w:pPr>
                          <w:pStyle w:val="TableParagraph"/>
                          <w:spacing w:line="219" w:lineRule="exact"/>
                          <w:ind w:right="59"/>
                          <w:rPr>
                            <w:sz w:val="20"/>
                          </w:rPr>
                        </w:pPr>
                        <w:r>
                          <w:rPr>
                            <w:color w:val="231F20"/>
                            <w:sz w:val="20"/>
                          </w:rPr>
                          <w:t>530</w:t>
                        </w:r>
                      </w:p>
                    </w:tc>
                    <w:tc>
                      <w:tcPr>
                        <w:tcW w:w="160" w:type="dxa"/>
                        <w:gridSpan w:val="2"/>
                      </w:tcPr>
                      <w:p>
                        <w:pPr/>
                      </w:p>
                    </w:tc>
                    <w:tc>
                      <w:tcPr>
                        <w:tcW w:w="1223" w:type="dxa"/>
                        <w:tcBorders>
                          <w:bottom w:val="single" w:sz="4" w:space="0" w:color="231F20"/>
                        </w:tcBorders>
                      </w:tcPr>
                      <w:p>
                        <w:pPr>
                          <w:pStyle w:val="TableParagraph"/>
                          <w:spacing w:line="219" w:lineRule="exact"/>
                          <w:ind w:right="114"/>
                          <w:rPr>
                            <w:sz w:val="20"/>
                          </w:rPr>
                        </w:pPr>
                        <w:r>
                          <w:rPr>
                            <w:color w:val="231F20"/>
                            <w:sz w:val="20"/>
                          </w:rPr>
                          <w:t>633</w:t>
                        </w:r>
                      </w:p>
                    </w:tc>
                  </w:tr>
                  <w:tr>
                    <w:trPr>
                      <w:trHeight w:val="340" w:hRule="exact"/>
                    </w:trPr>
                    <w:tc>
                      <w:tcPr>
                        <w:tcW w:w="6601" w:type="dxa"/>
                      </w:tcPr>
                      <w:p>
                        <w:pPr/>
                      </w:p>
                    </w:tc>
                    <w:tc>
                      <w:tcPr>
                        <w:tcW w:w="1242" w:type="dxa"/>
                        <w:tcBorders>
                          <w:top w:val="single" w:sz="4" w:space="0" w:color="231F20"/>
                          <w:bottom w:val="single" w:sz="4" w:space="0" w:color="231F20"/>
                        </w:tcBorders>
                      </w:tcPr>
                      <w:p>
                        <w:pPr>
                          <w:pStyle w:val="TableParagraph"/>
                          <w:tabs>
                            <w:tab w:pos="556" w:val="left" w:leader="none"/>
                          </w:tabs>
                          <w:spacing w:before="33"/>
                          <w:ind w:right="58"/>
                          <w:rPr>
                            <w:sz w:val="20"/>
                          </w:rPr>
                        </w:pPr>
                        <w:r>
                          <w:rPr>
                            <w:color w:val="231F20"/>
                            <w:sz w:val="20"/>
                          </w:rPr>
                          <w:t>$</w:t>
                          <w:tab/>
                          <w:t>19,345</w:t>
                        </w:r>
                      </w:p>
                    </w:tc>
                    <w:tc>
                      <w:tcPr>
                        <w:tcW w:w="160" w:type="dxa"/>
                        <w:gridSpan w:val="2"/>
                      </w:tcPr>
                      <w:p>
                        <w:pPr/>
                      </w:p>
                    </w:tc>
                    <w:tc>
                      <w:tcPr>
                        <w:tcW w:w="1223" w:type="dxa"/>
                        <w:tcBorders>
                          <w:top w:val="single" w:sz="4" w:space="0" w:color="231F20"/>
                          <w:bottom w:val="single" w:sz="4" w:space="0" w:color="231F20"/>
                        </w:tcBorders>
                      </w:tcPr>
                      <w:p>
                        <w:pPr>
                          <w:pStyle w:val="TableParagraph"/>
                          <w:tabs>
                            <w:tab w:pos="556" w:val="left" w:leader="none"/>
                          </w:tabs>
                          <w:spacing w:before="33"/>
                          <w:ind w:right="114"/>
                          <w:rPr>
                            <w:sz w:val="20"/>
                          </w:rPr>
                        </w:pPr>
                        <w:r>
                          <w:rPr>
                            <w:color w:val="231F20"/>
                            <w:sz w:val="20"/>
                          </w:rPr>
                          <w:t>$</w:t>
                          <w:tab/>
                          <w:t>18,596</w:t>
                        </w:r>
                      </w:p>
                    </w:tc>
                  </w:tr>
                  <w:tr>
                    <w:trPr>
                      <w:trHeight w:val="709" w:hRule="exact"/>
                    </w:trPr>
                    <w:tc>
                      <w:tcPr>
                        <w:tcW w:w="6601" w:type="dxa"/>
                      </w:tcPr>
                      <w:p>
                        <w:pPr>
                          <w:pStyle w:val="TableParagraph"/>
                          <w:spacing w:line="225" w:lineRule="exact" w:before="38"/>
                          <w:ind w:left="50"/>
                          <w:jc w:val="left"/>
                          <w:rPr>
                            <w:b/>
                            <w:sz w:val="20"/>
                          </w:rPr>
                        </w:pPr>
                        <w:r>
                          <w:rPr>
                            <w:b/>
                            <w:color w:val="231F20"/>
                            <w:sz w:val="20"/>
                          </w:rPr>
                          <w:t>LIABILITIES AND STOCKHOLDERS’ EQUITY</w:t>
                        </w:r>
                      </w:p>
                      <w:p>
                        <w:pPr>
                          <w:pStyle w:val="TableParagraph"/>
                          <w:spacing w:line="220" w:lineRule="exact"/>
                          <w:ind w:left="50"/>
                          <w:jc w:val="left"/>
                          <w:rPr>
                            <w:sz w:val="20"/>
                          </w:rPr>
                        </w:pPr>
                        <w:r>
                          <w:rPr>
                            <w:color w:val="231F20"/>
                            <w:sz w:val="20"/>
                          </w:rPr>
                          <w:t>Current liabilities:</w:t>
                        </w:r>
                      </w:p>
                      <w:p>
                        <w:pPr>
                          <w:pStyle w:val="TableParagraph"/>
                          <w:spacing w:line="225" w:lineRule="exact"/>
                          <w:ind w:left="150"/>
                          <w:jc w:val="left"/>
                          <w:rPr>
                            <w:sz w:val="20"/>
                          </w:rPr>
                        </w:pPr>
                        <w:r>
                          <w:rPr>
                            <w:color w:val="231F20"/>
                            <w:sz w:val="20"/>
                          </w:rPr>
                          <w:t>Accounts payable   . . . . . . . . . . . . . . . . . . . . . . . . . . . . . . . . . . . . . . . . . . . . . . . . </w:t>
                        </w:r>
                      </w:p>
                    </w:tc>
                    <w:tc>
                      <w:tcPr>
                        <w:tcW w:w="1242" w:type="dxa"/>
                        <w:tcBorders>
                          <w:top w:val="single" w:sz="4" w:space="0" w:color="231F20"/>
                        </w:tcBorders>
                      </w:tcPr>
                      <w:p>
                        <w:pPr>
                          <w:pStyle w:val="TableParagraph"/>
                          <w:jc w:val="left"/>
                          <w:rPr>
                            <w:sz w:val="22"/>
                          </w:rPr>
                        </w:pPr>
                      </w:p>
                      <w:p>
                        <w:pPr>
                          <w:pStyle w:val="TableParagraph"/>
                          <w:spacing w:before="1"/>
                          <w:jc w:val="left"/>
                          <w:rPr>
                            <w:sz w:val="19"/>
                          </w:rPr>
                        </w:pPr>
                      </w:p>
                      <w:p>
                        <w:pPr>
                          <w:pStyle w:val="TableParagraph"/>
                          <w:tabs>
                            <w:tab w:pos="656" w:val="left" w:leader="none"/>
                          </w:tabs>
                          <w:spacing w:before="1"/>
                          <w:ind w:right="58"/>
                          <w:rPr>
                            <w:sz w:val="20"/>
                          </w:rPr>
                        </w:pPr>
                        <w:r>
                          <w:rPr>
                            <w:color w:val="231F20"/>
                            <w:sz w:val="20"/>
                          </w:rPr>
                          <w:t>$</w:t>
                          <w:tab/>
                          <w:t>1,247</w:t>
                        </w:r>
                      </w:p>
                    </w:tc>
                    <w:tc>
                      <w:tcPr>
                        <w:tcW w:w="160" w:type="dxa"/>
                        <w:gridSpan w:val="2"/>
                      </w:tcPr>
                      <w:p>
                        <w:pPr/>
                      </w:p>
                    </w:tc>
                    <w:tc>
                      <w:tcPr>
                        <w:tcW w:w="1223" w:type="dxa"/>
                        <w:tcBorders>
                          <w:top w:val="single" w:sz="4" w:space="0" w:color="231F20"/>
                        </w:tcBorders>
                      </w:tcPr>
                      <w:p>
                        <w:pPr>
                          <w:pStyle w:val="TableParagraph"/>
                          <w:jc w:val="left"/>
                          <w:rPr>
                            <w:sz w:val="22"/>
                          </w:rPr>
                        </w:pPr>
                      </w:p>
                      <w:p>
                        <w:pPr>
                          <w:pStyle w:val="TableParagraph"/>
                          <w:spacing w:before="1"/>
                          <w:jc w:val="left"/>
                          <w:rPr>
                            <w:sz w:val="19"/>
                          </w:rPr>
                        </w:pPr>
                      </w:p>
                      <w:p>
                        <w:pPr>
                          <w:pStyle w:val="TableParagraph"/>
                          <w:tabs>
                            <w:tab w:pos="656" w:val="left" w:leader="none"/>
                          </w:tabs>
                          <w:spacing w:before="1"/>
                          <w:ind w:right="114"/>
                          <w:rPr>
                            <w:sz w:val="20"/>
                          </w:rPr>
                        </w:pPr>
                        <w:r>
                          <w:rPr>
                            <w:color w:val="231F20"/>
                            <w:sz w:val="20"/>
                          </w:rPr>
                          <w:t>$</w:t>
                          <w:tab/>
                          <w:t>1,107</w:t>
                        </w:r>
                      </w:p>
                    </w:tc>
                  </w:tr>
                  <w:tr>
                    <w:trPr>
                      <w:trHeight w:val="220" w:hRule="exact"/>
                    </w:trPr>
                    <w:tc>
                      <w:tcPr>
                        <w:tcW w:w="6601" w:type="dxa"/>
                      </w:tcPr>
                      <w:p>
                        <w:pPr>
                          <w:pStyle w:val="TableParagraph"/>
                          <w:spacing w:line="219" w:lineRule="exact"/>
                          <w:ind w:right="74"/>
                          <w:rPr>
                            <w:sz w:val="20"/>
                          </w:rPr>
                        </w:pPr>
                        <w:r>
                          <w:rPr>
                            <w:color w:val="231F20"/>
                            <w:sz w:val="20"/>
                          </w:rPr>
                          <w:t>Accrued liabilities  . . . . . . . . . . . . . . . . . . . . . . . . . . . . . . . . . . . . . . . . . . . . . . . . </w:t>
                        </w:r>
                      </w:p>
                    </w:tc>
                    <w:tc>
                      <w:tcPr>
                        <w:tcW w:w="1242" w:type="dxa"/>
                      </w:tcPr>
                      <w:p>
                        <w:pPr>
                          <w:pStyle w:val="TableParagraph"/>
                          <w:spacing w:line="219" w:lineRule="exact"/>
                          <w:ind w:right="58"/>
                          <w:rPr>
                            <w:sz w:val="20"/>
                          </w:rPr>
                        </w:pPr>
                        <w:r>
                          <w:rPr>
                            <w:color w:val="231F20"/>
                            <w:sz w:val="20"/>
                          </w:rPr>
                          <w:t>1,229</w:t>
                        </w:r>
                      </w:p>
                    </w:tc>
                    <w:tc>
                      <w:tcPr>
                        <w:tcW w:w="160" w:type="dxa"/>
                        <w:gridSpan w:val="2"/>
                      </w:tcPr>
                      <w:p>
                        <w:pPr/>
                      </w:p>
                    </w:tc>
                    <w:tc>
                      <w:tcPr>
                        <w:tcW w:w="1223" w:type="dxa"/>
                      </w:tcPr>
                      <w:p>
                        <w:pPr>
                          <w:pStyle w:val="TableParagraph"/>
                          <w:spacing w:line="219" w:lineRule="exact"/>
                          <w:ind w:right="114"/>
                          <w:rPr>
                            <w:sz w:val="20"/>
                          </w:rPr>
                        </w:pPr>
                        <w:r>
                          <w:rPr>
                            <w:color w:val="231F20"/>
                            <w:sz w:val="20"/>
                          </w:rPr>
                          <w:t>1,102</w:t>
                        </w:r>
                      </w:p>
                    </w:tc>
                  </w:tr>
                  <w:tr>
                    <w:trPr>
                      <w:trHeight w:val="220" w:hRule="exact"/>
                    </w:trPr>
                    <w:tc>
                      <w:tcPr>
                        <w:tcW w:w="6601" w:type="dxa"/>
                      </w:tcPr>
                      <w:p>
                        <w:pPr>
                          <w:pStyle w:val="TableParagraph"/>
                          <w:spacing w:line="219" w:lineRule="exact"/>
                          <w:ind w:right="74"/>
                          <w:rPr>
                            <w:sz w:val="20"/>
                          </w:rPr>
                        </w:pPr>
                        <w:r>
                          <w:rPr>
                            <w:color w:val="231F20"/>
                            <w:sz w:val="20"/>
                          </w:rPr>
                          <w:t>Air traffic liability  . . . . . . . . . . . . . . . . . . . . . . . . . . . . . . . . . . . . . . . . . . . . . . . . </w:t>
                        </w:r>
                      </w:p>
                    </w:tc>
                    <w:tc>
                      <w:tcPr>
                        <w:tcW w:w="1242" w:type="dxa"/>
                      </w:tcPr>
                      <w:p>
                        <w:pPr>
                          <w:pStyle w:val="TableParagraph"/>
                          <w:spacing w:line="219" w:lineRule="exact"/>
                          <w:ind w:right="58"/>
                          <w:rPr>
                            <w:sz w:val="20"/>
                          </w:rPr>
                        </w:pPr>
                        <w:r>
                          <w:rPr>
                            <w:color w:val="231F20"/>
                            <w:sz w:val="20"/>
                          </w:rPr>
                          <w:t>2,571</w:t>
                        </w:r>
                      </w:p>
                    </w:tc>
                    <w:tc>
                      <w:tcPr>
                        <w:tcW w:w="160" w:type="dxa"/>
                        <w:gridSpan w:val="2"/>
                      </w:tcPr>
                      <w:p>
                        <w:pPr/>
                      </w:p>
                    </w:tc>
                    <w:tc>
                      <w:tcPr>
                        <w:tcW w:w="1223" w:type="dxa"/>
                      </w:tcPr>
                      <w:p>
                        <w:pPr>
                          <w:pStyle w:val="TableParagraph"/>
                          <w:spacing w:line="219" w:lineRule="exact"/>
                          <w:ind w:right="114"/>
                          <w:rPr>
                            <w:sz w:val="20"/>
                          </w:rPr>
                        </w:pPr>
                        <w:r>
                          <w:rPr>
                            <w:color w:val="231F20"/>
                            <w:sz w:val="20"/>
                          </w:rPr>
                          <w:t>2,170</w:t>
                        </w:r>
                      </w:p>
                    </w:tc>
                  </w:tr>
                  <w:tr>
                    <w:trPr>
                      <w:trHeight w:val="251" w:hRule="exact"/>
                    </w:trPr>
                    <w:tc>
                      <w:tcPr>
                        <w:tcW w:w="6601" w:type="dxa"/>
                      </w:tcPr>
                      <w:p>
                        <w:pPr>
                          <w:pStyle w:val="TableParagraph"/>
                          <w:spacing w:line="219" w:lineRule="exact"/>
                          <w:ind w:right="74"/>
                          <w:rPr>
                            <w:sz w:val="20"/>
                          </w:rPr>
                        </w:pPr>
                        <w:r>
                          <w:rPr>
                            <w:color w:val="231F20"/>
                            <w:sz w:val="20"/>
                          </w:rPr>
                          <w:t>Current maturities of long-term debt . . . . . . . . . . . . . . . . . . . . . . . . . . . . . . . . . . </w:t>
                        </w:r>
                      </w:p>
                    </w:tc>
                    <w:tc>
                      <w:tcPr>
                        <w:tcW w:w="1242" w:type="dxa"/>
                        <w:tcBorders>
                          <w:bottom w:val="single" w:sz="4" w:space="0" w:color="231F20"/>
                        </w:tcBorders>
                      </w:tcPr>
                      <w:p>
                        <w:pPr>
                          <w:pStyle w:val="TableParagraph"/>
                          <w:spacing w:line="219" w:lineRule="exact"/>
                          <w:ind w:right="59"/>
                          <w:rPr>
                            <w:sz w:val="20"/>
                          </w:rPr>
                        </w:pPr>
                        <w:r>
                          <w:rPr>
                            <w:color w:val="231F20"/>
                            <w:sz w:val="20"/>
                          </w:rPr>
                          <w:t>629</w:t>
                        </w:r>
                      </w:p>
                    </w:tc>
                    <w:tc>
                      <w:tcPr>
                        <w:tcW w:w="160" w:type="dxa"/>
                        <w:gridSpan w:val="2"/>
                      </w:tcPr>
                      <w:p>
                        <w:pPr/>
                      </w:p>
                    </w:tc>
                    <w:tc>
                      <w:tcPr>
                        <w:tcW w:w="1223" w:type="dxa"/>
                        <w:tcBorders>
                          <w:bottom w:val="single" w:sz="4" w:space="0" w:color="231F20"/>
                        </w:tcBorders>
                      </w:tcPr>
                      <w:p>
                        <w:pPr>
                          <w:pStyle w:val="TableParagraph"/>
                          <w:spacing w:line="219" w:lineRule="exact"/>
                          <w:ind w:right="114"/>
                          <w:rPr>
                            <w:sz w:val="20"/>
                          </w:rPr>
                        </w:pPr>
                        <w:r>
                          <w:rPr>
                            <w:color w:val="231F20"/>
                            <w:sz w:val="20"/>
                          </w:rPr>
                          <w:t>271</w:t>
                        </w:r>
                      </w:p>
                    </w:tc>
                  </w:tr>
                  <w:tr>
                    <w:trPr>
                      <w:trHeight w:val="330" w:hRule="exact"/>
                    </w:trPr>
                    <w:tc>
                      <w:tcPr>
                        <w:tcW w:w="6601" w:type="dxa"/>
                      </w:tcPr>
                      <w:p>
                        <w:pPr>
                          <w:pStyle w:val="TableParagraph"/>
                          <w:spacing w:before="38"/>
                          <w:ind w:right="74"/>
                          <w:rPr>
                            <w:sz w:val="20"/>
                          </w:rPr>
                        </w:pPr>
                        <w:r>
                          <w:rPr>
                            <w:color w:val="231F20"/>
                            <w:sz w:val="20"/>
                          </w:rPr>
                          <w:t>Total current liabilities   . . . . . . . . . . . . . . . . . . . . . . . . . . . . . . . . . . . . . . . . . . . </w:t>
                        </w:r>
                      </w:p>
                    </w:tc>
                    <w:tc>
                      <w:tcPr>
                        <w:tcW w:w="1242" w:type="dxa"/>
                        <w:tcBorders>
                          <w:top w:val="single" w:sz="4" w:space="0" w:color="231F20"/>
                        </w:tcBorders>
                      </w:tcPr>
                      <w:p>
                        <w:pPr>
                          <w:pStyle w:val="TableParagraph"/>
                          <w:spacing w:before="33"/>
                          <w:ind w:right="58"/>
                          <w:rPr>
                            <w:sz w:val="20"/>
                          </w:rPr>
                        </w:pPr>
                        <w:r>
                          <w:rPr>
                            <w:color w:val="231F20"/>
                            <w:sz w:val="20"/>
                          </w:rPr>
                          <w:t>5,676</w:t>
                        </w:r>
                      </w:p>
                    </w:tc>
                    <w:tc>
                      <w:tcPr>
                        <w:tcW w:w="160" w:type="dxa"/>
                        <w:gridSpan w:val="2"/>
                      </w:tcPr>
                      <w:p>
                        <w:pPr/>
                      </w:p>
                    </w:tc>
                    <w:tc>
                      <w:tcPr>
                        <w:tcW w:w="1223" w:type="dxa"/>
                        <w:tcBorders>
                          <w:top w:val="single" w:sz="4" w:space="0" w:color="231F20"/>
                        </w:tcBorders>
                      </w:tcPr>
                      <w:p>
                        <w:pPr>
                          <w:pStyle w:val="TableParagraph"/>
                          <w:spacing w:before="33"/>
                          <w:ind w:right="114"/>
                          <w:rPr>
                            <w:sz w:val="20"/>
                          </w:rPr>
                        </w:pPr>
                        <w:r>
                          <w:rPr>
                            <w:color w:val="231F20"/>
                            <w:sz w:val="20"/>
                          </w:rPr>
                          <w:t>4,650</w:t>
                        </w:r>
                      </w:p>
                    </w:tc>
                  </w:tr>
                  <w:tr>
                    <w:trPr>
                      <w:trHeight w:val="281" w:hRule="exact"/>
                    </w:trPr>
                    <w:tc>
                      <w:tcPr>
                        <w:tcW w:w="6601" w:type="dxa"/>
                      </w:tcPr>
                      <w:p>
                        <w:pPr>
                          <w:pStyle w:val="TableParagraph"/>
                          <w:spacing w:before="50"/>
                          <w:ind w:left="50"/>
                          <w:jc w:val="left"/>
                          <w:rPr>
                            <w:sz w:val="20"/>
                          </w:rPr>
                        </w:pPr>
                        <w:r>
                          <w:rPr>
                            <w:color w:val="231F20"/>
                            <w:sz w:val="20"/>
                          </w:rPr>
                          <w:t>Long-term debt less current maturities  . . . . . . . . . . . . . . . . . . . . . . . . . . . . . . . . . </w:t>
                        </w:r>
                      </w:p>
                    </w:tc>
                    <w:tc>
                      <w:tcPr>
                        <w:tcW w:w="1242" w:type="dxa"/>
                      </w:tcPr>
                      <w:p>
                        <w:pPr>
                          <w:pStyle w:val="TableParagraph"/>
                          <w:spacing w:before="50"/>
                          <w:ind w:right="58"/>
                          <w:rPr>
                            <w:sz w:val="20"/>
                          </w:rPr>
                        </w:pPr>
                        <w:r>
                          <w:rPr>
                            <w:color w:val="231F20"/>
                            <w:sz w:val="20"/>
                          </w:rPr>
                          <w:t>2,191</w:t>
                        </w:r>
                      </w:p>
                    </w:tc>
                    <w:tc>
                      <w:tcPr>
                        <w:tcW w:w="160" w:type="dxa"/>
                        <w:gridSpan w:val="2"/>
                      </w:tcPr>
                      <w:p>
                        <w:pPr/>
                      </w:p>
                    </w:tc>
                    <w:tc>
                      <w:tcPr>
                        <w:tcW w:w="1223" w:type="dxa"/>
                      </w:tcPr>
                      <w:p>
                        <w:pPr>
                          <w:pStyle w:val="TableParagraph"/>
                          <w:spacing w:before="50"/>
                          <w:ind w:right="114"/>
                          <w:rPr>
                            <w:sz w:val="20"/>
                          </w:rPr>
                        </w:pPr>
                        <w:r>
                          <w:rPr>
                            <w:color w:val="231F20"/>
                            <w:sz w:val="20"/>
                          </w:rPr>
                          <w:t>2,883</w:t>
                        </w:r>
                      </w:p>
                    </w:tc>
                  </w:tr>
                  <w:tr>
                    <w:trPr>
                      <w:trHeight w:val="220" w:hRule="exact"/>
                    </w:trPr>
                    <w:tc>
                      <w:tcPr>
                        <w:tcW w:w="6601" w:type="dxa"/>
                      </w:tcPr>
                      <w:p>
                        <w:pPr>
                          <w:pStyle w:val="TableParagraph"/>
                          <w:spacing w:line="219" w:lineRule="exact"/>
                          <w:ind w:left="50"/>
                          <w:jc w:val="left"/>
                          <w:rPr>
                            <w:sz w:val="20"/>
                          </w:rPr>
                        </w:pPr>
                        <w:r>
                          <w:rPr>
                            <w:color w:val="231F20"/>
                            <w:sz w:val="20"/>
                          </w:rPr>
                          <w:t>Deferred income taxes . . . . . . . . . . . . . . . . . . . . . . . . . . . . . . . . . . . . . . . . . . . . . . </w:t>
                        </w:r>
                      </w:p>
                    </w:tc>
                    <w:tc>
                      <w:tcPr>
                        <w:tcW w:w="1242" w:type="dxa"/>
                      </w:tcPr>
                      <w:p>
                        <w:pPr>
                          <w:pStyle w:val="TableParagraph"/>
                          <w:spacing w:line="219" w:lineRule="exact"/>
                          <w:ind w:right="58"/>
                          <w:rPr>
                            <w:sz w:val="20"/>
                          </w:rPr>
                        </w:pPr>
                        <w:r>
                          <w:rPr>
                            <w:color w:val="231F20"/>
                            <w:sz w:val="20"/>
                          </w:rPr>
                          <w:t>2,934</w:t>
                        </w:r>
                      </w:p>
                    </w:tc>
                    <w:tc>
                      <w:tcPr>
                        <w:tcW w:w="160" w:type="dxa"/>
                        <w:gridSpan w:val="2"/>
                      </w:tcPr>
                      <w:p>
                        <w:pPr/>
                      </w:p>
                    </w:tc>
                    <w:tc>
                      <w:tcPr>
                        <w:tcW w:w="1223" w:type="dxa"/>
                      </w:tcPr>
                      <w:p>
                        <w:pPr>
                          <w:pStyle w:val="TableParagraph"/>
                          <w:spacing w:line="219" w:lineRule="exact"/>
                          <w:ind w:right="114"/>
                          <w:rPr>
                            <w:sz w:val="20"/>
                          </w:rPr>
                        </w:pPr>
                        <w:r>
                          <w:rPr>
                            <w:color w:val="231F20"/>
                            <w:sz w:val="20"/>
                          </w:rPr>
                          <w:t>2,884</w:t>
                        </w:r>
                      </w:p>
                    </w:tc>
                  </w:tr>
                  <w:tr>
                    <w:trPr>
                      <w:trHeight w:val="220" w:hRule="exact"/>
                    </w:trPr>
                    <w:tc>
                      <w:tcPr>
                        <w:tcW w:w="6601" w:type="dxa"/>
                      </w:tcPr>
                      <w:p>
                        <w:pPr>
                          <w:pStyle w:val="TableParagraph"/>
                          <w:spacing w:line="219" w:lineRule="exact"/>
                          <w:ind w:left="50"/>
                          <w:jc w:val="left"/>
                          <w:rPr>
                            <w:sz w:val="20"/>
                          </w:rPr>
                        </w:pPr>
                        <w:r>
                          <w:rPr>
                            <w:color w:val="231F20"/>
                            <w:sz w:val="20"/>
                          </w:rPr>
                          <w:t>Construction obligation  . . . . . . . . . . . . . . . . . . . . . . . . . . . . . . . . . . . . . . . . . . . . . </w:t>
                        </w:r>
                      </w:p>
                    </w:tc>
                    <w:tc>
                      <w:tcPr>
                        <w:tcW w:w="1242" w:type="dxa"/>
                      </w:tcPr>
                      <w:p>
                        <w:pPr>
                          <w:pStyle w:val="TableParagraph"/>
                          <w:spacing w:line="219" w:lineRule="exact"/>
                          <w:ind w:right="59"/>
                          <w:rPr>
                            <w:sz w:val="20"/>
                          </w:rPr>
                        </w:pPr>
                        <w:r>
                          <w:rPr>
                            <w:color w:val="231F20"/>
                            <w:sz w:val="20"/>
                          </w:rPr>
                          <w:t>437</w:t>
                        </w:r>
                      </w:p>
                    </w:tc>
                    <w:tc>
                      <w:tcPr>
                        <w:tcW w:w="160" w:type="dxa"/>
                        <w:gridSpan w:val="2"/>
                      </w:tcPr>
                      <w:p>
                        <w:pPr/>
                      </w:p>
                    </w:tc>
                    <w:tc>
                      <w:tcPr>
                        <w:tcW w:w="1223" w:type="dxa"/>
                      </w:tcPr>
                      <w:p>
                        <w:pPr>
                          <w:pStyle w:val="TableParagraph"/>
                          <w:spacing w:line="219" w:lineRule="exact"/>
                          <w:ind w:right="114"/>
                          <w:rPr>
                            <w:sz w:val="20"/>
                          </w:rPr>
                        </w:pPr>
                        <w:r>
                          <w:rPr>
                            <w:color w:val="231F20"/>
                            <w:sz w:val="20"/>
                          </w:rPr>
                          <w:t>331</w:t>
                        </w:r>
                      </w:p>
                    </w:tc>
                  </w:tr>
                  <w:tr>
                    <w:trPr>
                      <w:trHeight w:val="550" w:hRule="exact"/>
                    </w:trPr>
                    <w:tc>
                      <w:tcPr>
                        <w:tcW w:w="6601" w:type="dxa"/>
                      </w:tcPr>
                      <w:p>
                        <w:pPr>
                          <w:pStyle w:val="TableParagraph"/>
                          <w:spacing w:line="220" w:lineRule="exact"/>
                          <w:ind w:left="50"/>
                          <w:jc w:val="left"/>
                          <w:rPr>
                            <w:sz w:val="20"/>
                          </w:rPr>
                        </w:pPr>
                        <w:r>
                          <w:rPr>
                            <w:color w:val="231F20"/>
                            <w:sz w:val="20"/>
                          </w:rPr>
                          <w:t>Other noncurrent liabilities . . . . . . . . . . . . . . . . . . . . . . . . . . . . . . . . . . . . . . . . . . Stockholders’ equity:</w:t>
                        </w:r>
                      </w:p>
                    </w:tc>
                    <w:tc>
                      <w:tcPr>
                        <w:tcW w:w="1242" w:type="dxa"/>
                      </w:tcPr>
                      <w:p>
                        <w:pPr>
                          <w:pStyle w:val="TableParagraph"/>
                          <w:spacing w:line="219" w:lineRule="exact"/>
                          <w:ind w:right="59"/>
                          <w:rPr>
                            <w:sz w:val="20"/>
                          </w:rPr>
                        </w:pPr>
                        <w:r>
                          <w:rPr>
                            <w:color w:val="231F20"/>
                            <w:sz w:val="20"/>
                          </w:rPr>
                          <w:t>771</w:t>
                        </w:r>
                      </w:p>
                    </w:tc>
                    <w:tc>
                      <w:tcPr>
                        <w:tcW w:w="160" w:type="dxa"/>
                        <w:gridSpan w:val="2"/>
                      </w:tcPr>
                      <w:p>
                        <w:pPr/>
                      </w:p>
                    </w:tc>
                    <w:tc>
                      <w:tcPr>
                        <w:tcW w:w="1223" w:type="dxa"/>
                      </w:tcPr>
                      <w:p>
                        <w:pPr>
                          <w:pStyle w:val="TableParagraph"/>
                          <w:spacing w:line="219" w:lineRule="exact"/>
                          <w:ind w:right="114"/>
                          <w:rPr>
                            <w:sz w:val="20"/>
                          </w:rPr>
                        </w:pPr>
                        <w:r>
                          <w:rPr>
                            <w:color w:val="231F20"/>
                            <w:sz w:val="20"/>
                          </w:rPr>
                          <w:t>856</w:t>
                        </w:r>
                      </w:p>
                    </w:tc>
                  </w:tr>
                  <w:tr>
                    <w:trPr>
                      <w:trHeight w:val="330" w:hRule="exact"/>
                    </w:trPr>
                    <w:tc>
                      <w:tcPr>
                        <w:tcW w:w="6601" w:type="dxa"/>
                      </w:tcPr>
                      <w:p>
                        <w:pPr>
                          <w:pStyle w:val="TableParagraph"/>
                          <w:spacing w:before="99"/>
                          <w:ind w:right="74"/>
                          <w:rPr>
                            <w:sz w:val="20"/>
                          </w:rPr>
                        </w:pPr>
                        <w:r>
                          <w:rPr>
                            <w:color w:val="231F20"/>
                            <w:sz w:val="20"/>
                          </w:rPr>
                          <w:t>807,611,634 shares issued in 2013 and 2012   . . . . . . . . . . . . . . . . . . . . . . . . . . </w:t>
                        </w:r>
                      </w:p>
                    </w:tc>
                    <w:tc>
                      <w:tcPr>
                        <w:tcW w:w="1322" w:type="dxa"/>
                        <w:gridSpan w:val="2"/>
                      </w:tcPr>
                      <w:p>
                        <w:pPr>
                          <w:pStyle w:val="TableParagraph"/>
                          <w:spacing w:before="99"/>
                          <w:ind w:right="139"/>
                          <w:rPr>
                            <w:sz w:val="20"/>
                          </w:rPr>
                        </w:pPr>
                        <w:r>
                          <w:rPr>
                            <w:color w:val="231F20"/>
                            <w:sz w:val="20"/>
                          </w:rPr>
                          <w:t>808</w:t>
                        </w:r>
                      </w:p>
                    </w:tc>
                    <w:tc>
                      <w:tcPr>
                        <w:tcW w:w="1303" w:type="dxa"/>
                        <w:gridSpan w:val="2"/>
                      </w:tcPr>
                      <w:p>
                        <w:pPr>
                          <w:pStyle w:val="TableParagraph"/>
                          <w:spacing w:before="99"/>
                          <w:ind w:right="114"/>
                          <w:rPr>
                            <w:sz w:val="20"/>
                          </w:rPr>
                        </w:pPr>
                        <w:r>
                          <w:rPr>
                            <w:color w:val="231F20"/>
                            <w:sz w:val="20"/>
                          </w:rPr>
                          <w:t>808</w:t>
                        </w:r>
                      </w:p>
                    </w:tc>
                  </w:tr>
                  <w:tr>
                    <w:trPr>
                      <w:trHeight w:val="220" w:hRule="exact"/>
                    </w:trPr>
                    <w:tc>
                      <w:tcPr>
                        <w:tcW w:w="6601" w:type="dxa"/>
                      </w:tcPr>
                      <w:p>
                        <w:pPr>
                          <w:pStyle w:val="TableParagraph"/>
                          <w:spacing w:line="219" w:lineRule="exact"/>
                          <w:ind w:right="74"/>
                          <w:rPr>
                            <w:sz w:val="20"/>
                          </w:rPr>
                        </w:pPr>
                        <w:r>
                          <w:rPr>
                            <w:color w:val="231F20"/>
                            <w:sz w:val="20"/>
                          </w:rPr>
                          <w:t>Capital in excess of par value  . . . . . . . . . . . . . . . . . . . . . . . . . . . . . . . . . . . . . . . </w:t>
                        </w:r>
                      </w:p>
                    </w:tc>
                    <w:tc>
                      <w:tcPr>
                        <w:tcW w:w="1322" w:type="dxa"/>
                        <w:gridSpan w:val="2"/>
                      </w:tcPr>
                      <w:p>
                        <w:pPr>
                          <w:pStyle w:val="TableParagraph"/>
                          <w:spacing w:line="219" w:lineRule="exact"/>
                          <w:ind w:left="731"/>
                          <w:jc w:val="left"/>
                          <w:rPr>
                            <w:sz w:val="20"/>
                          </w:rPr>
                        </w:pPr>
                        <w:r>
                          <w:rPr>
                            <w:color w:val="231F20"/>
                            <w:sz w:val="20"/>
                          </w:rPr>
                          <w:t>1,231</w:t>
                        </w:r>
                      </w:p>
                    </w:tc>
                    <w:tc>
                      <w:tcPr>
                        <w:tcW w:w="1303" w:type="dxa"/>
                        <w:gridSpan w:val="2"/>
                      </w:tcPr>
                      <w:p>
                        <w:pPr>
                          <w:pStyle w:val="TableParagraph"/>
                          <w:spacing w:line="219" w:lineRule="exact"/>
                          <w:ind w:left="736"/>
                          <w:jc w:val="left"/>
                          <w:rPr>
                            <w:sz w:val="20"/>
                          </w:rPr>
                        </w:pPr>
                        <w:r>
                          <w:rPr>
                            <w:color w:val="231F20"/>
                            <w:sz w:val="20"/>
                          </w:rPr>
                          <w:t>1,210</w:t>
                        </w:r>
                      </w:p>
                    </w:tc>
                  </w:tr>
                  <w:tr>
                    <w:trPr>
                      <w:trHeight w:val="220" w:hRule="exact"/>
                    </w:trPr>
                    <w:tc>
                      <w:tcPr>
                        <w:tcW w:w="6601" w:type="dxa"/>
                      </w:tcPr>
                      <w:p>
                        <w:pPr>
                          <w:pStyle w:val="TableParagraph"/>
                          <w:spacing w:line="219" w:lineRule="exact"/>
                          <w:ind w:right="74"/>
                          <w:rPr>
                            <w:sz w:val="20"/>
                          </w:rPr>
                        </w:pPr>
                        <w:r>
                          <w:rPr>
                            <w:color w:val="231F20"/>
                            <w:sz w:val="20"/>
                          </w:rPr>
                          <w:t>Retained earnings   . . . . . . . . . . . . . . . . . . . . . . . . . . . . . . . . . . . . . . . . . . . . . . . . </w:t>
                        </w:r>
                      </w:p>
                    </w:tc>
                    <w:tc>
                      <w:tcPr>
                        <w:tcW w:w="1322" w:type="dxa"/>
                        <w:gridSpan w:val="2"/>
                      </w:tcPr>
                      <w:p>
                        <w:pPr>
                          <w:pStyle w:val="TableParagraph"/>
                          <w:spacing w:line="219" w:lineRule="exact"/>
                          <w:ind w:left="731"/>
                          <w:jc w:val="left"/>
                          <w:rPr>
                            <w:sz w:val="20"/>
                          </w:rPr>
                        </w:pPr>
                        <w:r>
                          <w:rPr>
                            <w:color w:val="231F20"/>
                            <w:sz w:val="20"/>
                          </w:rPr>
                          <w:t>6,431</w:t>
                        </w:r>
                      </w:p>
                    </w:tc>
                    <w:tc>
                      <w:tcPr>
                        <w:tcW w:w="1303" w:type="dxa"/>
                        <w:gridSpan w:val="2"/>
                      </w:tcPr>
                      <w:p>
                        <w:pPr>
                          <w:pStyle w:val="TableParagraph"/>
                          <w:spacing w:line="219" w:lineRule="exact"/>
                          <w:ind w:left="736"/>
                          <w:jc w:val="left"/>
                          <w:rPr>
                            <w:sz w:val="20"/>
                          </w:rPr>
                        </w:pPr>
                        <w:r>
                          <w:rPr>
                            <w:color w:val="231F20"/>
                            <w:sz w:val="20"/>
                          </w:rPr>
                          <w:t>5,768</w:t>
                        </w:r>
                      </w:p>
                    </w:tc>
                  </w:tr>
                  <w:tr>
                    <w:trPr>
                      <w:trHeight w:val="691" w:hRule="exact"/>
                    </w:trPr>
                    <w:tc>
                      <w:tcPr>
                        <w:tcW w:w="6601" w:type="dxa"/>
                      </w:tcPr>
                      <w:p>
                        <w:pPr>
                          <w:pStyle w:val="TableParagraph"/>
                          <w:spacing w:line="220" w:lineRule="exact"/>
                          <w:ind w:left="150"/>
                          <w:jc w:val="left"/>
                          <w:rPr>
                            <w:sz w:val="20"/>
                          </w:rPr>
                        </w:pPr>
                        <w:r>
                          <w:rPr>
                            <w:color w:val="231F20"/>
                            <w:sz w:val="20"/>
                          </w:rPr>
                          <w:t>Accumulated other comprehensive income (loss) . . . . . . . . . . . . . . . . . . . . . . . Treasury stock, at cost: 107,136,946 and 77,292,145 shares in 2013 and 2012 respectively  . . . . . . . . . . . . . . . . . . . . . . . . . . . . . . . . . . . . . . . . . . . . . . . . . . . . </w:t>
                        </w:r>
                      </w:p>
                    </w:tc>
                    <w:tc>
                      <w:tcPr>
                        <w:tcW w:w="1322" w:type="dxa"/>
                        <w:gridSpan w:val="2"/>
                        <w:tcBorders>
                          <w:bottom w:val="single" w:sz="4" w:space="0" w:color="231F20"/>
                        </w:tcBorders>
                      </w:tcPr>
                      <w:p>
                        <w:pPr>
                          <w:pStyle w:val="TableParagraph"/>
                          <w:spacing w:line="219" w:lineRule="exact"/>
                          <w:ind w:right="71"/>
                          <w:rPr>
                            <w:sz w:val="20"/>
                          </w:rPr>
                        </w:pPr>
                        <w:r>
                          <w:rPr>
                            <w:color w:val="231F20"/>
                            <w:sz w:val="20"/>
                          </w:rPr>
                          <w:t>(3)</w:t>
                        </w:r>
                      </w:p>
                      <w:p>
                        <w:pPr>
                          <w:pStyle w:val="TableParagraph"/>
                          <w:spacing w:before="3"/>
                          <w:jc w:val="left"/>
                          <w:rPr>
                            <w:sz w:val="18"/>
                          </w:rPr>
                        </w:pPr>
                      </w:p>
                      <w:p>
                        <w:pPr>
                          <w:pStyle w:val="TableParagraph"/>
                          <w:ind w:right="71"/>
                          <w:rPr>
                            <w:sz w:val="20"/>
                          </w:rPr>
                        </w:pPr>
                        <w:r>
                          <w:rPr>
                            <w:color w:val="231F20"/>
                            <w:sz w:val="20"/>
                          </w:rPr>
                          <w:t>(1,131)</w:t>
                        </w:r>
                      </w:p>
                    </w:tc>
                    <w:tc>
                      <w:tcPr>
                        <w:tcW w:w="1303" w:type="dxa"/>
                        <w:gridSpan w:val="2"/>
                        <w:tcBorders>
                          <w:bottom w:val="single" w:sz="4" w:space="0" w:color="231F20"/>
                        </w:tcBorders>
                      </w:tcPr>
                      <w:p>
                        <w:pPr>
                          <w:pStyle w:val="TableParagraph"/>
                          <w:spacing w:line="219" w:lineRule="exact"/>
                          <w:ind w:left="819"/>
                          <w:jc w:val="left"/>
                          <w:rPr>
                            <w:sz w:val="20"/>
                          </w:rPr>
                        </w:pPr>
                        <w:r>
                          <w:rPr>
                            <w:color w:val="231F20"/>
                            <w:sz w:val="20"/>
                          </w:rPr>
                          <w:t>(119)</w:t>
                        </w:r>
                      </w:p>
                      <w:p>
                        <w:pPr>
                          <w:pStyle w:val="TableParagraph"/>
                          <w:spacing w:before="3"/>
                          <w:jc w:val="left"/>
                          <w:rPr>
                            <w:sz w:val="18"/>
                          </w:rPr>
                        </w:pPr>
                      </w:p>
                      <w:p>
                        <w:pPr>
                          <w:pStyle w:val="TableParagraph"/>
                          <w:ind w:left="820"/>
                          <w:jc w:val="left"/>
                          <w:rPr>
                            <w:sz w:val="20"/>
                          </w:rPr>
                        </w:pPr>
                        <w:r>
                          <w:rPr>
                            <w:color w:val="231F20"/>
                            <w:sz w:val="20"/>
                          </w:rPr>
                          <w:t>(675)</w:t>
                        </w:r>
                      </w:p>
                    </w:tc>
                  </w:tr>
                  <w:tr>
                    <w:trPr>
                      <w:trHeight w:val="300" w:hRule="exact"/>
                    </w:trPr>
                    <w:tc>
                      <w:tcPr>
                        <w:tcW w:w="6601" w:type="dxa"/>
                      </w:tcPr>
                      <w:p>
                        <w:pPr>
                          <w:pStyle w:val="TableParagraph"/>
                          <w:spacing w:before="38"/>
                          <w:ind w:right="74"/>
                          <w:rPr>
                            <w:sz w:val="20"/>
                          </w:rPr>
                        </w:pPr>
                        <w:r>
                          <w:rPr>
                            <w:color w:val="231F20"/>
                            <w:sz w:val="20"/>
                          </w:rPr>
                          <w:t>Total stockholders’ equity . . . . . . . . . . . . . . . . . . . . . . . . . . . . . . . . . . . . . . . . . </w:t>
                        </w:r>
                      </w:p>
                    </w:tc>
                    <w:tc>
                      <w:tcPr>
                        <w:tcW w:w="1322" w:type="dxa"/>
                        <w:gridSpan w:val="2"/>
                        <w:tcBorders>
                          <w:top w:val="single" w:sz="4" w:space="0" w:color="231F20"/>
                          <w:bottom w:val="single" w:sz="4" w:space="0" w:color="231F20"/>
                        </w:tcBorders>
                      </w:tcPr>
                      <w:p>
                        <w:pPr>
                          <w:pStyle w:val="TableParagraph"/>
                          <w:spacing w:before="33"/>
                          <w:ind w:left="731"/>
                          <w:jc w:val="left"/>
                          <w:rPr>
                            <w:sz w:val="20"/>
                          </w:rPr>
                        </w:pPr>
                        <w:r>
                          <w:rPr>
                            <w:color w:val="231F20"/>
                            <w:sz w:val="20"/>
                          </w:rPr>
                          <w:t>7,336</w:t>
                        </w:r>
                      </w:p>
                    </w:tc>
                    <w:tc>
                      <w:tcPr>
                        <w:tcW w:w="1303" w:type="dxa"/>
                        <w:gridSpan w:val="2"/>
                        <w:tcBorders>
                          <w:top w:val="single" w:sz="4" w:space="0" w:color="231F20"/>
                          <w:bottom w:val="single" w:sz="4" w:space="0" w:color="231F20"/>
                        </w:tcBorders>
                      </w:tcPr>
                      <w:p>
                        <w:pPr>
                          <w:pStyle w:val="TableParagraph"/>
                          <w:spacing w:before="33"/>
                          <w:ind w:left="736"/>
                          <w:jc w:val="left"/>
                          <w:rPr>
                            <w:sz w:val="20"/>
                          </w:rPr>
                        </w:pPr>
                        <w:r>
                          <w:rPr>
                            <w:color w:val="231F20"/>
                            <w:sz w:val="20"/>
                          </w:rPr>
                          <w:t>6,992</w:t>
                        </w:r>
                      </w:p>
                    </w:tc>
                  </w:tr>
                  <w:tr>
                    <w:trPr>
                      <w:trHeight w:val="340" w:hRule="exact"/>
                    </w:trPr>
                    <w:tc>
                      <w:tcPr>
                        <w:tcW w:w="6601" w:type="dxa"/>
                      </w:tcPr>
                      <w:p>
                        <w:pPr/>
                      </w:p>
                    </w:tc>
                    <w:tc>
                      <w:tcPr>
                        <w:tcW w:w="1322" w:type="dxa"/>
                        <w:gridSpan w:val="2"/>
                        <w:tcBorders>
                          <w:top w:val="single" w:sz="4" w:space="0" w:color="231F20"/>
                          <w:bottom w:val="single" w:sz="4" w:space="0" w:color="231F20"/>
                        </w:tcBorders>
                      </w:tcPr>
                      <w:p>
                        <w:pPr>
                          <w:pStyle w:val="TableParagraph"/>
                          <w:tabs>
                            <w:tab w:pos="631" w:val="left" w:leader="none"/>
                          </w:tabs>
                          <w:spacing w:before="33"/>
                          <w:ind w:left="74"/>
                          <w:jc w:val="left"/>
                          <w:rPr>
                            <w:sz w:val="20"/>
                          </w:rPr>
                        </w:pPr>
                        <w:r>
                          <w:rPr>
                            <w:color w:val="231F20"/>
                            <w:sz w:val="20"/>
                          </w:rPr>
                          <w:t>$</w:t>
                          <w:tab/>
                          <w:t>19,345</w:t>
                        </w:r>
                      </w:p>
                    </w:tc>
                    <w:tc>
                      <w:tcPr>
                        <w:tcW w:w="1303" w:type="dxa"/>
                        <w:gridSpan w:val="2"/>
                        <w:tcBorders>
                          <w:top w:val="single" w:sz="4" w:space="0" w:color="231F20"/>
                          <w:bottom w:val="single" w:sz="4" w:space="0" w:color="231F20"/>
                        </w:tcBorders>
                      </w:tcPr>
                      <w:p>
                        <w:pPr>
                          <w:pStyle w:val="TableParagraph"/>
                          <w:tabs>
                            <w:tab w:pos="636" w:val="left" w:leader="none"/>
                          </w:tabs>
                          <w:spacing w:before="33"/>
                          <w:ind w:left="80"/>
                          <w:jc w:val="left"/>
                          <w:rPr>
                            <w:sz w:val="20"/>
                          </w:rPr>
                        </w:pPr>
                        <w:r>
                          <w:rPr>
                            <w:color w:val="231F20"/>
                            <w:sz w:val="20"/>
                          </w:rPr>
                          <w:t>$</w:t>
                          <w:tab/>
                          <w:t>18,596</w:t>
                        </w:r>
                      </w:p>
                    </w:tc>
                  </w:tr>
                </w:tbl>
                <w:p>
                  <w:pPr>
                    <w:pStyle w:val="BodyText"/>
                  </w:pP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p>
    <w:p>
      <w:pPr>
        <w:pStyle w:val="BodyText"/>
        <w:spacing w:line="20" w:lineRule="exact"/>
        <w:ind w:left="6781"/>
        <w:rPr>
          <w:sz w:val="2"/>
        </w:rPr>
      </w:pPr>
      <w:r>
        <w:rPr>
          <w:sz w:val="2"/>
        </w:rPr>
        <w:pict>
          <v:group style="width:58.85pt;height:.5pt;mso-position-horizontal-relative:char;mso-position-vertical-relative:line" coordorigin="0,0" coordsize="1177,10">
            <v:line style="position:absolute" from="5,5" to="1172,5" stroked="true" strokeweight=".5pt" strokecolor="#231f20">
              <v:stroke dashstyle="solid"/>
            </v:line>
          </v:group>
        </w:pict>
      </w:r>
      <w:r>
        <w:rPr>
          <w:sz w:val="2"/>
        </w:rPr>
      </w:r>
      <w:r>
        <w:rPr>
          <w:spacing w:val="129"/>
          <w:sz w:val="2"/>
        </w:rPr>
        <w:t> </w:t>
      </w:r>
      <w:r>
        <w:rPr>
          <w:spacing w:val="129"/>
          <w:sz w:val="2"/>
        </w:rPr>
        <w:pict>
          <v:group style="width:58.85pt;height:.5pt;mso-position-horizontal-relative:char;mso-position-vertical-relative:line" coordorigin="0,0" coordsize="1177,10">
            <v:line style="position:absolute" from="5,5" to="1172,5" stroked="true" strokeweight=".5pt" strokecolor="#231f20">
              <v:stroke dashstyle="solid"/>
            </v:line>
          </v:group>
        </w:pict>
      </w:r>
      <w:r>
        <w:rPr>
          <w:spacing w:val="129"/>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89"/>
        <w:ind w:left="260"/>
      </w:pPr>
      <w:bookmarkStart w:name="Item 8.   Financial Statements and Suppl" w:id="24"/>
      <w:bookmarkEnd w:id="24"/>
      <w:r>
        <w:rPr/>
      </w:r>
      <w:bookmarkStart w:name="Southwest Airlines Co. Consolidated Bala" w:id="25"/>
      <w:bookmarkEnd w:id="25"/>
      <w:r>
        <w:rPr/>
      </w:r>
      <w:r>
        <w:rPr>
          <w:color w:val="231F20"/>
        </w:rPr>
        <w:t>Common stock, $1.00 par value: 2,000,000,000 shares authorized;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5"/>
        </w:rPr>
      </w:pPr>
      <w:r>
        <w:rPr/>
        <w:pict>
          <v:line style="position:absolute;mso-position-horizontal-relative:page;mso-position-vertical-relative:paragraph;z-index:3688;mso-wrap-distance-left:0;mso-wrap-distance-right:0" from="400.300018pt,17.067768pt" to="458.650018pt,17.067768pt" stroked="true" strokeweight=".5pt" strokecolor="#231f20">
            <v:stroke dashstyle="solid"/>
            <w10:wrap type="topAndBottom"/>
          </v:line>
        </w:pict>
      </w:r>
      <w:r>
        <w:rPr/>
        <w:pict>
          <v:line style="position:absolute;mso-position-horizontal-relative:page;mso-position-vertical-relative:paragraph;z-index:3712;mso-wrap-distance-left:0;mso-wrap-distance-right:0" from="466.649994pt,17.067768pt" to="524.999994pt,17.067768pt" stroked="true" strokeweight=".5pt" strokecolor="#231f20">
            <v:stroke dashstyle="solid"/>
            <w10:wrap type="topAndBottom"/>
          </v:line>
        </w:pict>
      </w:r>
    </w:p>
    <w:p>
      <w:pPr>
        <w:spacing w:after="0"/>
        <w:rPr>
          <w:sz w:val="25"/>
        </w:rPr>
        <w:sectPr>
          <w:footerReference w:type="default" r:id="rId30"/>
          <w:pgSz w:w="11880" w:h="15480"/>
          <w:pgMar w:footer="1718" w:header="0" w:top="1320" w:bottom="1900" w:left="1220" w:right="1220"/>
          <w:pgNumType w:start="76"/>
        </w:sectPr>
      </w:pPr>
    </w:p>
    <w:p>
      <w:pPr>
        <w:pStyle w:val="Heading3"/>
        <w:spacing w:before="73"/>
        <w:ind w:left="2625" w:right="2643"/>
        <w:jc w:val="center"/>
      </w:pPr>
      <w:r>
        <w:rPr/>
        <w:pict>
          <v:line style="position:absolute;mso-position-horizontal-relative:page;mso-position-vertical-relative:page;z-index:-333088" from="339pt,488.449982pt" to="389pt,488.449982pt" stroked="true" strokeweight=".5pt" strokecolor="#231f20">
            <v:stroke dashstyle="solid"/>
            <w10:wrap type="none"/>
          </v:line>
        </w:pict>
      </w:r>
      <w:r>
        <w:rPr/>
        <w:pict>
          <v:line style="position:absolute;mso-position-horizontal-relative:page;mso-position-vertical-relative:page;z-index:-333064" from="407pt,488.449982pt" to="457pt,488.449982pt" stroked="true" strokeweight=".5pt" strokecolor="#231f20">
            <v:stroke dashstyle="solid"/>
            <w10:wrap type="none"/>
          </v:line>
        </w:pict>
      </w:r>
      <w:r>
        <w:rPr/>
        <w:pict>
          <v:line style="position:absolute;mso-position-horizontal-relative:page;mso-position-vertical-relative:page;z-index:-333040" from="475pt,488.449982pt" to="525pt,488.449982pt" stroked="true" strokeweight=".5pt" strokecolor="#231f20">
            <v:stroke dashstyle="solid"/>
            <w10:wrap type="none"/>
          </v:line>
        </w:pict>
      </w:r>
      <w:r>
        <w:rPr/>
        <w:pict>
          <v:line style="position:absolute;mso-position-horizontal-relative:page;mso-position-vertical-relative:page;z-index:-333016" from="339pt,506.449982pt" to="389pt,506.449982pt" stroked="true" strokeweight=".5pt" strokecolor="#231f20">
            <v:stroke dashstyle="solid"/>
            <w10:wrap type="none"/>
          </v:line>
        </w:pict>
      </w:r>
      <w:r>
        <w:rPr/>
        <w:pict>
          <v:line style="position:absolute;mso-position-horizontal-relative:page;mso-position-vertical-relative:page;z-index:-332992" from="407pt,506.449982pt" to="457pt,506.449982pt" stroked="true" strokeweight=".5pt" strokecolor="#231f20">
            <v:stroke dashstyle="solid"/>
            <w10:wrap type="none"/>
          </v:line>
        </w:pict>
      </w:r>
      <w:r>
        <w:rPr/>
        <w:pict>
          <v:line style="position:absolute;mso-position-horizontal-relative:page;mso-position-vertical-relative:page;z-index:-332968" from="475pt,506.449982pt" to="525pt,506.449982pt" stroked="true" strokeweight=".5pt" strokecolor="#231f20">
            <v:stroke dashstyle="solid"/>
            <w10:wrap type="none"/>
          </v:line>
        </w:pict>
      </w:r>
      <w:r>
        <w:rPr/>
        <w:pict>
          <v:line style="position:absolute;mso-position-horizontal-relative:page;mso-position-vertical-relative:page;z-index:-332944" from="339pt,524.450012pt" to="389pt,524.450012pt" stroked="true" strokeweight=".5pt" strokecolor="#231f20">
            <v:stroke dashstyle="solid"/>
            <w10:wrap type="none"/>
          </v:line>
        </w:pict>
      </w:r>
      <w:r>
        <w:rPr/>
        <w:pict>
          <v:line style="position:absolute;mso-position-horizontal-relative:page;mso-position-vertical-relative:page;z-index:-332920" from="407pt,524.450012pt" to="457pt,524.450012pt" stroked="true" strokeweight=".5pt" strokecolor="#231f20">
            <v:stroke dashstyle="solid"/>
            <w10:wrap type="none"/>
          </v:line>
        </w:pict>
      </w:r>
      <w:r>
        <w:rPr/>
        <w:pict>
          <v:line style="position:absolute;mso-position-horizontal-relative:page;mso-position-vertical-relative:page;z-index:-332896" from="475pt,524.450012pt" to="525pt,524.450012pt" stroked="true" strokeweight=".5pt" strokecolor="#231f20">
            <v:stroke dashstyle="solid"/>
            <w10:wrap type="none"/>
          </v:line>
        </w:pict>
      </w:r>
      <w:bookmarkStart w:name="Southwest Airlines Co. Consolidated Stat" w:id="26"/>
      <w:bookmarkEnd w:id="26"/>
      <w:r>
        <w:rPr>
          <w:b w:val="0"/>
        </w:rPr>
      </w:r>
      <w:r>
        <w:rPr>
          <w:color w:val="231F20"/>
        </w:rPr>
        <w:t>SOUTHWEST AIRLINES CO.</w:t>
      </w:r>
    </w:p>
    <w:p>
      <w:pPr>
        <w:spacing w:before="129"/>
        <w:ind w:left="2625" w:right="2643" w:firstLine="0"/>
        <w:jc w:val="center"/>
        <w:rPr>
          <w:b/>
          <w:sz w:val="20"/>
        </w:rPr>
      </w:pPr>
      <w:r>
        <w:rPr>
          <w:b/>
          <w:color w:val="231F20"/>
          <w:sz w:val="20"/>
        </w:rPr>
        <w:t>CONSOLIDATED STATEMENT OF INCOME</w:t>
      </w:r>
    </w:p>
    <w:p>
      <w:pPr>
        <w:pStyle w:val="BodyText"/>
        <w:spacing w:before="9"/>
        <w:ind w:left="2623" w:right="2643"/>
        <w:jc w:val="center"/>
      </w:pPr>
      <w:r>
        <w:rPr>
          <w:color w:val="231F20"/>
        </w:rPr>
        <w:t>(in millions, except per share amounts)</w:t>
      </w:r>
    </w:p>
    <w:p>
      <w:pPr>
        <w:pStyle w:val="Heading3"/>
        <w:spacing w:before="154" w:after="26"/>
        <w:ind w:left="0" w:right="939"/>
        <w:jc w:val="right"/>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75"/>
        <w:gridCol w:w="1075"/>
        <w:gridCol w:w="360"/>
        <w:gridCol w:w="1000"/>
        <w:gridCol w:w="360"/>
        <w:gridCol w:w="1000"/>
        <w:gridCol w:w="76"/>
      </w:tblGrid>
      <w:tr>
        <w:trPr>
          <w:trHeight w:val="280" w:hRule="exact"/>
        </w:trPr>
        <w:tc>
          <w:tcPr>
            <w:tcW w:w="5375" w:type="dxa"/>
          </w:tcPr>
          <w:p>
            <w:pPr/>
          </w:p>
        </w:tc>
        <w:tc>
          <w:tcPr>
            <w:tcW w:w="1075" w:type="dxa"/>
            <w:tcBorders>
              <w:top w:val="single" w:sz="8" w:space="0" w:color="231F20"/>
              <w:bottom w:val="single" w:sz="8" w:space="0" w:color="231F20"/>
            </w:tcBorders>
          </w:tcPr>
          <w:p>
            <w:pPr>
              <w:pStyle w:val="TableParagraph"/>
              <w:spacing w:before="13"/>
              <w:ind w:left="374"/>
              <w:jc w:val="left"/>
              <w:rPr>
                <w:b/>
                <w:sz w:val="20"/>
              </w:rPr>
            </w:pPr>
            <w:r>
              <w:rPr>
                <w:b/>
                <w:color w:val="231F20"/>
                <w:sz w:val="20"/>
              </w:rPr>
              <w:t>2013</w:t>
            </w:r>
          </w:p>
        </w:tc>
        <w:tc>
          <w:tcPr>
            <w:tcW w:w="360" w:type="dxa"/>
            <w:tcBorders>
              <w:top w:val="single" w:sz="8" w:space="0" w:color="231F20"/>
            </w:tcBorders>
          </w:tcPr>
          <w:p>
            <w:pPr/>
          </w:p>
        </w:tc>
        <w:tc>
          <w:tcPr>
            <w:tcW w:w="1000" w:type="dxa"/>
            <w:tcBorders>
              <w:top w:val="single" w:sz="8" w:space="0" w:color="231F20"/>
              <w:bottom w:val="single" w:sz="8" w:space="0" w:color="231F20"/>
            </w:tcBorders>
          </w:tcPr>
          <w:p>
            <w:pPr>
              <w:pStyle w:val="TableParagraph"/>
              <w:spacing w:before="13"/>
              <w:ind w:left="300"/>
              <w:jc w:val="left"/>
              <w:rPr>
                <w:b/>
                <w:sz w:val="20"/>
              </w:rPr>
            </w:pPr>
            <w:r>
              <w:rPr>
                <w:b/>
                <w:color w:val="231F20"/>
                <w:sz w:val="20"/>
              </w:rPr>
              <w:t>2012</w:t>
            </w:r>
          </w:p>
        </w:tc>
        <w:tc>
          <w:tcPr>
            <w:tcW w:w="360" w:type="dxa"/>
            <w:tcBorders>
              <w:top w:val="single" w:sz="8" w:space="0" w:color="231F20"/>
            </w:tcBorders>
          </w:tcPr>
          <w:p>
            <w:pPr/>
          </w:p>
        </w:tc>
        <w:tc>
          <w:tcPr>
            <w:tcW w:w="1000" w:type="dxa"/>
            <w:tcBorders>
              <w:top w:val="single" w:sz="8" w:space="0" w:color="231F20"/>
              <w:bottom w:val="single" w:sz="8" w:space="0" w:color="231F20"/>
            </w:tcBorders>
          </w:tcPr>
          <w:p>
            <w:pPr>
              <w:pStyle w:val="TableParagraph"/>
              <w:spacing w:before="13"/>
              <w:ind w:left="300"/>
              <w:jc w:val="left"/>
              <w:rPr>
                <w:b/>
                <w:sz w:val="20"/>
              </w:rPr>
            </w:pPr>
            <w:r>
              <w:rPr>
                <w:b/>
                <w:color w:val="231F20"/>
                <w:sz w:val="20"/>
              </w:rPr>
              <w:t>2011</w:t>
            </w:r>
          </w:p>
        </w:tc>
        <w:tc>
          <w:tcPr>
            <w:tcW w:w="76" w:type="dxa"/>
            <w:vMerge w:val="restart"/>
          </w:tcPr>
          <w:p>
            <w:pPr/>
          </w:p>
        </w:tc>
      </w:tr>
      <w:tr>
        <w:trPr>
          <w:trHeight w:val="305" w:hRule="exact"/>
        </w:trPr>
        <w:tc>
          <w:tcPr>
            <w:tcW w:w="5375" w:type="dxa"/>
          </w:tcPr>
          <w:p>
            <w:pPr>
              <w:pStyle w:val="TableParagraph"/>
              <w:spacing w:before="63"/>
              <w:ind w:left="50"/>
              <w:jc w:val="left"/>
              <w:rPr>
                <w:b/>
                <w:sz w:val="20"/>
              </w:rPr>
            </w:pPr>
            <w:r>
              <w:rPr>
                <w:b/>
                <w:color w:val="231F20"/>
                <w:sz w:val="20"/>
              </w:rPr>
              <w:t>OPERATING REVENUES:</w:t>
            </w:r>
          </w:p>
        </w:tc>
        <w:tc>
          <w:tcPr>
            <w:tcW w:w="1075" w:type="dxa"/>
            <w:tcBorders>
              <w:top w:val="single" w:sz="8" w:space="0" w:color="231F20"/>
            </w:tcBorders>
          </w:tcPr>
          <w:p>
            <w:pPr/>
          </w:p>
        </w:tc>
        <w:tc>
          <w:tcPr>
            <w:tcW w:w="360" w:type="dxa"/>
          </w:tcPr>
          <w:p>
            <w:pPr/>
          </w:p>
        </w:tc>
        <w:tc>
          <w:tcPr>
            <w:tcW w:w="1000" w:type="dxa"/>
            <w:tcBorders>
              <w:top w:val="single" w:sz="8" w:space="0" w:color="231F20"/>
            </w:tcBorders>
          </w:tcPr>
          <w:p>
            <w:pPr/>
          </w:p>
        </w:tc>
        <w:tc>
          <w:tcPr>
            <w:tcW w:w="360" w:type="dxa"/>
          </w:tcPr>
          <w:p>
            <w:pPr/>
          </w:p>
        </w:tc>
        <w:tc>
          <w:tcPr>
            <w:tcW w:w="1000" w:type="dxa"/>
            <w:tcBorders>
              <w:top w:val="single" w:sz="8" w:space="0" w:color="231F20"/>
            </w:tcBorders>
          </w:tcPr>
          <w:p>
            <w:pPr/>
          </w:p>
        </w:tc>
        <w:tc>
          <w:tcPr>
            <w:tcW w:w="76" w:type="dxa"/>
            <w:vMerge/>
          </w:tcPr>
          <w:p>
            <w:pPr/>
          </w:p>
        </w:tc>
      </w:tr>
      <w:tr>
        <w:trPr>
          <w:trHeight w:val="239" w:hRule="exact"/>
        </w:trPr>
        <w:tc>
          <w:tcPr>
            <w:tcW w:w="5375" w:type="dxa"/>
          </w:tcPr>
          <w:p>
            <w:pPr>
              <w:pStyle w:val="TableParagraph"/>
              <w:spacing w:line="229" w:lineRule="exact"/>
              <w:ind w:right="73"/>
              <w:rPr>
                <w:sz w:val="20"/>
              </w:rPr>
            </w:pPr>
            <w:r>
              <w:rPr>
                <w:color w:val="231F20"/>
                <w:sz w:val="20"/>
              </w:rPr>
              <w:t>Passenger   . . . . . . . . . . . . . . . . . . . . . . . . . . . . . . . . . . . . . . . . . </w:t>
            </w:r>
          </w:p>
        </w:tc>
        <w:tc>
          <w:tcPr>
            <w:tcW w:w="1075" w:type="dxa"/>
          </w:tcPr>
          <w:p>
            <w:pPr>
              <w:pStyle w:val="TableParagraph"/>
              <w:tabs>
                <w:tab w:pos="484" w:val="left" w:leader="none"/>
              </w:tabs>
              <w:spacing w:line="229" w:lineRule="exact"/>
              <w:ind w:left="74"/>
              <w:jc w:val="left"/>
              <w:rPr>
                <w:sz w:val="20"/>
              </w:rPr>
            </w:pPr>
            <w:r>
              <w:rPr>
                <w:color w:val="231F20"/>
                <w:sz w:val="20"/>
              </w:rPr>
              <w:t>$</w:t>
              <w:tab/>
              <w:t>16,721</w:t>
            </w:r>
          </w:p>
        </w:tc>
        <w:tc>
          <w:tcPr>
            <w:tcW w:w="360" w:type="dxa"/>
          </w:tcPr>
          <w:p>
            <w:pPr/>
          </w:p>
        </w:tc>
        <w:tc>
          <w:tcPr>
            <w:tcW w:w="1000" w:type="dxa"/>
          </w:tcPr>
          <w:p>
            <w:pPr>
              <w:pStyle w:val="TableParagraph"/>
              <w:tabs>
                <w:tab w:pos="409" w:val="left" w:leader="none"/>
              </w:tabs>
              <w:spacing w:line="229" w:lineRule="exact"/>
              <w:jc w:val="left"/>
              <w:rPr>
                <w:sz w:val="20"/>
              </w:rPr>
            </w:pPr>
            <w:r>
              <w:rPr>
                <w:color w:val="231F20"/>
                <w:sz w:val="20"/>
              </w:rPr>
              <w:t>$</w:t>
              <w:tab/>
              <w:t>16,093</w:t>
            </w:r>
          </w:p>
        </w:tc>
        <w:tc>
          <w:tcPr>
            <w:tcW w:w="360" w:type="dxa"/>
          </w:tcPr>
          <w:p>
            <w:pPr/>
          </w:p>
        </w:tc>
        <w:tc>
          <w:tcPr>
            <w:tcW w:w="1000" w:type="dxa"/>
          </w:tcPr>
          <w:p>
            <w:pPr>
              <w:pStyle w:val="TableParagraph"/>
              <w:tabs>
                <w:tab w:pos="409" w:val="left" w:leader="none"/>
              </w:tabs>
              <w:spacing w:line="229" w:lineRule="exact"/>
              <w:ind w:right="39"/>
              <w:rPr>
                <w:sz w:val="20"/>
              </w:rPr>
            </w:pPr>
            <w:r>
              <w:rPr>
                <w:color w:val="231F20"/>
                <w:sz w:val="20"/>
              </w:rPr>
              <w:t>$</w:t>
              <w:tab/>
            </w:r>
            <w:r>
              <w:rPr>
                <w:color w:val="231F20"/>
                <w:spacing w:val="-1"/>
                <w:sz w:val="20"/>
              </w:rPr>
              <w:t>14,754</w:t>
            </w:r>
          </w:p>
        </w:tc>
        <w:tc>
          <w:tcPr>
            <w:tcW w:w="76" w:type="dxa"/>
            <w:vMerge/>
          </w:tcPr>
          <w:p>
            <w:pPr/>
          </w:p>
        </w:tc>
      </w:tr>
      <w:tr>
        <w:trPr>
          <w:trHeight w:val="240" w:hRule="exact"/>
        </w:trPr>
        <w:tc>
          <w:tcPr>
            <w:tcW w:w="5375" w:type="dxa"/>
          </w:tcPr>
          <w:p>
            <w:pPr>
              <w:pStyle w:val="TableParagraph"/>
              <w:spacing w:line="229" w:lineRule="exact"/>
              <w:ind w:right="74"/>
              <w:rPr>
                <w:sz w:val="20"/>
              </w:rPr>
            </w:pPr>
            <w:r>
              <w:rPr>
                <w:color w:val="231F20"/>
                <w:sz w:val="20"/>
              </w:rPr>
              <w:t>Freight . . . . . . . . . . . . . . . . . . . . . . . . . . . . . . . . . . . . . . . . . . . . </w:t>
            </w:r>
          </w:p>
        </w:tc>
        <w:tc>
          <w:tcPr>
            <w:tcW w:w="1075" w:type="dxa"/>
          </w:tcPr>
          <w:p>
            <w:pPr>
              <w:pStyle w:val="TableParagraph"/>
              <w:spacing w:line="229" w:lineRule="exact"/>
              <w:ind w:right="39"/>
              <w:rPr>
                <w:sz w:val="20"/>
              </w:rPr>
            </w:pPr>
            <w:r>
              <w:rPr>
                <w:color w:val="231F20"/>
                <w:sz w:val="20"/>
              </w:rPr>
              <w:t>164</w:t>
            </w:r>
          </w:p>
        </w:tc>
        <w:tc>
          <w:tcPr>
            <w:tcW w:w="360" w:type="dxa"/>
          </w:tcPr>
          <w:p>
            <w:pPr/>
          </w:p>
        </w:tc>
        <w:tc>
          <w:tcPr>
            <w:tcW w:w="1000" w:type="dxa"/>
          </w:tcPr>
          <w:p>
            <w:pPr>
              <w:pStyle w:val="TableParagraph"/>
              <w:spacing w:line="229" w:lineRule="exact"/>
              <w:ind w:right="39"/>
              <w:rPr>
                <w:sz w:val="20"/>
              </w:rPr>
            </w:pPr>
            <w:r>
              <w:rPr>
                <w:color w:val="231F20"/>
                <w:sz w:val="20"/>
              </w:rPr>
              <w:t>160</w:t>
            </w:r>
          </w:p>
        </w:tc>
        <w:tc>
          <w:tcPr>
            <w:tcW w:w="360" w:type="dxa"/>
          </w:tcPr>
          <w:p>
            <w:pPr/>
          </w:p>
        </w:tc>
        <w:tc>
          <w:tcPr>
            <w:tcW w:w="1000" w:type="dxa"/>
          </w:tcPr>
          <w:p>
            <w:pPr>
              <w:pStyle w:val="TableParagraph"/>
              <w:spacing w:line="229" w:lineRule="exact"/>
              <w:ind w:right="39"/>
              <w:rPr>
                <w:sz w:val="20"/>
              </w:rPr>
            </w:pPr>
            <w:r>
              <w:rPr>
                <w:color w:val="231F20"/>
                <w:sz w:val="20"/>
              </w:rPr>
              <w:t>139</w:t>
            </w:r>
          </w:p>
        </w:tc>
        <w:tc>
          <w:tcPr>
            <w:tcW w:w="76" w:type="dxa"/>
            <w:vMerge/>
          </w:tcPr>
          <w:p>
            <w:pPr/>
          </w:p>
        </w:tc>
      </w:tr>
      <w:tr>
        <w:trPr>
          <w:trHeight w:val="261" w:hRule="exact"/>
        </w:trPr>
        <w:tc>
          <w:tcPr>
            <w:tcW w:w="5375" w:type="dxa"/>
          </w:tcPr>
          <w:p>
            <w:pPr>
              <w:pStyle w:val="TableParagraph"/>
              <w:spacing w:line="229" w:lineRule="exact"/>
              <w:ind w:right="74"/>
              <w:rPr>
                <w:sz w:val="20"/>
              </w:rPr>
            </w:pPr>
            <w:r>
              <w:rPr>
                <w:color w:val="231F20"/>
                <w:sz w:val="20"/>
              </w:rPr>
              <w:t>Other  . . . . . . . . . . . . . . . . . . . . . . . . . . . . . . . . . . . . . . . . . . . . . </w:t>
            </w:r>
          </w:p>
        </w:tc>
        <w:tc>
          <w:tcPr>
            <w:tcW w:w="1075" w:type="dxa"/>
            <w:tcBorders>
              <w:bottom w:val="single" w:sz="4" w:space="0" w:color="231F20"/>
            </w:tcBorders>
          </w:tcPr>
          <w:p>
            <w:pPr>
              <w:pStyle w:val="TableParagraph"/>
              <w:spacing w:line="229" w:lineRule="exact"/>
              <w:ind w:right="39"/>
              <w:rPr>
                <w:sz w:val="20"/>
              </w:rPr>
            </w:pPr>
            <w:r>
              <w:rPr>
                <w:color w:val="231F20"/>
                <w:sz w:val="20"/>
              </w:rPr>
              <w:t>814</w:t>
            </w:r>
          </w:p>
        </w:tc>
        <w:tc>
          <w:tcPr>
            <w:tcW w:w="360" w:type="dxa"/>
          </w:tcPr>
          <w:p>
            <w:pPr/>
          </w:p>
        </w:tc>
        <w:tc>
          <w:tcPr>
            <w:tcW w:w="1000" w:type="dxa"/>
            <w:tcBorders>
              <w:bottom w:val="single" w:sz="4" w:space="0" w:color="231F20"/>
            </w:tcBorders>
          </w:tcPr>
          <w:p>
            <w:pPr>
              <w:pStyle w:val="TableParagraph"/>
              <w:spacing w:line="229" w:lineRule="exact"/>
              <w:ind w:right="39"/>
              <w:rPr>
                <w:sz w:val="20"/>
              </w:rPr>
            </w:pPr>
            <w:r>
              <w:rPr>
                <w:color w:val="231F20"/>
                <w:sz w:val="20"/>
              </w:rPr>
              <w:t>835</w:t>
            </w:r>
          </w:p>
        </w:tc>
        <w:tc>
          <w:tcPr>
            <w:tcW w:w="360" w:type="dxa"/>
          </w:tcPr>
          <w:p>
            <w:pPr/>
          </w:p>
        </w:tc>
        <w:tc>
          <w:tcPr>
            <w:tcW w:w="1000" w:type="dxa"/>
            <w:tcBorders>
              <w:bottom w:val="single" w:sz="4" w:space="0" w:color="231F20"/>
            </w:tcBorders>
          </w:tcPr>
          <w:p>
            <w:pPr>
              <w:pStyle w:val="TableParagraph"/>
              <w:spacing w:line="229" w:lineRule="exact"/>
              <w:ind w:right="39"/>
              <w:rPr>
                <w:sz w:val="20"/>
              </w:rPr>
            </w:pPr>
            <w:r>
              <w:rPr>
                <w:color w:val="231F20"/>
                <w:sz w:val="20"/>
              </w:rPr>
              <w:t>765</w:t>
            </w:r>
          </w:p>
        </w:tc>
        <w:tc>
          <w:tcPr>
            <w:tcW w:w="76" w:type="dxa"/>
            <w:vMerge/>
          </w:tcPr>
          <w:p>
            <w:pPr/>
          </w:p>
        </w:tc>
      </w:tr>
      <w:tr>
        <w:trPr>
          <w:trHeight w:val="288" w:hRule="exact"/>
        </w:trPr>
        <w:tc>
          <w:tcPr>
            <w:tcW w:w="5375" w:type="dxa"/>
          </w:tcPr>
          <w:p>
            <w:pPr>
              <w:pStyle w:val="TableParagraph"/>
              <w:spacing w:before="58"/>
              <w:ind w:right="73"/>
              <w:rPr>
                <w:sz w:val="20"/>
              </w:rPr>
            </w:pPr>
            <w:r>
              <w:rPr>
                <w:color w:val="231F20"/>
                <w:sz w:val="20"/>
              </w:rPr>
              <w:t>Total operating revenues . . . . . . . . . . . . . . . . . . . . . . . . . . . . </w:t>
            </w:r>
          </w:p>
        </w:tc>
        <w:tc>
          <w:tcPr>
            <w:tcW w:w="1075" w:type="dxa"/>
            <w:tcBorders>
              <w:top w:val="single" w:sz="4" w:space="0" w:color="231F20"/>
            </w:tcBorders>
          </w:tcPr>
          <w:p>
            <w:pPr>
              <w:pStyle w:val="TableParagraph"/>
              <w:spacing w:before="53"/>
              <w:ind w:right="39"/>
              <w:rPr>
                <w:sz w:val="20"/>
              </w:rPr>
            </w:pPr>
            <w:r>
              <w:rPr>
                <w:color w:val="231F20"/>
                <w:sz w:val="20"/>
              </w:rPr>
              <w:t>17,699</w:t>
            </w:r>
          </w:p>
        </w:tc>
        <w:tc>
          <w:tcPr>
            <w:tcW w:w="360" w:type="dxa"/>
          </w:tcPr>
          <w:p>
            <w:pPr/>
          </w:p>
        </w:tc>
        <w:tc>
          <w:tcPr>
            <w:tcW w:w="1000" w:type="dxa"/>
            <w:tcBorders>
              <w:top w:val="single" w:sz="4" w:space="0" w:color="231F20"/>
            </w:tcBorders>
          </w:tcPr>
          <w:p>
            <w:pPr>
              <w:pStyle w:val="TableParagraph"/>
              <w:spacing w:before="53"/>
              <w:ind w:right="39"/>
              <w:rPr>
                <w:sz w:val="20"/>
              </w:rPr>
            </w:pPr>
            <w:r>
              <w:rPr>
                <w:color w:val="231F20"/>
                <w:sz w:val="20"/>
              </w:rPr>
              <w:t>17,088</w:t>
            </w:r>
          </w:p>
        </w:tc>
        <w:tc>
          <w:tcPr>
            <w:tcW w:w="360" w:type="dxa"/>
          </w:tcPr>
          <w:p>
            <w:pPr/>
          </w:p>
        </w:tc>
        <w:tc>
          <w:tcPr>
            <w:tcW w:w="1000" w:type="dxa"/>
            <w:tcBorders>
              <w:top w:val="single" w:sz="4" w:space="0" w:color="231F20"/>
            </w:tcBorders>
          </w:tcPr>
          <w:p>
            <w:pPr>
              <w:pStyle w:val="TableParagraph"/>
              <w:spacing w:before="53"/>
              <w:ind w:right="39"/>
              <w:rPr>
                <w:sz w:val="20"/>
              </w:rPr>
            </w:pPr>
            <w:r>
              <w:rPr>
                <w:color w:val="231F20"/>
                <w:sz w:val="20"/>
              </w:rPr>
              <w:t>15,658</w:t>
            </w:r>
          </w:p>
        </w:tc>
        <w:tc>
          <w:tcPr>
            <w:tcW w:w="76" w:type="dxa"/>
            <w:vMerge/>
          </w:tcPr>
          <w:p>
            <w:pPr/>
          </w:p>
        </w:tc>
      </w:tr>
      <w:tr>
        <w:trPr>
          <w:trHeight w:val="365" w:hRule="exact"/>
        </w:trPr>
        <w:tc>
          <w:tcPr>
            <w:tcW w:w="5375" w:type="dxa"/>
          </w:tcPr>
          <w:p>
            <w:pPr>
              <w:pStyle w:val="TableParagraph"/>
              <w:spacing w:before="133"/>
              <w:ind w:left="50"/>
              <w:jc w:val="left"/>
              <w:rPr>
                <w:b/>
                <w:sz w:val="20"/>
              </w:rPr>
            </w:pPr>
            <w:r>
              <w:rPr>
                <w:b/>
                <w:color w:val="231F20"/>
                <w:sz w:val="20"/>
              </w:rPr>
              <w:t>OPERATING EXPENSES:</w:t>
            </w:r>
          </w:p>
        </w:tc>
        <w:tc>
          <w:tcPr>
            <w:tcW w:w="1075" w:type="dxa"/>
          </w:tcPr>
          <w:p>
            <w:pPr/>
          </w:p>
        </w:tc>
        <w:tc>
          <w:tcPr>
            <w:tcW w:w="360" w:type="dxa"/>
          </w:tcPr>
          <w:p>
            <w:pPr/>
          </w:p>
        </w:tc>
        <w:tc>
          <w:tcPr>
            <w:tcW w:w="1000" w:type="dxa"/>
          </w:tcPr>
          <w:p>
            <w:pPr/>
          </w:p>
        </w:tc>
        <w:tc>
          <w:tcPr>
            <w:tcW w:w="360" w:type="dxa"/>
          </w:tcPr>
          <w:p>
            <w:pPr/>
          </w:p>
        </w:tc>
        <w:tc>
          <w:tcPr>
            <w:tcW w:w="1000" w:type="dxa"/>
          </w:tcPr>
          <w:p>
            <w:pPr/>
          </w:p>
        </w:tc>
        <w:tc>
          <w:tcPr>
            <w:tcW w:w="76" w:type="dxa"/>
            <w:vMerge/>
          </w:tcPr>
          <w:p>
            <w:pPr/>
          </w:p>
        </w:tc>
      </w:tr>
      <w:tr>
        <w:trPr>
          <w:trHeight w:val="249" w:hRule="exact"/>
        </w:trPr>
        <w:tc>
          <w:tcPr>
            <w:tcW w:w="5375" w:type="dxa"/>
          </w:tcPr>
          <w:p>
            <w:pPr>
              <w:pStyle w:val="TableParagraph"/>
              <w:spacing w:line="219" w:lineRule="exact"/>
              <w:ind w:right="73"/>
              <w:rPr>
                <w:sz w:val="20"/>
              </w:rPr>
            </w:pPr>
            <w:r>
              <w:rPr>
                <w:color w:val="231F20"/>
                <w:sz w:val="20"/>
              </w:rPr>
              <w:t>Salaries, wages, and benefits   . . . . . . . . . . . . . . . . . . . . . . . . . . </w:t>
            </w:r>
          </w:p>
        </w:tc>
        <w:tc>
          <w:tcPr>
            <w:tcW w:w="1075" w:type="dxa"/>
          </w:tcPr>
          <w:p>
            <w:pPr>
              <w:pStyle w:val="TableParagraph"/>
              <w:spacing w:line="219" w:lineRule="exact"/>
              <w:ind w:right="39"/>
              <w:rPr>
                <w:sz w:val="20"/>
              </w:rPr>
            </w:pPr>
            <w:r>
              <w:rPr>
                <w:color w:val="231F20"/>
                <w:sz w:val="20"/>
              </w:rPr>
              <w:t>5,035</w:t>
            </w:r>
          </w:p>
        </w:tc>
        <w:tc>
          <w:tcPr>
            <w:tcW w:w="360" w:type="dxa"/>
          </w:tcPr>
          <w:p>
            <w:pPr/>
          </w:p>
        </w:tc>
        <w:tc>
          <w:tcPr>
            <w:tcW w:w="1000" w:type="dxa"/>
          </w:tcPr>
          <w:p>
            <w:pPr>
              <w:pStyle w:val="TableParagraph"/>
              <w:spacing w:line="219" w:lineRule="exact"/>
              <w:ind w:right="39"/>
              <w:rPr>
                <w:sz w:val="20"/>
              </w:rPr>
            </w:pPr>
            <w:r>
              <w:rPr>
                <w:color w:val="231F20"/>
                <w:sz w:val="20"/>
              </w:rPr>
              <w:t>4,749</w:t>
            </w:r>
          </w:p>
        </w:tc>
        <w:tc>
          <w:tcPr>
            <w:tcW w:w="360" w:type="dxa"/>
          </w:tcPr>
          <w:p>
            <w:pPr/>
          </w:p>
        </w:tc>
        <w:tc>
          <w:tcPr>
            <w:tcW w:w="1076" w:type="dxa"/>
            <w:gridSpan w:val="2"/>
          </w:tcPr>
          <w:p>
            <w:pPr>
              <w:pStyle w:val="TableParagraph"/>
              <w:spacing w:line="219" w:lineRule="exact"/>
              <w:ind w:left="510"/>
              <w:jc w:val="left"/>
              <w:rPr>
                <w:sz w:val="20"/>
              </w:rPr>
            </w:pPr>
            <w:r>
              <w:rPr>
                <w:color w:val="231F20"/>
                <w:sz w:val="20"/>
              </w:rPr>
              <w:t>4,371</w:t>
            </w:r>
          </w:p>
        </w:tc>
      </w:tr>
      <w:tr>
        <w:trPr>
          <w:trHeight w:val="240" w:hRule="exact"/>
        </w:trPr>
        <w:tc>
          <w:tcPr>
            <w:tcW w:w="5375" w:type="dxa"/>
          </w:tcPr>
          <w:p>
            <w:pPr>
              <w:pStyle w:val="TableParagraph"/>
              <w:spacing w:line="229" w:lineRule="exact"/>
              <w:ind w:right="73"/>
              <w:rPr>
                <w:sz w:val="20"/>
              </w:rPr>
            </w:pPr>
            <w:r>
              <w:rPr>
                <w:color w:val="231F20"/>
                <w:sz w:val="20"/>
              </w:rPr>
              <w:t>Fuel and oil  . . . . . . . . . . . . . . . . . . . . . . . . . . . . . . . . . . . . . . . . </w:t>
            </w:r>
          </w:p>
        </w:tc>
        <w:tc>
          <w:tcPr>
            <w:tcW w:w="1075" w:type="dxa"/>
          </w:tcPr>
          <w:p>
            <w:pPr>
              <w:pStyle w:val="TableParagraph"/>
              <w:spacing w:line="229" w:lineRule="exact"/>
              <w:ind w:right="39"/>
              <w:rPr>
                <w:sz w:val="20"/>
              </w:rPr>
            </w:pPr>
            <w:r>
              <w:rPr>
                <w:color w:val="231F20"/>
                <w:sz w:val="20"/>
              </w:rPr>
              <w:t>5,763</w:t>
            </w:r>
          </w:p>
        </w:tc>
        <w:tc>
          <w:tcPr>
            <w:tcW w:w="360" w:type="dxa"/>
          </w:tcPr>
          <w:p>
            <w:pPr/>
          </w:p>
        </w:tc>
        <w:tc>
          <w:tcPr>
            <w:tcW w:w="1000" w:type="dxa"/>
          </w:tcPr>
          <w:p>
            <w:pPr>
              <w:pStyle w:val="TableParagraph"/>
              <w:spacing w:line="229" w:lineRule="exact"/>
              <w:ind w:right="39"/>
              <w:rPr>
                <w:sz w:val="20"/>
              </w:rPr>
            </w:pPr>
            <w:r>
              <w:rPr>
                <w:color w:val="231F20"/>
                <w:sz w:val="20"/>
              </w:rPr>
              <w:t>6,120</w:t>
            </w:r>
          </w:p>
        </w:tc>
        <w:tc>
          <w:tcPr>
            <w:tcW w:w="360" w:type="dxa"/>
          </w:tcPr>
          <w:p>
            <w:pPr/>
          </w:p>
        </w:tc>
        <w:tc>
          <w:tcPr>
            <w:tcW w:w="1076" w:type="dxa"/>
            <w:gridSpan w:val="2"/>
          </w:tcPr>
          <w:p>
            <w:pPr>
              <w:pStyle w:val="TableParagraph"/>
              <w:spacing w:line="229" w:lineRule="exact"/>
              <w:ind w:left="510"/>
              <w:jc w:val="left"/>
              <w:rPr>
                <w:sz w:val="20"/>
              </w:rPr>
            </w:pPr>
            <w:r>
              <w:rPr>
                <w:color w:val="231F20"/>
                <w:sz w:val="20"/>
              </w:rPr>
              <w:t>5,644</w:t>
            </w:r>
          </w:p>
        </w:tc>
      </w:tr>
      <w:tr>
        <w:trPr>
          <w:trHeight w:val="240" w:hRule="exact"/>
        </w:trPr>
        <w:tc>
          <w:tcPr>
            <w:tcW w:w="5375" w:type="dxa"/>
          </w:tcPr>
          <w:p>
            <w:pPr>
              <w:pStyle w:val="TableParagraph"/>
              <w:spacing w:line="229" w:lineRule="exact"/>
              <w:ind w:right="73"/>
              <w:rPr>
                <w:sz w:val="20"/>
              </w:rPr>
            </w:pPr>
            <w:r>
              <w:rPr>
                <w:color w:val="231F20"/>
                <w:sz w:val="20"/>
              </w:rPr>
              <w:t>Maintenance materials and repairs  . . . . . . . . . . . . . . . . . . . . . . </w:t>
            </w:r>
          </w:p>
        </w:tc>
        <w:tc>
          <w:tcPr>
            <w:tcW w:w="1075" w:type="dxa"/>
          </w:tcPr>
          <w:p>
            <w:pPr>
              <w:pStyle w:val="TableParagraph"/>
              <w:spacing w:line="229" w:lineRule="exact"/>
              <w:ind w:right="39"/>
              <w:rPr>
                <w:sz w:val="20"/>
              </w:rPr>
            </w:pPr>
            <w:r>
              <w:rPr>
                <w:color w:val="231F20"/>
                <w:sz w:val="20"/>
              </w:rPr>
              <w:t>1,080</w:t>
            </w:r>
          </w:p>
        </w:tc>
        <w:tc>
          <w:tcPr>
            <w:tcW w:w="360" w:type="dxa"/>
          </w:tcPr>
          <w:p>
            <w:pPr/>
          </w:p>
        </w:tc>
        <w:tc>
          <w:tcPr>
            <w:tcW w:w="1000" w:type="dxa"/>
          </w:tcPr>
          <w:p>
            <w:pPr>
              <w:pStyle w:val="TableParagraph"/>
              <w:spacing w:line="229" w:lineRule="exact"/>
              <w:ind w:right="39"/>
              <w:rPr>
                <w:sz w:val="20"/>
              </w:rPr>
            </w:pPr>
            <w:r>
              <w:rPr>
                <w:color w:val="231F20"/>
                <w:sz w:val="20"/>
              </w:rPr>
              <w:t>1,132</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955</w:t>
            </w:r>
          </w:p>
        </w:tc>
      </w:tr>
      <w:tr>
        <w:trPr>
          <w:trHeight w:val="240" w:hRule="exact"/>
        </w:trPr>
        <w:tc>
          <w:tcPr>
            <w:tcW w:w="5375" w:type="dxa"/>
          </w:tcPr>
          <w:p>
            <w:pPr>
              <w:pStyle w:val="TableParagraph"/>
              <w:spacing w:line="229" w:lineRule="exact"/>
              <w:ind w:right="73"/>
              <w:rPr>
                <w:sz w:val="20"/>
              </w:rPr>
            </w:pPr>
            <w:r>
              <w:rPr>
                <w:color w:val="231F20"/>
                <w:sz w:val="20"/>
              </w:rPr>
              <w:t>Aircraft rentals   . . . . . . . . . . . . . . . . . . . . . . . . . . . . . . . . . . . . . </w:t>
            </w:r>
          </w:p>
        </w:tc>
        <w:tc>
          <w:tcPr>
            <w:tcW w:w="1075" w:type="dxa"/>
          </w:tcPr>
          <w:p>
            <w:pPr>
              <w:pStyle w:val="TableParagraph"/>
              <w:spacing w:line="229" w:lineRule="exact"/>
              <w:ind w:right="39"/>
              <w:rPr>
                <w:sz w:val="20"/>
              </w:rPr>
            </w:pPr>
            <w:r>
              <w:rPr>
                <w:color w:val="231F20"/>
                <w:sz w:val="20"/>
              </w:rPr>
              <w:t>361</w:t>
            </w:r>
          </w:p>
        </w:tc>
        <w:tc>
          <w:tcPr>
            <w:tcW w:w="360" w:type="dxa"/>
          </w:tcPr>
          <w:p>
            <w:pPr/>
          </w:p>
        </w:tc>
        <w:tc>
          <w:tcPr>
            <w:tcW w:w="1000" w:type="dxa"/>
          </w:tcPr>
          <w:p>
            <w:pPr>
              <w:pStyle w:val="TableParagraph"/>
              <w:spacing w:line="229" w:lineRule="exact"/>
              <w:ind w:right="39"/>
              <w:rPr>
                <w:sz w:val="20"/>
              </w:rPr>
            </w:pPr>
            <w:r>
              <w:rPr>
                <w:color w:val="231F20"/>
                <w:sz w:val="20"/>
              </w:rPr>
              <w:t>355</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308</w:t>
            </w:r>
          </w:p>
        </w:tc>
      </w:tr>
      <w:tr>
        <w:trPr>
          <w:trHeight w:val="240" w:hRule="exact"/>
        </w:trPr>
        <w:tc>
          <w:tcPr>
            <w:tcW w:w="5375" w:type="dxa"/>
          </w:tcPr>
          <w:p>
            <w:pPr>
              <w:pStyle w:val="TableParagraph"/>
              <w:spacing w:line="229" w:lineRule="exact"/>
              <w:ind w:right="73"/>
              <w:rPr>
                <w:sz w:val="20"/>
              </w:rPr>
            </w:pPr>
            <w:r>
              <w:rPr>
                <w:color w:val="231F20"/>
                <w:sz w:val="20"/>
              </w:rPr>
              <w:t>Landing fees and other rentals   . . . . . . . . . . . . . . . . . . . . . . . . . </w:t>
            </w:r>
          </w:p>
        </w:tc>
        <w:tc>
          <w:tcPr>
            <w:tcW w:w="1075" w:type="dxa"/>
          </w:tcPr>
          <w:p>
            <w:pPr>
              <w:pStyle w:val="TableParagraph"/>
              <w:spacing w:line="229" w:lineRule="exact"/>
              <w:ind w:right="39"/>
              <w:rPr>
                <w:sz w:val="20"/>
              </w:rPr>
            </w:pPr>
            <w:r>
              <w:rPr>
                <w:color w:val="231F20"/>
                <w:sz w:val="20"/>
              </w:rPr>
              <w:t>1,103</w:t>
            </w:r>
          </w:p>
        </w:tc>
        <w:tc>
          <w:tcPr>
            <w:tcW w:w="360" w:type="dxa"/>
          </w:tcPr>
          <w:p>
            <w:pPr/>
          </w:p>
        </w:tc>
        <w:tc>
          <w:tcPr>
            <w:tcW w:w="1000" w:type="dxa"/>
          </w:tcPr>
          <w:p>
            <w:pPr>
              <w:pStyle w:val="TableParagraph"/>
              <w:spacing w:line="229" w:lineRule="exact"/>
              <w:ind w:right="39"/>
              <w:rPr>
                <w:sz w:val="20"/>
              </w:rPr>
            </w:pPr>
            <w:r>
              <w:rPr>
                <w:color w:val="231F20"/>
                <w:sz w:val="20"/>
              </w:rPr>
              <w:t>1,043</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959</w:t>
            </w:r>
          </w:p>
        </w:tc>
      </w:tr>
      <w:tr>
        <w:trPr>
          <w:trHeight w:val="240" w:hRule="exact"/>
        </w:trPr>
        <w:tc>
          <w:tcPr>
            <w:tcW w:w="5375" w:type="dxa"/>
          </w:tcPr>
          <w:p>
            <w:pPr>
              <w:pStyle w:val="TableParagraph"/>
              <w:spacing w:line="229" w:lineRule="exact"/>
              <w:ind w:right="73"/>
              <w:rPr>
                <w:sz w:val="20"/>
              </w:rPr>
            </w:pPr>
            <w:r>
              <w:rPr>
                <w:color w:val="231F20"/>
                <w:sz w:val="20"/>
              </w:rPr>
              <w:t>Depreciation and amortization  . . . . . . . . . . . . . . . . . . . . . . . . . </w:t>
            </w:r>
          </w:p>
        </w:tc>
        <w:tc>
          <w:tcPr>
            <w:tcW w:w="1075" w:type="dxa"/>
          </w:tcPr>
          <w:p>
            <w:pPr>
              <w:pStyle w:val="TableParagraph"/>
              <w:spacing w:line="229" w:lineRule="exact"/>
              <w:ind w:right="39"/>
              <w:rPr>
                <w:sz w:val="20"/>
              </w:rPr>
            </w:pPr>
            <w:r>
              <w:rPr>
                <w:color w:val="231F20"/>
                <w:sz w:val="20"/>
              </w:rPr>
              <w:t>867</w:t>
            </w:r>
          </w:p>
        </w:tc>
        <w:tc>
          <w:tcPr>
            <w:tcW w:w="360" w:type="dxa"/>
          </w:tcPr>
          <w:p>
            <w:pPr/>
          </w:p>
        </w:tc>
        <w:tc>
          <w:tcPr>
            <w:tcW w:w="1000" w:type="dxa"/>
          </w:tcPr>
          <w:p>
            <w:pPr>
              <w:pStyle w:val="TableParagraph"/>
              <w:spacing w:line="229" w:lineRule="exact"/>
              <w:ind w:right="39"/>
              <w:rPr>
                <w:sz w:val="20"/>
              </w:rPr>
            </w:pPr>
            <w:r>
              <w:rPr>
                <w:color w:val="231F20"/>
                <w:sz w:val="20"/>
              </w:rPr>
              <w:t>844</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715</w:t>
            </w:r>
          </w:p>
        </w:tc>
      </w:tr>
      <w:tr>
        <w:trPr>
          <w:trHeight w:val="240" w:hRule="exact"/>
        </w:trPr>
        <w:tc>
          <w:tcPr>
            <w:tcW w:w="5375" w:type="dxa"/>
          </w:tcPr>
          <w:p>
            <w:pPr>
              <w:pStyle w:val="TableParagraph"/>
              <w:spacing w:line="229" w:lineRule="exact"/>
              <w:ind w:right="73"/>
              <w:rPr>
                <w:sz w:val="20"/>
              </w:rPr>
            </w:pPr>
            <w:r>
              <w:rPr>
                <w:color w:val="231F20"/>
                <w:sz w:val="20"/>
              </w:rPr>
              <w:t>Acquisition and integration . . . . . . . . . . . . . . . . . . . . . . . . . . . . </w:t>
            </w:r>
          </w:p>
        </w:tc>
        <w:tc>
          <w:tcPr>
            <w:tcW w:w="1075" w:type="dxa"/>
          </w:tcPr>
          <w:p>
            <w:pPr>
              <w:pStyle w:val="TableParagraph"/>
              <w:spacing w:line="229" w:lineRule="exact"/>
              <w:ind w:right="39"/>
              <w:rPr>
                <w:sz w:val="20"/>
              </w:rPr>
            </w:pPr>
            <w:r>
              <w:rPr>
                <w:color w:val="231F20"/>
                <w:sz w:val="20"/>
              </w:rPr>
              <w:t>86</w:t>
            </w:r>
          </w:p>
        </w:tc>
        <w:tc>
          <w:tcPr>
            <w:tcW w:w="360" w:type="dxa"/>
          </w:tcPr>
          <w:p>
            <w:pPr/>
          </w:p>
        </w:tc>
        <w:tc>
          <w:tcPr>
            <w:tcW w:w="1000" w:type="dxa"/>
          </w:tcPr>
          <w:p>
            <w:pPr>
              <w:pStyle w:val="TableParagraph"/>
              <w:spacing w:line="229" w:lineRule="exact"/>
              <w:ind w:right="39"/>
              <w:rPr>
                <w:sz w:val="20"/>
              </w:rPr>
            </w:pPr>
            <w:r>
              <w:rPr>
                <w:color w:val="231F20"/>
                <w:sz w:val="20"/>
              </w:rPr>
              <w:t>183</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134</w:t>
            </w:r>
          </w:p>
        </w:tc>
      </w:tr>
      <w:tr>
        <w:trPr>
          <w:trHeight w:val="261" w:hRule="exact"/>
        </w:trPr>
        <w:tc>
          <w:tcPr>
            <w:tcW w:w="5375" w:type="dxa"/>
          </w:tcPr>
          <w:p>
            <w:pPr>
              <w:pStyle w:val="TableParagraph"/>
              <w:spacing w:line="229" w:lineRule="exact"/>
              <w:ind w:right="73"/>
              <w:rPr>
                <w:sz w:val="20"/>
              </w:rPr>
            </w:pPr>
            <w:r>
              <w:rPr>
                <w:color w:val="231F20"/>
                <w:sz w:val="20"/>
              </w:rPr>
              <w:t>Other operating expenses  . . . . . . . . . . . . . . . . . . . . . . . . . . . . . </w:t>
            </w:r>
          </w:p>
        </w:tc>
        <w:tc>
          <w:tcPr>
            <w:tcW w:w="1075" w:type="dxa"/>
            <w:tcBorders>
              <w:bottom w:val="single" w:sz="4" w:space="0" w:color="231F20"/>
            </w:tcBorders>
          </w:tcPr>
          <w:p>
            <w:pPr>
              <w:pStyle w:val="TableParagraph"/>
              <w:spacing w:line="229" w:lineRule="exact"/>
              <w:ind w:right="39"/>
              <w:rPr>
                <w:sz w:val="20"/>
              </w:rPr>
            </w:pPr>
            <w:r>
              <w:rPr>
                <w:color w:val="231F20"/>
                <w:sz w:val="20"/>
              </w:rPr>
              <w:t>2,126</w:t>
            </w:r>
          </w:p>
        </w:tc>
        <w:tc>
          <w:tcPr>
            <w:tcW w:w="360" w:type="dxa"/>
          </w:tcPr>
          <w:p>
            <w:pPr/>
          </w:p>
        </w:tc>
        <w:tc>
          <w:tcPr>
            <w:tcW w:w="1000" w:type="dxa"/>
            <w:tcBorders>
              <w:bottom w:val="single" w:sz="4" w:space="0" w:color="231F20"/>
            </w:tcBorders>
          </w:tcPr>
          <w:p>
            <w:pPr>
              <w:pStyle w:val="TableParagraph"/>
              <w:spacing w:line="229" w:lineRule="exact"/>
              <w:ind w:right="39"/>
              <w:rPr>
                <w:sz w:val="20"/>
              </w:rPr>
            </w:pPr>
            <w:r>
              <w:rPr>
                <w:color w:val="231F20"/>
                <w:sz w:val="20"/>
              </w:rPr>
              <w:t>2,039</w:t>
            </w:r>
          </w:p>
        </w:tc>
        <w:tc>
          <w:tcPr>
            <w:tcW w:w="360" w:type="dxa"/>
          </w:tcPr>
          <w:p>
            <w:pPr/>
          </w:p>
        </w:tc>
        <w:tc>
          <w:tcPr>
            <w:tcW w:w="1076" w:type="dxa"/>
            <w:gridSpan w:val="2"/>
            <w:tcBorders>
              <w:bottom w:val="single" w:sz="4" w:space="0" w:color="231F20"/>
            </w:tcBorders>
          </w:tcPr>
          <w:p>
            <w:pPr>
              <w:pStyle w:val="TableParagraph"/>
              <w:spacing w:line="229" w:lineRule="exact"/>
              <w:ind w:left="510"/>
              <w:jc w:val="left"/>
              <w:rPr>
                <w:sz w:val="20"/>
              </w:rPr>
            </w:pPr>
            <w:r>
              <w:rPr>
                <w:color w:val="231F20"/>
                <w:sz w:val="20"/>
              </w:rPr>
              <w:t>1,879</w:t>
            </w:r>
          </w:p>
        </w:tc>
      </w:tr>
      <w:tr>
        <w:trPr>
          <w:trHeight w:val="320" w:hRule="exact"/>
        </w:trPr>
        <w:tc>
          <w:tcPr>
            <w:tcW w:w="5375" w:type="dxa"/>
          </w:tcPr>
          <w:p>
            <w:pPr>
              <w:pStyle w:val="TableParagraph"/>
              <w:spacing w:before="58"/>
              <w:ind w:right="73"/>
              <w:rPr>
                <w:sz w:val="20"/>
              </w:rPr>
            </w:pPr>
            <w:r>
              <w:rPr>
                <w:color w:val="231F20"/>
                <w:sz w:val="20"/>
              </w:rPr>
              <w:t>Total operating expenses   . . . . . . . . . . . . . . . . . . . . . . . . . . . </w:t>
            </w:r>
          </w:p>
        </w:tc>
        <w:tc>
          <w:tcPr>
            <w:tcW w:w="1075" w:type="dxa"/>
            <w:tcBorders>
              <w:top w:val="single" w:sz="4" w:space="0" w:color="231F20"/>
              <w:bottom w:val="single" w:sz="4" w:space="0" w:color="231F20"/>
            </w:tcBorders>
          </w:tcPr>
          <w:p>
            <w:pPr>
              <w:pStyle w:val="TableParagraph"/>
              <w:spacing w:before="53"/>
              <w:ind w:right="39"/>
              <w:rPr>
                <w:sz w:val="20"/>
              </w:rPr>
            </w:pPr>
            <w:r>
              <w:rPr>
                <w:color w:val="231F20"/>
                <w:sz w:val="20"/>
              </w:rPr>
              <w:t>16,421</w:t>
            </w:r>
          </w:p>
        </w:tc>
        <w:tc>
          <w:tcPr>
            <w:tcW w:w="360" w:type="dxa"/>
          </w:tcPr>
          <w:p>
            <w:pPr/>
          </w:p>
        </w:tc>
        <w:tc>
          <w:tcPr>
            <w:tcW w:w="1000" w:type="dxa"/>
            <w:tcBorders>
              <w:top w:val="single" w:sz="4" w:space="0" w:color="231F20"/>
              <w:bottom w:val="single" w:sz="4" w:space="0" w:color="231F20"/>
            </w:tcBorders>
          </w:tcPr>
          <w:p>
            <w:pPr>
              <w:pStyle w:val="TableParagraph"/>
              <w:spacing w:before="53"/>
              <w:ind w:right="39"/>
              <w:rPr>
                <w:sz w:val="20"/>
              </w:rPr>
            </w:pPr>
            <w:r>
              <w:rPr>
                <w:color w:val="231F20"/>
                <w:sz w:val="20"/>
              </w:rPr>
              <w:t>16,465</w:t>
            </w:r>
          </w:p>
        </w:tc>
        <w:tc>
          <w:tcPr>
            <w:tcW w:w="360" w:type="dxa"/>
          </w:tcPr>
          <w:p>
            <w:pPr/>
          </w:p>
        </w:tc>
        <w:tc>
          <w:tcPr>
            <w:tcW w:w="1076" w:type="dxa"/>
            <w:gridSpan w:val="2"/>
            <w:tcBorders>
              <w:top w:val="single" w:sz="4" w:space="0" w:color="231F20"/>
              <w:bottom w:val="single" w:sz="4" w:space="0" w:color="231F20"/>
            </w:tcBorders>
          </w:tcPr>
          <w:p>
            <w:pPr>
              <w:pStyle w:val="TableParagraph"/>
              <w:spacing w:before="53"/>
              <w:ind w:left="410"/>
              <w:jc w:val="left"/>
              <w:rPr>
                <w:sz w:val="20"/>
              </w:rPr>
            </w:pPr>
            <w:r>
              <w:rPr>
                <w:color w:val="231F20"/>
                <w:sz w:val="20"/>
              </w:rPr>
              <w:t>14,965</w:t>
            </w:r>
          </w:p>
        </w:tc>
      </w:tr>
      <w:tr>
        <w:trPr>
          <w:trHeight w:val="360" w:hRule="exact"/>
        </w:trPr>
        <w:tc>
          <w:tcPr>
            <w:tcW w:w="5375" w:type="dxa"/>
          </w:tcPr>
          <w:p>
            <w:pPr>
              <w:pStyle w:val="TableParagraph"/>
              <w:spacing w:before="58"/>
              <w:ind w:left="50"/>
              <w:jc w:val="left"/>
              <w:rPr>
                <w:sz w:val="20"/>
              </w:rPr>
            </w:pPr>
            <w:r>
              <w:rPr>
                <w:b/>
                <w:color w:val="231F20"/>
                <w:sz w:val="20"/>
              </w:rPr>
              <w:t>OPERATING INCOME   </w:t>
            </w:r>
            <w:r>
              <w:rPr>
                <w:color w:val="231F20"/>
                <w:sz w:val="20"/>
              </w:rPr>
              <w:t>. . . . . . . . . . . . . . . . . . . . . . . . . . . . . . </w:t>
            </w:r>
          </w:p>
        </w:tc>
        <w:tc>
          <w:tcPr>
            <w:tcW w:w="1075" w:type="dxa"/>
            <w:tcBorders>
              <w:top w:val="single" w:sz="4" w:space="0" w:color="231F20"/>
            </w:tcBorders>
          </w:tcPr>
          <w:p>
            <w:pPr>
              <w:pStyle w:val="TableParagraph"/>
              <w:spacing w:before="53"/>
              <w:ind w:right="39"/>
              <w:rPr>
                <w:sz w:val="20"/>
              </w:rPr>
            </w:pPr>
            <w:r>
              <w:rPr>
                <w:color w:val="231F20"/>
                <w:sz w:val="20"/>
              </w:rPr>
              <w:t>1,278</w:t>
            </w:r>
          </w:p>
        </w:tc>
        <w:tc>
          <w:tcPr>
            <w:tcW w:w="360" w:type="dxa"/>
          </w:tcPr>
          <w:p>
            <w:pPr/>
          </w:p>
        </w:tc>
        <w:tc>
          <w:tcPr>
            <w:tcW w:w="1000" w:type="dxa"/>
            <w:tcBorders>
              <w:top w:val="single" w:sz="4" w:space="0" w:color="231F20"/>
            </w:tcBorders>
          </w:tcPr>
          <w:p>
            <w:pPr>
              <w:pStyle w:val="TableParagraph"/>
              <w:spacing w:before="53"/>
              <w:ind w:right="39"/>
              <w:rPr>
                <w:sz w:val="20"/>
              </w:rPr>
            </w:pPr>
            <w:r>
              <w:rPr>
                <w:color w:val="231F20"/>
                <w:sz w:val="20"/>
              </w:rPr>
              <w:t>623</w:t>
            </w:r>
          </w:p>
        </w:tc>
        <w:tc>
          <w:tcPr>
            <w:tcW w:w="360" w:type="dxa"/>
          </w:tcPr>
          <w:p>
            <w:pPr/>
          </w:p>
        </w:tc>
        <w:tc>
          <w:tcPr>
            <w:tcW w:w="1076" w:type="dxa"/>
            <w:gridSpan w:val="2"/>
            <w:tcBorders>
              <w:top w:val="single" w:sz="4" w:space="0" w:color="231F20"/>
            </w:tcBorders>
          </w:tcPr>
          <w:p>
            <w:pPr>
              <w:pStyle w:val="TableParagraph"/>
              <w:spacing w:before="53"/>
              <w:ind w:left="660"/>
              <w:jc w:val="left"/>
              <w:rPr>
                <w:sz w:val="20"/>
              </w:rPr>
            </w:pPr>
            <w:r>
              <w:rPr>
                <w:color w:val="231F20"/>
                <w:sz w:val="20"/>
              </w:rPr>
              <w:t>693</w:t>
            </w:r>
          </w:p>
        </w:tc>
      </w:tr>
      <w:tr>
        <w:trPr>
          <w:trHeight w:val="303" w:hRule="exact"/>
        </w:trPr>
        <w:tc>
          <w:tcPr>
            <w:tcW w:w="5375" w:type="dxa"/>
          </w:tcPr>
          <w:p>
            <w:pPr>
              <w:pStyle w:val="TableParagraph"/>
              <w:spacing w:before="61"/>
              <w:ind w:left="50"/>
              <w:jc w:val="left"/>
              <w:rPr>
                <w:b/>
                <w:sz w:val="20"/>
              </w:rPr>
            </w:pPr>
            <w:r>
              <w:rPr>
                <w:b/>
                <w:color w:val="231F20"/>
                <w:sz w:val="20"/>
              </w:rPr>
              <w:t>OTHER EXPENSES (INCOME):</w:t>
            </w:r>
          </w:p>
        </w:tc>
        <w:tc>
          <w:tcPr>
            <w:tcW w:w="1075" w:type="dxa"/>
          </w:tcPr>
          <w:p>
            <w:pPr/>
          </w:p>
        </w:tc>
        <w:tc>
          <w:tcPr>
            <w:tcW w:w="360" w:type="dxa"/>
          </w:tcPr>
          <w:p>
            <w:pPr/>
          </w:p>
        </w:tc>
        <w:tc>
          <w:tcPr>
            <w:tcW w:w="1000" w:type="dxa"/>
          </w:tcPr>
          <w:p>
            <w:pPr/>
          </w:p>
        </w:tc>
        <w:tc>
          <w:tcPr>
            <w:tcW w:w="360" w:type="dxa"/>
          </w:tcPr>
          <w:p>
            <w:pPr/>
          </w:p>
        </w:tc>
        <w:tc>
          <w:tcPr>
            <w:tcW w:w="1076" w:type="dxa"/>
            <w:gridSpan w:val="2"/>
          </w:tcPr>
          <w:p>
            <w:pPr/>
          </w:p>
        </w:tc>
      </w:tr>
      <w:tr>
        <w:trPr>
          <w:trHeight w:val="239" w:hRule="exact"/>
        </w:trPr>
        <w:tc>
          <w:tcPr>
            <w:tcW w:w="5375" w:type="dxa"/>
          </w:tcPr>
          <w:p>
            <w:pPr>
              <w:pStyle w:val="TableParagraph"/>
              <w:spacing w:line="229" w:lineRule="exact"/>
              <w:ind w:right="73"/>
              <w:rPr>
                <w:sz w:val="20"/>
              </w:rPr>
            </w:pPr>
            <w:r>
              <w:rPr>
                <w:color w:val="231F20"/>
                <w:sz w:val="20"/>
              </w:rPr>
              <w:t>Interest expense . . . . . . . . . . . . . . . . . . . . . . . . . . . . . . . . . . . . . </w:t>
            </w:r>
          </w:p>
        </w:tc>
        <w:tc>
          <w:tcPr>
            <w:tcW w:w="1075" w:type="dxa"/>
          </w:tcPr>
          <w:p>
            <w:pPr>
              <w:pStyle w:val="TableParagraph"/>
              <w:spacing w:line="229" w:lineRule="exact"/>
              <w:ind w:right="39"/>
              <w:rPr>
                <w:sz w:val="20"/>
              </w:rPr>
            </w:pPr>
            <w:r>
              <w:rPr>
                <w:color w:val="231F20"/>
                <w:sz w:val="20"/>
              </w:rPr>
              <w:t>131</w:t>
            </w:r>
          </w:p>
        </w:tc>
        <w:tc>
          <w:tcPr>
            <w:tcW w:w="360" w:type="dxa"/>
          </w:tcPr>
          <w:p>
            <w:pPr/>
          </w:p>
        </w:tc>
        <w:tc>
          <w:tcPr>
            <w:tcW w:w="1000" w:type="dxa"/>
          </w:tcPr>
          <w:p>
            <w:pPr>
              <w:pStyle w:val="TableParagraph"/>
              <w:spacing w:line="229" w:lineRule="exact"/>
              <w:ind w:right="39"/>
              <w:rPr>
                <w:sz w:val="20"/>
              </w:rPr>
            </w:pPr>
            <w:r>
              <w:rPr>
                <w:color w:val="231F20"/>
                <w:sz w:val="20"/>
              </w:rPr>
              <w:t>147</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194</w:t>
            </w:r>
          </w:p>
        </w:tc>
      </w:tr>
      <w:tr>
        <w:trPr>
          <w:trHeight w:val="240" w:hRule="exact"/>
        </w:trPr>
        <w:tc>
          <w:tcPr>
            <w:tcW w:w="5375" w:type="dxa"/>
          </w:tcPr>
          <w:p>
            <w:pPr>
              <w:pStyle w:val="TableParagraph"/>
              <w:spacing w:line="229" w:lineRule="exact"/>
              <w:ind w:right="73"/>
              <w:rPr>
                <w:sz w:val="20"/>
              </w:rPr>
            </w:pPr>
            <w:r>
              <w:rPr>
                <w:color w:val="231F20"/>
                <w:sz w:val="20"/>
              </w:rPr>
              <w:t>Capitalized interest  . . . . . . . . . . . . . . . . . . . . . . . . . . . . . . . . . . </w:t>
            </w:r>
          </w:p>
        </w:tc>
        <w:tc>
          <w:tcPr>
            <w:tcW w:w="1075" w:type="dxa"/>
          </w:tcPr>
          <w:p>
            <w:pPr>
              <w:pStyle w:val="TableParagraph"/>
              <w:spacing w:line="229" w:lineRule="exact"/>
              <w:ind w:right="-27"/>
              <w:rPr>
                <w:sz w:val="20"/>
              </w:rPr>
            </w:pPr>
            <w:r>
              <w:rPr>
                <w:color w:val="231F20"/>
                <w:sz w:val="20"/>
              </w:rPr>
              <w:t>(24)</w:t>
            </w:r>
          </w:p>
        </w:tc>
        <w:tc>
          <w:tcPr>
            <w:tcW w:w="360" w:type="dxa"/>
          </w:tcPr>
          <w:p>
            <w:pPr/>
          </w:p>
        </w:tc>
        <w:tc>
          <w:tcPr>
            <w:tcW w:w="1000" w:type="dxa"/>
          </w:tcPr>
          <w:p>
            <w:pPr>
              <w:pStyle w:val="TableParagraph"/>
              <w:spacing w:line="229" w:lineRule="exact"/>
              <w:ind w:right="-27"/>
              <w:rPr>
                <w:sz w:val="20"/>
              </w:rPr>
            </w:pPr>
            <w:r>
              <w:rPr>
                <w:color w:val="231F20"/>
                <w:sz w:val="20"/>
              </w:rPr>
              <w:t>(21)</w:t>
            </w:r>
          </w:p>
        </w:tc>
        <w:tc>
          <w:tcPr>
            <w:tcW w:w="360" w:type="dxa"/>
          </w:tcPr>
          <w:p>
            <w:pPr/>
          </w:p>
        </w:tc>
        <w:tc>
          <w:tcPr>
            <w:tcW w:w="1076" w:type="dxa"/>
            <w:gridSpan w:val="2"/>
          </w:tcPr>
          <w:p>
            <w:pPr>
              <w:pStyle w:val="TableParagraph"/>
              <w:spacing w:line="229" w:lineRule="exact"/>
              <w:ind w:left="693"/>
              <w:jc w:val="left"/>
              <w:rPr>
                <w:sz w:val="20"/>
              </w:rPr>
            </w:pPr>
            <w:r>
              <w:rPr>
                <w:color w:val="231F20"/>
                <w:sz w:val="20"/>
              </w:rPr>
              <w:t>(12)</w:t>
            </w:r>
          </w:p>
        </w:tc>
      </w:tr>
      <w:tr>
        <w:trPr>
          <w:trHeight w:val="240" w:hRule="exact"/>
        </w:trPr>
        <w:tc>
          <w:tcPr>
            <w:tcW w:w="5375" w:type="dxa"/>
          </w:tcPr>
          <w:p>
            <w:pPr>
              <w:pStyle w:val="TableParagraph"/>
              <w:spacing w:line="229" w:lineRule="exact"/>
              <w:ind w:right="73"/>
              <w:rPr>
                <w:sz w:val="20"/>
              </w:rPr>
            </w:pPr>
            <w:r>
              <w:rPr>
                <w:color w:val="231F20"/>
                <w:sz w:val="20"/>
              </w:rPr>
              <w:t>Interest income  . . . . . . . . . . . . . . . . . . . . . . . . . . . . . . . . . . . . . </w:t>
            </w:r>
          </w:p>
        </w:tc>
        <w:tc>
          <w:tcPr>
            <w:tcW w:w="1075" w:type="dxa"/>
          </w:tcPr>
          <w:p>
            <w:pPr>
              <w:pStyle w:val="TableParagraph"/>
              <w:spacing w:line="229" w:lineRule="exact"/>
              <w:ind w:right="-27"/>
              <w:rPr>
                <w:sz w:val="20"/>
              </w:rPr>
            </w:pPr>
            <w:r>
              <w:rPr>
                <w:color w:val="231F20"/>
                <w:sz w:val="20"/>
              </w:rPr>
              <w:t>(6)</w:t>
            </w:r>
          </w:p>
        </w:tc>
        <w:tc>
          <w:tcPr>
            <w:tcW w:w="360" w:type="dxa"/>
          </w:tcPr>
          <w:p>
            <w:pPr/>
          </w:p>
        </w:tc>
        <w:tc>
          <w:tcPr>
            <w:tcW w:w="1000" w:type="dxa"/>
          </w:tcPr>
          <w:p>
            <w:pPr>
              <w:pStyle w:val="TableParagraph"/>
              <w:spacing w:line="229" w:lineRule="exact"/>
              <w:ind w:right="-27"/>
              <w:rPr>
                <w:sz w:val="20"/>
              </w:rPr>
            </w:pPr>
            <w:r>
              <w:rPr>
                <w:color w:val="231F20"/>
                <w:sz w:val="20"/>
              </w:rPr>
              <w:t>(7)</w:t>
            </w:r>
          </w:p>
        </w:tc>
        <w:tc>
          <w:tcPr>
            <w:tcW w:w="360" w:type="dxa"/>
          </w:tcPr>
          <w:p>
            <w:pPr/>
          </w:p>
        </w:tc>
        <w:tc>
          <w:tcPr>
            <w:tcW w:w="1076" w:type="dxa"/>
            <w:gridSpan w:val="2"/>
          </w:tcPr>
          <w:p>
            <w:pPr>
              <w:pStyle w:val="TableParagraph"/>
              <w:spacing w:line="229" w:lineRule="exact"/>
              <w:ind w:left="692"/>
              <w:jc w:val="left"/>
              <w:rPr>
                <w:sz w:val="20"/>
              </w:rPr>
            </w:pPr>
            <w:r>
              <w:rPr>
                <w:color w:val="231F20"/>
                <w:sz w:val="20"/>
              </w:rPr>
              <w:t>(10)</w:t>
            </w:r>
          </w:p>
        </w:tc>
      </w:tr>
      <w:tr>
        <w:trPr>
          <w:trHeight w:val="261" w:hRule="exact"/>
        </w:trPr>
        <w:tc>
          <w:tcPr>
            <w:tcW w:w="5375" w:type="dxa"/>
          </w:tcPr>
          <w:p>
            <w:pPr>
              <w:pStyle w:val="TableParagraph"/>
              <w:spacing w:line="229" w:lineRule="exact"/>
              <w:ind w:right="73"/>
              <w:rPr>
                <w:sz w:val="20"/>
              </w:rPr>
            </w:pPr>
            <w:r>
              <w:rPr>
                <w:color w:val="231F20"/>
                <w:sz w:val="20"/>
              </w:rPr>
              <w:t>Other (gains) losses, net  . . . . . . . . . . . . . . . . . . . . . . . . . . . . . . </w:t>
            </w:r>
          </w:p>
        </w:tc>
        <w:tc>
          <w:tcPr>
            <w:tcW w:w="1075" w:type="dxa"/>
            <w:tcBorders>
              <w:bottom w:val="single" w:sz="4" w:space="0" w:color="231F20"/>
            </w:tcBorders>
          </w:tcPr>
          <w:p>
            <w:pPr>
              <w:pStyle w:val="TableParagraph"/>
              <w:spacing w:line="229" w:lineRule="exact"/>
              <w:ind w:right="-27"/>
              <w:rPr>
                <w:sz w:val="20"/>
              </w:rPr>
            </w:pPr>
            <w:r>
              <w:rPr>
                <w:color w:val="231F20"/>
                <w:sz w:val="20"/>
              </w:rPr>
              <w:t>(32)</w:t>
            </w:r>
          </w:p>
        </w:tc>
        <w:tc>
          <w:tcPr>
            <w:tcW w:w="360" w:type="dxa"/>
          </w:tcPr>
          <w:p>
            <w:pPr/>
          </w:p>
        </w:tc>
        <w:tc>
          <w:tcPr>
            <w:tcW w:w="1000" w:type="dxa"/>
            <w:tcBorders>
              <w:bottom w:val="single" w:sz="4" w:space="0" w:color="231F20"/>
            </w:tcBorders>
          </w:tcPr>
          <w:p>
            <w:pPr>
              <w:pStyle w:val="TableParagraph"/>
              <w:spacing w:line="229" w:lineRule="exact"/>
              <w:ind w:right="-27"/>
              <w:rPr>
                <w:sz w:val="20"/>
              </w:rPr>
            </w:pPr>
            <w:r>
              <w:rPr>
                <w:color w:val="231F20"/>
                <w:sz w:val="20"/>
              </w:rPr>
              <w:t>(181)</w:t>
            </w:r>
          </w:p>
        </w:tc>
        <w:tc>
          <w:tcPr>
            <w:tcW w:w="360" w:type="dxa"/>
          </w:tcPr>
          <w:p>
            <w:pPr/>
          </w:p>
        </w:tc>
        <w:tc>
          <w:tcPr>
            <w:tcW w:w="1076" w:type="dxa"/>
            <w:gridSpan w:val="2"/>
            <w:tcBorders>
              <w:bottom w:val="single" w:sz="4" w:space="0" w:color="231F20"/>
            </w:tcBorders>
          </w:tcPr>
          <w:p>
            <w:pPr>
              <w:pStyle w:val="TableParagraph"/>
              <w:spacing w:line="229" w:lineRule="exact"/>
              <w:ind w:left="660"/>
              <w:jc w:val="left"/>
              <w:rPr>
                <w:sz w:val="20"/>
              </w:rPr>
            </w:pPr>
            <w:r>
              <w:rPr>
                <w:color w:val="231F20"/>
                <w:sz w:val="20"/>
              </w:rPr>
              <w:t>198</w:t>
            </w:r>
          </w:p>
        </w:tc>
      </w:tr>
      <w:tr>
        <w:trPr>
          <w:trHeight w:val="320" w:hRule="exact"/>
        </w:trPr>
        <w:tc>
          <w:tcPr>
            <w:tcW w:w="5375" w:type="dxa"/>
          </w:tcPr>
          <w:p>
            <w:pPr>
              <w:pStyle w:val="TableParagraph"/>
              <w:spacing w:before="58"/>
              <w:ind w:right="73"/>
              <w:rPr>
                <w:sz w:val="20"/>
              </w:rPr>
            </w:pPr>
            <w:r>
              <w:rPr>
                <w:color w:val="231F20"/>
                <w:sz w:val="20"/>
              </w:rPr>
              <w:t>Total other expenses (income)  . . . . . . . . . . . . . . . . . . . . . . . </w:t>
            </w:r>
          </w:p>
        </w:tc>
        <w:tc>
          <w:tcPr>
            <w:tcW w:w="1075" w:type="dxa"/>
            <w:tcBorders>
              <w:top w:val="single" w:sz="4" w:space="0" w:color="231F20"/>
              <w:bottom w:val="single" w:sz="4" w:space="0" w:color="231F20"/>
            </w:tcBorders>
          </w:tcPr>
          <w:p>
            <w:pPr>
              <w:pStyle w:val="TableParagraph"/>
              <w:spacing w:before="53"/>
              <w:ind w:right="39"/>
              <w:rPr>
                <w:sz w:val="20"/>
              </w:rPr>
            </w:pPr>
            <w:r>
              <w:rPr>
                <w:color w:val="231F20"/>
                <w:sz w:val="20"/>
              </w:rPr>
              <w:t>69</w:t>
            </w:r>
          </w:p>
        </w:tc>
        <w:tc>
          <w:tcPr>
            <w:tcW w:w="360" w:type="dxa"/>
          </w:tcPr>
          <w:p>
            <w:pPr/>
          </w:p>
        </w:tc>
        <w:tc>
          <w:tcPr>
            <w:tcW w:w="1000" w:type="dxa"/>
            <w:tcBorders>
              <w:top w:val="single" w:sz="4" w:space="0" w:color="231F20"/>
              <w:bottom w:val="single" w:sz="4" w:space="0" w:color="231F20"/>
            </w:tcBorders>
          </w:tcPr>
          <w:p>
            <w:pPr>
              <w:pStyle w:val="TableParagraph"/>
              <w:spacing w:before="53"/>
              <w:ind w:right="-27"/>
              <w:rPr>
                <w:sz w:val="20"/>
              </w:rPr>
            </w:pPr>
            <w:r>
              <w:rPr>
                <w:color w:val="231F20"/>
                <w:sz w:val="20"/>
              </w:rPr>
              <w:t>(62)</w:t>
            </w:r>
          </w:p>
        </w:tc>
        <w:tc>
          <w:tcPr>
            <w:tcW w:w="360" w:type="dxa"/>
          </w:tcPr>
          <w:p>
            <w:pPr/>
          </w:p>
        </w:tc>
        <w:tc>
          <w:tcPr>
            <w:tcW w:w="1076" w:type="dxa"/>
            <w:gridSpan w:val="2"/>
            <w:tcBorders>
              <w:top w:val="single" w:sz="4" w:space="0" w:color="231F20"/>
              <w:bottom w:val="single" w:sz="4" w:space="0" w:color="231F20"/>
            </w:tcBorders>
          </w:tcPr>
          <w:p>
            <w:pPr>
              <w:pStyle w:val="TableParagraph"/>
              <w:spacing w:before="53"/>
              <w:ind w:left="660"/>
              <w:jc w:val="left"/>
              <w:rPr>
                <w:sz w:val="20"/>
              </w:rPr>
            </w:pPr>
            <w:r>
              <w:rPr>
                <w:color w:val="231F20"/>
                <w:sz w:val="20"/>
              </w:rPr>
              <w:t>370</w:t>
            </w:r>
          </w:p>
        </w:tc>
      </w:tr>
      <w:tr>
        <w:trPr>
          <w:trHeight w:val="422" w:hRule="exact"/>
        </w:trPr>
        <w:tc>
          <w:tcPr>
            <w:tcW w:w="5375" w:type="dxa"/>
          </w:tcPr>
          <w:p>
            <w:pPr>
              <w:pStyle w:val="TableParagraph"/>
              <w:spacing w:before="181"/>
              <w:ind w:left="50"/>
              <w:jc w:val="left"/>
              <w:rPr>
                <w:sz w:val="20"/>
              </w:rPr>
            </w:pPr>
            <w:r>
              <w:rPr>
                <w:b/>
                <w:color w:val="231F20"/>
                <w:sz w:val="20"/>
              </w:rPr>
              <w:t>INCOME BEFORE INCOME TAXES  </w:t>
            </w:r>
            <w:r>
              <w:rPr>
                <w:color w:val="231F20"/>
                <w:sz w:val="20"/>
              </w:rPr>
              <w:t>. . . . . . . . . . . . . . . . . . </w:t>
            </w:r>
          </w:p>
        </w:tc>
        <w:tc>
          <w:tcPr>
            <w:tcW w:w="1075" w:type="dxa"/>
            <w:tcBorders>
              <w:top w:val="single" w:sz="4" w:space="0" w:color="231F20"/>
            </w:tcBorders>
          </w:tcPr>
          <w:p>
            <w:pPr>
              <w:pStyle w:val="TableParagraph"/>
              <w:spacing w:before="176"/>
              <w:ind w:right="39"/>
              <w:rPr>
                <w:sz w:val="20"/>
              </w:rPr>
            </w:pPr>
            <w:r>
              <w:rPr>
                <w:color w:val="231F20"/>
                <w:sz w:val="20"/>
              </w:rPr>
              <w:t>1,209</w:t>
            </w:r>
          </w:p>
        </w:tc>
        <w:tc>
          <w:tcPr>
            <w:tcW w:w="360" w:type="dxa"/>
          </w:tcPr>
          <w:p>
            <w:pPr/>
          </w:p>
        </w:tc>
        <w:tc>
          <w:tcPr>
            <w:tcW w:w="1000" w:type="dxa"/>
            <w:tcBorders>
              <w:top w:val="single" w:sz="4" w:space="0" w:color="231F20"/>
            </w:tcBorders>
          </w:tcPr>
          <w:p>
            <w:pPr>
              <w:pStyle w:val="TableParagraph"/>
              <w:spacing w:before="176"/>
              <w:ind w:right="39"/>
              <w:rPr>
                <w:sz w:val="20"/>
              </w:rPr>
            </w:pPr>
            <w:r>
              <w:rPr>
                <w:color w:val="231F20"/>
                <w:sz w:val="20"/>
              </w:rPr>
              <w:t>685</w:t>
            </w:r>
          </w:p>
        </w:tc>
        <w:tc>
          <w:tcPr>
            <w:tcW w:w="360" w:type="dxa"/>
          </w:tcPr>
          <w:p>
            <w:pPr/>
          </w:p>
        </w:tc>
        <w:tc>
          <w:tcPr>
            <w:tcW w:w="1076" w:type="dxa"/>
            <w:gridSpan w:val="2"/>
            <w:tcBorders>
              <w:top w:val="single" w:sz="4" w:space="0" w:color="231F20"/>
            </w:tcBorders>
          </w:tcPr>
          <w:p>
            <w:pPr>
              <w:pStyle w:val="TableParagraph"/>
              <w:spacing w:before="176"/>
              <w:ind w:left="660"/>
              <w:jc w:val="left"/>
              <w:rPr>
                <w:sz w:val="20"/>
              </w:rPr>
            </w:pPr>
            <w:r>
              <w:rPr>
                <w:color w:val="231F20"/>
                <w:sz w:val="20"/>
              </w:rPr>
              <w:t>323</w:t>
            </w:r>
          </w:p>
        </w:tc>
      </w:tr>
      <w:tr>
        <w:trPr>
          <w:trHeight w:val="261" w:hRule="exact"/>
        </w:trPr>
        <w:tc>
          <w:tcPr>
            <w:tcW w:w="5375" w:type="dxa"/>
          </w:tcPr>
          <w:p>
            <w:pPr>
              <w:pStyle w:val="TableParagraph"/>
              <w:spacing w:line="230" w:lineRule="exact"/>
              <w:ind w:left="50"/>
              <w:jc w:val="left"/>
              <w:rPr>
                <w:sz w:val="20"/>
              </w:rPr>
            </w:pPr>
            <w:r>
              <w:rPr>
                <w:b/>
                <w:color w:val="231F20"/>
                <w:sz w:val="20"/>
              </w:rPr>
              <w:t>PROVISION FOR INCOME TAXES   </w:t>
            </w:r>
            <w:r>
              <w:rPr>
                <w:color w:val="231F20"/>
                <w:sz w:val="20"/>
              </w:rPr>
              <w:t>. . . . . . . . . . . . . . . . . . . </w:t>
            </w:r>
          </w:p>
        </w:tc>
        <w:tc>
          <w:tcPr>
            <w:tcW w:w="1075" w:type="dxa"/>
            <w:tcBorders>
              <w:bottom w:val="single" w:sz="4" w:space="0" w:color="231F20"/>
            </w:tcBorders>
          </w:tcPr>
          <w:p>
            <w:pPr>
              <w:pStyle w:val="TableParagraph"/>
              <w:spacing w:line="230" w:lineRule="exact"/>
              <w:ind w:right="39"/>
              <w:rPr>
                <w:sz w:val="20"/>
              </w:rPr>
            </w:pPr>
            <w:r>
              <w:rPr>
                <w:color w:val="231F20"/>
                <w:sz w:val="20"/>
              </w:rPr>
              <w:t>455</w:t>
            </w:r>
          </w:p>
        </w:tc>
        <w:tc>
          <w:tcPr>
            <w:tcW w:w="360" w:type="dxa"/>
          </w:tcPr>
          <w:p>
            <w:pPr/>
          </w:p>
        </w:tc>
        <w:tc>
          <w:tcPr>
            <w:tcW w:w="1000" w:type="dxa"/>
            <w:tcBorders>
              <w:bottom w:val="single" w:sz="4" w:space="0" w:color="231F20"/>
            </w:tcBorders>
          </w:tcPr>
          <w:p>
            <w:pPr>
              <w:pStyle w:val="TableParagraph"/>
              <w:spacing w:line="230" w:lineRule="exact"/>
              <w:ind w:right="39"/>
              <w:rPr>
                <w:sz w:val="20"/>
              </w:rPr>
            </w:pPr>
            <w:r>
              <w:rPr>
                <w:color w:val="231F20"/>
                <w:sz w:val="20"/>
              </w:rPr>
              <w:t>264</w:t>
            </w:r>
          </w:p>
        </w:tc>
        <w:tc>
          <w:tcPr>
            <w:tcW w:w="360" w:type="dxa"/>
          </w:tcPr>
          <w:p>
            <w:pPr/>
          </w:p>
        </w:tc>
        <w:tc>
          <w:tcPr>
            <w:tcW w:w="1076" w:type="dxa"/>
            <w:gridSpan w:val="2"/>
            <w:tcBorders>
              <w:bottom w:val="single" w:sz="4" w:space="0" w:color="231F20"/>
            </w:tcBorders>
          </w:tcPr>
          <w:p>
            <w:pPr>
              <w:pStyle w:val="TableParagraph"/>
              <w:spacing w:line="230" w:lineRule="exact"/>
              <w:ind w:left="660"/>
              <w:jc w:val="left"/>
              <w:rPr>
                <w:sz w:val="20"/>
              </w:rPr>
            </w:pPr>
            <w:r>
              <w:rPr>
                <w:color w:val="231F20"/>
                <w:sz w:val="20"/>
              </w:rPr>
              <w:t>145</w:t>
            </w:r>
          </w:p>
        </w:tc>
      </w:tr>
      <w:tr>
        <w:trPr>
          <w:trHeight w:val="360" w:hRule="exact"/>
        </w:trPr>
        <w:tc>
          <w:tcPr>
            <w:tcW w:w="5375" w:type="dxa"/>
          </w:tcPr>
          <w:p>
            <w:pPr>
              <w:pStyle w:val="TableParagraph"/>
              <w:spacing w:before="58"/>
              <w:ind w:left="50"/>
              <w:jc w:val="left"/>
              <w:rPr>
                <w:sz w:val="20"/>
              </w:rPr>
            </w:pPr>
            <w:r>
              <w:rPr>
                <w:b/>
                <w:color w:val="231F20"/>
                <w:sz w:val="20"/>
              </w:rPr>
              <w:t>NET INCOME   </w:t>
            </w:r>
            <w:r>
              <w:rPr>
                <w:color w:val="231F20"/>
                <w:sz w:val="20"/>
              </w:rPr>
              <w:t>. . . . . . . . . . . . . . . . . . . . . . . . . . . . . . . . . . . . . . </w:t>
            </w:r>
          </w:p>
        </w:tc>
        <w:tc>
          <w:tcPr>
            <w:tcW w:w="1075" w:type="dxa"/>
            <w:tcBorders>
              <w:top w:val="single" w:sz="4" w:space="0" w:color="231F20"/>
              <w:bottom w:val="single" w:sz="4" w:space="0" w:color="231F20"/>
            </w:tcBorders>
          </w:tcPr>
          <w:p>
            <w:pPr>
              <w:pStyle w:val="TableParagraph"/>
              <w:tabs>
                <w:tab w:pos="734" w:val="left" w:leader="none"/>
              </w:tabs>
              <w:spacing w:before="53"/>
              <w:ind w:left="74"/>
              <w:jc w:val="left"/>
              <w:rPr>
                <w:sz w:val="20"/>
              </w:rPr>
            </w:pPr>
            <w:r>
              <w:rPr>
                <w:color w:val="231F20"/>
                <w:sz w:val="20"/>
              </w:rPr>
              <w:t>$</w:t>
              <w:tab/>
              <w:t>754</w:t>
            </w:r>
          </w:p>
        </w:tc>
        <w:tc>
          <w:tcPr>
            <w:tcW w:w="360" w:type="dxa"/>
          </w:tcPr>
          <w:p>
            <w:pPr/>
          </w:p>
        </w:tc>
        <w:tc>
          <w:tcPr>
            <w:tcW w:w="1000" w:type="dxa"/>
            <w:tcBorders>
              <w:top w:val="single" w:sz="4" w:space="0" w:color="231F20"/>
              <w:bottom w:val="single" w:sz="4" w:space="0" w:color="231F20"/>
            </w:tcBorders>
          </w:tcPr>
          <w:p>
            <w:pPr>
              <w:pStyle w:val="TableParagraph"/>
              <w:tabs>
                <w:tab w:pos="659" w:val="left" w:leader="none"/>
              </w:tabs>
              <w:spacing w:before="53"/>
              <w:jc w:val="left"/>
              <w:rPr>
                <w:sz w:val="20"/>
              </w:rPr>
            </w:pPr>
            <w:r>
              <w:rPr>
                <w:color w:val="231F20"/>
                <w:sz w:val="20"/>
              </w:rPr>
              <w:t>$</w:t>
              <w:tab/>
              <w:t>421</w:t>
            </w:r>
          </w:p>
        </w:tc>
        <w:tc>
          <w:tcPr>
            <w:tcW w:w="360" w:type="dxa"/>
          </w:tcPr>
          <w:p>
            <w:pPr/>
          </w:p>
        </w:tc>
        <w:tc>
          <w:tcPr>
            <w:tcW w:w="1076" w:type="dxa"/>
            <w:gridSpan w:val="2"/>
            <w:tcBorders>
              <w:top w:val="single" w:sz="4" w:space="0" w:color="231F20"/>
              <w:bottom w:val="single" w:sz="4" w:space="0" w:color="231F20"/>
            </w:tcBorders>
          </w:tcPr>
          <w:p>
            <w:pPr>
              <w:pStyle w:val="TableParagraph"/>
              <w:tabs>
                <w:tab w:pos="659" w:val="left" w:leader="none"/>
              </w:tabs>
              <w:spacing w:before="53"/>
              <w:jc w:val="left"/>
              <w:rPr>
                <w:sz w:val="20"/>
              </w:rPr>
            </w:pPr>
            <w:r>
              <w:rPr>
                <w:color w:val="231F20"/>
                <w:sz w:val="20"/>
              </w:rPr>
              <w:t>$</w:t>
              <w:tab/>
              <w:t>178</w:t>
            </w:r>
          </w:p>
        </w:tc>
      </w:tr>
      <w:tr>
        <w:trPr>
          <w:trHeight w:val="360" w:hRule="exact"/>
        </w:trPr>
        <w:tc>
          <w:tcPr>
            <w:tcW w:w="5375" w:type="dxa"/>
          </w:tcPr>
          <w:p>
            <w:pPr>
              <w:pStyle w:val="TableParagraph"/>
              <w:spacing w:before="58"/>
              <w:ind w:left="50"/>
              <w:jc w:val="left"/>
              <w:rPr>
                <w:sz w:val="20"/>
              </w:rPr>
            </w:pPr>
            <w:r>
              <w:rPr>
                <w:b/>
                <w:color w:val="231F20"/>
                <w:sz w:val="20"/>
              </w:rPr>
              <w:t>NET INCOME PER SHARE, BASIC   </w:t>
            </w:r>
            <w:r>
              <w:rPr>
                <w:color w:val="231F20"/>
                <w:sz w:val="20"/>
              </w:rPr>
              <w:t>. . . . . . . . . . . . . . . . . . . </w:t>
            </w:r>
          </w:p>
        </w:tc>
        <w:tc>
          <w:tcPr>
            <w:tcW w:w="1075" w:type="dxa"/>
            <w:tcBorders>
              <w:top w:val="single" w:sz="4" w:space="0" w:color="231F20"/>
              <w:bottom w:val="single" w:sz="4" w:space="0" w:color="231F20"/>
            </w:tcBorders>
          </w:tcPr>
          <w:p>
            <w:pPr>
              <w:pStyle w:val="TableParagraph"/>
              <w:tabs>
                <w:tab w:pos="684" w:val="left" w:leader="none"/>
              </w:tabs>
              <w:spacing w:before="53"/>
              <w:ind w:left="74"/>
              <w:jc w:val="left"/>
              <w:rPr>
                <w:sz w:val="20"/>
              </w:rPr>
            </w:pPr>
            <w:r>
              <w:rPr>
                <w:color w:val="231F20"/>
                <w:sz w:val="20"/>
              </w:rPr>
              <w:t>$</w:t>
              <w:tab/>
              <w:t>1.06</w:t>
            </w:r>
          </w:p>
        </w:tc>
        <w:tc>
          <w:tcPr>
            <w:tcW w:w="360" w:type="dxa"/>
          </w:tcPr>
          <w:p>
            <w:pPr/>
          </w:p>
        </w:tc>
        <w:tc>
          <w:tcPr>
            <w:tcW w:w="1000" w:type="dxa"/>
            <w:tcBorders>
              <w:top w:val="single" w:sz="4" w:space="0" w:color="231F20"/>
              <w:bottom w:val="single" w:sz="4" w:space="0" w:color="231F20"/>
            </w:tcBorders>
          </w:tcPr>
          <w:p>
            <w:pPr>
              <w:pStyle w:val="TableParagraph"/>
              <w:tabs>
                <w:tab w:pos="609" w:val="left" w:leader="none"/>
              </w:tabs>
              <w:spacing w:before="53"/>
              <w:jc w:val="left"/>
              <w:rPr>
                <w:sz w:val="20"/>
              </w:rPr>
            </w:pPr>
            <w:r>
              <w:rPr>
                <w:color w:val="231F20"/>
                <w:sz w:val="20"/>
              </w:rPr>
              <w:t>$</w:t>
              <w:tab/>
              <w:t>0.56</w:t>
            </w:r>
          </w:p>
        </w:tc>
        <w:tc>
          <w:tcPr>
            <w:tcW w:w="360" w:type="dxa"/>
          </w:tcPr>
          <w:p>
            <w:pPr/>
          </w:p>
        </w:tc>
        <w:tc>
          <w:tcPr>
            <w:tcW w:w="1076" w:type="dxa"/>
            <w:gridSpan w:val="2"/>
            <w:tcBorders>
              <w:top w:val="single" w:sz="4" w:space="0" w:color="231F20"/>
              <w:bottom w:val="single" w:sz="4" w:space="0" w:color="231F20"/>
            </w:tcBorders>
          </w:tcPr>
          <w:p>
            <w:pPr>
              <w:pStyle w:val="TableParagraph"/>
              <w:tabs>
                <w:tab w:pos="609" w:val="left" w:leader="none"/>
              </w:tabs>
              <w:spacing w:before="53"/>
              <w:jc w:val="left"/>
              <w:rPr>
                <w:sz w:val="20"/>
              </w:rPr>
            </w:pPr>
            <w:r>
              <w:rPr>
                <w:color w:val="231F20"/>
                <w:sz w:val="20"/>
              </w:rPr>
              <w:t>$</w:t>
              <w:tab/>
              <w:t>0.23</w:t>
            </w:r>
          </w:p>
        </w:tc>
      </w:tr>
      <w:tr>
        <w:trPr>
          <w:trHeight w:val="360" w:hRule="exact"/>
        </w:trPr>
        <w:tc>
          <w:tcPr>
            <w:tcW w:w="5375" w:type="dxa"/>
          </w:tcPr>
          <w:p>
            <w:pPr>
              <w:pStyle w:val="TableParagraph"/>
              <w:spacing w:before="58"/>
              <w:ind w:left="50"/>
              <w:jc w:val="left"/>
              <w:rPr>
                <w:sz w:val="20"/>
              </w:rPr>
            </w:pPr>
            <w:r>
              <w:rPr>
                <w:b/>
                <w:color w:val="231F20"/>
                <w:sz w:val="20"/>
              </w:rPr>
              <w:t>NET INCOME PER SHARE, DILUTED </w:t>
            </w:r>
            <w:r>
              <w:rPr>
                <w:color w:val="231F20"/>
                <w:sz w:val="20"/>
              </w:rPr>
              <w:t>. . . . . . . . . . . . . . . . . </w:t>
            </w:r>
          </w:p>
        </w:tc>
        <w:tc>
          <w:tcPr>
            <w:tcW w:w="1075" w:type="dxa"/>
            <w:tcBorders>
              <w:top w:val="single" w:sz="4" w:space="0" w:color="231F20"/>
              <w:bottom w:val="single" w:sz="4" w:space="0" w:color="231F20"/>
            </w:tcBorders>
          </w:tcPr>
          <w:p>
            <w:pPr>
              <w:pStyle w:val="TableParagraph"/>
              <w:tabs>
                <w:tab w:pos="684" w:val="left" w:leader="none"/>
              </w:tabs>
              <w:spacing w:before="53"/>
              <w:ind w:left="74"/>
              <w:jc w:val="left"/>
              <w:rPr>
                <w:sz w:val="20"/>
              </w:rPr>
            </w:pPr>
            <w:r>
              <w:rPr>
                <w:color w:val="231F20"/>
                <w:sz w:val="20"/>
              </w:rPr>
              <w:t>$</w:t>
              <w:tab/>
              <w:t>1.05</w:t>
            </w:r>
          </w:p>
        </w:tc>
        <w:tc>
          <w:tcPr>
            <w:tcW w:w="360" w:type="dxa"/>
          </w:tcPr>
          <w:p>
            <w:pPr/>
          </w:p>
        </w:tc>
        <w:tc>
          <w:tcPr>
            <w:tcW w:w="1000" w:type="dxa"/>
            <w:tcBorders>
              <w:top w:val="single" w:sz="4" w:space="0" w:color="231F20"/>
              <w:bottom w:val="single" w:sz="4" w:space="0" w:color="231F20"/>
            </w:tcBorders>
          </w:tcPr>
          <w:p>
            <w:pPr>
              <w:pStyle w:val="TableParagraph"/>
              <w:tabs>
                <w:tab w:pos="609" w:val="left" w:leader="none"/>
              </w:tabs>
              <w:spacing w:before="53"/>
              <w:jc w:val="left"/>
              <w:rPr>
                <w:sz w:val="20"/>
              </w:rPr>
            </w:pPr>
            <w:r>
              <w:rPr>
                <w:color w:val="231F20"/>
                <w:sz w:val="20"/>
              </w:rPr>
              <w:t>$</w:t>
              <w:tab/>
              <w:t>0.56</w:t>
            </w:r>
          </w:p>
        </w:tc>
        <w:tc>
          <w:tcPr>
            <w:tcW w:w="360" w:type="dxa"/>
          </w:tcPr>
          <w:p>
            <w:pPr/>
          </w:p>
        </w:tc>
        <w:tc>
          <w:tcPr>
            <w:tcW w:w="1076" w:type="dxa"/>
            <w:gridSpan w:val="2"/>
            <w:tcBorders>
              <w:top w:val="single" w:sz="4" w:space="0" w:color="231F20"/>
              <w:bottom w:val="single" w:sz="4" w:space="0" w:color="231F20"/>
            </w:tcBorders>
          </w:tcPr>
          <w:p>
            <w:pPr>
              <w:pStyle w:val="TableParagraph"/>
              <w:tabs>
                <w:tab w:pos="609" w:val="left" w:leader="none"/>
              </w:tabs>
              <w:spacing w:before="53"/>
              <w:jc w:val="left"/>
              <w:rPr>
                <w:sz w:val="20"/>
              </w:rPr>
            </w:pPr>
            <w:r>
              <w:rPr>
                <w:color w:val="231F20"/>
                <w:sz w:val="20"/>
              </w:rPr>
              <w:t>$</w:t>
              <w:tab/>
              <w:t>0.23</w:t>
            </w:r>
          </w:p>
        </w:tc>
      </w:tr>
      <w:tr>
        <w:trPr>
          <w:trHeight w:val="290" w:hRule="exact"/>
        </w:trPr>
        <w:tc>
          <w:tcPr>
            <w:tcW w:w="5375" w:type="dxa"/>
          </w:tcPr>
          <w:p>
            <w:pPr>
              <w:pStyle w:val="TableParagraph"/>
              <w:spacing w:before="58"/>
              <w:ind w:left="50"/>
              <w:jc w:val="left"/>
              <w:rPr>
                <w:sz w:val="20"/>
              </w:rPr>
            </w:pPr>
            <w:r>
              <w:rPr>
                <w:b/>
                <w:color w:val="231F20"/>
                <w:sz w:val="20"/>
              </w:rPr>
              <w:t>Cash dividends declared per common share  </w:t>
            </w:r>
            <w:r>
              <w:rPr>
                <w:color w:val="231F20"/>
                <w:sz w:val="20"/>
              </w:rPr>
              <w:t>. . . . . . . . . . . . . . </w:t>
            </w:r>
          </w:p>
        </w:tc>
        <w:tc>
          <w:tcPr>
            <w:tcW w:w="1075" w:type="dxa"/>
            <w:tcBorders>
              <w:top w:val="single" w:sz="4" w:space="0" w:color="231F20"/>
            </w:tcBorders>
          </w:tcPr>
          <w:p>
            <w:pPr>
              <w:pStyle w:val="TableParagraph"/>
              <w:tabs>
                <w:tab w:pos="584" w:val="left" w:leader="none"/>
              </w:tabs>
              <w:spacing w:before="53"/>
              <w:ind w:left="74"/>
              <w:jc w:val="left"/>
              <w:rPr>
                <w:sz w:val="20"/>
              </w:rPr>
            </w:pPr>
            <w:r>
              <w:rPr>
                <w:color w:val="231F20"/>
                <w:sz w:val="20"/>
              </w:rPr>
              <w:t>$</w:t>
              <w:tab/>
              <w:t>.1300</w:t>
            </w:r>
          </w:p>
        </w:tc>
        <w:tc>
          <w:tcPr>
            <w:tcW w:w="360" w:type="dxa"/>
          </w:tcPr>
          <w:p>
            <w:pPr/>
          </w:p>
        </w:tc>
        <w:tc>
          <w:tcPr>
            <w:tcW w:w="1000" w:type="dxa"/>
            <w:tcBorders>
              <w:top w:val="single" w:sz="4" w:space="0" w:color="231F20"/>
            </w:tcBorders>
          </w:tcPr>
          <w:p>
            <w:pPr>
              <w:pStyle w:val="TableParagraph"/>
              <w:tabs>
                <w:tab w:pos="509" w:val="left" w:leader="none"/>
              </w:tabs>
              <w:spacing w:before="53"/>
              <w:jc w:val="left"/>
              <w:rPr>
                <w:sz w:val="20"/>
              </w:rPr>
            </w:pPr>
            <w:r>
              <w:rPr>
                <w:color w:val="231F20"/>
                <w:sz w:val="20"/>
              </w:rPr>
              <w:t>$</w:t>
              <w:tab/>
              <w:t>.0345</w:t>
            </w:r>
          </w:p>
        </w:tc>
        <w:tc>
          <w:tcPr>
            <w:tcW w:w="360" w:type="dxa"/>
          </w:tcPr>
          <w:p>
            <w:pPr/>
          </w:p>
        </w:tc>
        <w:tc>
          <w:tcPr>
            <w:tcW w:w="1076" w:type="dxa"/>
            <w:gridSpan w:val="2"/>
            <w:tcBorders>
              <w:top w:val="single" w:sz="4" w:space="0" w:color="231F20"/>
            </w:tcBorders>
          </w:tcPr>
          <w:p>
            <w:pPr>
              <w:pStyle w:val="TableParagraph"/>
              <w:tabs>
                <w:tab w:pos="509" w:val="left" w:leader="none"/>
              </w:tabs>
              <w:spacing w:before="53"/>
              <w:jc w:val="left"/>
              <w:rPr>
                <w:sz w:val="20"/>
              </w:rPr>
            </w:pPr>
            <w:r>
              <w:rPr>
                <w:color w:val="231F20"/>
                <w:sz w:val="20"/>
              </w:rPr>
              <w:t>$</w:t>
              <w:tab/>
              <w:t>.0180</w:t>
            </w:r>
          </w:p>
        </w:tc>
      </w:tr>
    </w:tbl>
    <w:p>
      <w:pPr>
        <w:spacing w:after="0"/>
        <w:jc w:val="left"/>
        <w:rPr>
          <w:sz w:val="20"/>
        </w:rPr>
        <w:sectPr>
          <w:pgSz w:w="11880" w:h="15480"/>
          <w:pgMar w:header="0" w:footer="1718" w:top="1240" w:bottom="1900" w:left="1220" w:right="1200"/>
        </w:sectPr>
      </w:pPr>
    </w:p>
    <w:p>
      <w:pPr>
        <w:spacing w:before="73"/>
        <w:ind w:left="3374" w:right="0" w:firstLine="0"/>
        <w:jc w:val="left"/>
        <w:rPr>
          <w:b/>
          <w:sz w:val="20"/>
        </w:rPr>
      </w:pPr>
      <w:bookmarkStart w:name="Southwest Airlines Co. Consolidated Stat" w:id="27"/>
      <w:bookmarkEnd w:id="27"/>
      <w:r>
        <w:rPr/>
      </w:r>
      <w:r>
        <w:rPr>
          <w:b/>
          <w:color w:val="231F20"/>
          <w:sz w:val="20"/>
        </w:rPr>
        <w:t>SOUTHWEST AIRLINES CO.</w:t>
      </w:r>
    </w:p>
    <w:p>
      <w:pPr>
        <w:spacing w:before="129"/>
        <w:ind w:left="40" w:right="0" w:firstLine="0"/>
        <w:jc w:val="center"/>
        <w:rPr>
          <w:b/>
          <w:sz w:val="20"/>
        </w:rPr>
      </w:pPr>
      <w:r>
        <w:rPr>
          <w:b/>
          <w:color w:val="231F20"/>
          <w:sz w:val="20"/>
        </w:rPr>
        <w:t>CONSOLIDATED STATEMENT OF COMPREHENSIVE INCOME</w:t>
      </w:r>
    </w:p>
    <w:p>
      <w:pPr>
        <w:pStyle w:val="BodyText"/>
        <w:spacing w:before="9"/>
        <w:ind w:left="37"/>
        <w:jc w:val="center"/>
      </w:pPr>
      <w:r>
        <w:rPr>
          <w:color w:val="231F20"/>
        </w:rPr>
        <w:t>(in millions)</w:t>
      </w:r>
    </w:p>
    <w:p>
      <w:pPr>
        <w:pStyle w:val="BodyText"/>
        <w:spacing w:before="9"/>
        <w:rPr>
          <w:sz w:val="18"/>
        </w:rPr>
      </w:pPr>
    </w:p>
    <w:p>
      <w:pPr>
        <w:pStyle w:val="Heading3"/>
        <w:spacing w:after="26"/>
        <w:ind w:left="6480"/>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95"/>
        <w:gridCol w:w="1075"/>
        <w:gridCol w:w="200"/>
        <w:gridCol w:w="1000"/>
        <w:gridCol w:w="200"/>
        <w:gridCol w:w="1000"/>
      </w:tblGrid>
      <w:tr>
        <w:trPr>
          <w:trHeight w:val="280" w:hRule="exact"/>
        </w:trPr>
        <w:tc>
          <w:tcPr>
            <w:tcW w:w="5695" w:type="dxa"/>
          </w:tcPr>
          <w:p>
            <w:pPr/>
          </w:p>
        </w:tc>
        <w:tc>
          <w:tcPr>
            <w:tcW w:w="1075" w:type="dxa"/>
            <w:tcBorders>
              <w:top w:val="single" w:sz="8" w:space="0" w:color="231F20"/>
              <w:bottom w:val="single" w:sz="8" w:space="0" w:color="231F20"/>
            </w:tcBorders>
          </w:tcPr>
          <w:p>
            <w:pPr>
              <w:pStyle w:val="TableParagraph"/>
              <w:spacing w:before="13"/>
              <w:ind w:left="374"/>
              <w:jc w:val="left"/>
              <w:rPr>
                <w:b/>
                <w:sz w:val="20"/>
              </w:rPr>
            </w:pPr>
            <w:r>
              <w:rPr>
                <w:b/>
                <w:color w:val="231F20"/>
                <w:sz w:val="20"/>
              </w:rPr>
              <w:t>2013</w:t>
            </w:r>
          </w:p>
        </w:tc>
        <w:tc>
          <w:tcPr>
            <w:tcW w:w="200" w:type="dxa"/>
            <w:tcBorders>
              <w:top w:val="single" w:sz="8" w:space="0" w:color="231F20"/>
            </w:tcBorders>
          </w:tcPr>
          <w:p>
            <w:pPr/>
          </w:p>
        </w:tc>
        <w:tc>
          <w:tcPr>
            <w:tcW w:w="1000" w:type="dxa"/>
            <w:tcBorders>
              <w:top w:val="single" w:sz="8" w:space="0" w:color="231F20"/>
              <w:bottom w:val="single" w:sz="8" w:space="0" w:color="231F20"/>
            </w:tcBorders>
          </w:tcPr>
          <w:p>
            <w:pPr>
              <w:pStyle w:val="TableParagraph"/>
              <w:spacing w:before="13"/>
              <w:jc w:val="center"/>
              <w:rPr>
                <w:b/>
                <w:sz w:val="20"/>
              </w:rPr>
            </w:pPr>
            <w:r>
              <w:rPr>
                <w:b/>
                <w:color w:val="231F20"/>
                <w:sz w:val="20"/>
              </w:rPr>
              <w:t>2012</w:t>
            </w:r>
          </w:p>
        </w:tc>
        <w:tc>
          <w:tcPr>
            <w:tcW w:w="200" w:type="dxa"/>
            <w:tcBorders>
              <w:top w:val="single" w:sz="8" w:space="0" w:color="231F20"/>
            </w:tcBorders>
          </w:tcPr>
          <w:p>
            <w:pPr/>
          </w:p>
        </w:tc>
        <w:tc>
          <w:tcPr>
            <w:tcW w:w="1000" w:type="dxa"/>
            <w:tcBorders>
              <w:top w:val="single" w:sz="8" w:space="0" w:color="231F20"/>
              <w:bottom w:val="single" w:sz="8" w:space="0" w:color="231F20"/>
            </w:tcBorders>
          </w:tcPr>
          <w:p>
            <w:pPr>
              <w:pStyle w:val="TableParagraph"/>
              <w:spacing w:before="13"/>
              <w:jc w:val="center"/>
              <w:rPr>
                <w:b/>
                <w:sz w:val="20"/>
              </w:rPr>
            </w:pPr>
            <w:r>
              <w:rPr>
                <w:b/>
                <w:color w:val="231F20"/>
                <w:sz w:val="20"/>
              </w:rPr>
              <w:t>2011</w:t>
            </w:r>
          </w:p>
        </w:tc>
      </w:tr>
      <w:tr>
        <w:trPr>
          <w:trHeight w:val="295" w:hRule="exact"/>
        </w:trPr>
        <w:tc>
          <w:tcPr>
            <w:tcW w:w="5695" w:type="dxa"/>
          </w:tcPr>
          <w:p>
            <w:pPr>
              <w:pStyle w:val="TableParagraph"/>
              <w:spacing w:before="63"/>
              <w:ind w:right="73"/>
              <w:rPr>
                <w:sz w:val="20"/>
              </w:rPr>
            </w:pPr>
            <w:r>
              <w:rPr>
                <w:b/>
                <w:color w:val="231F20"/>
                <w:sz w:val="20"/>
              </w:rPr>
              <w:t>NET INCOME </w:t>
            </w:r>
            <w:r>
              <w:rPr>
                <w:color w:val="231F20"/>
                <w:sz w:val="20"/>
              </w:rPr>
              <w:t>. . . . . . . . . . . . . . . . . . . . . . . . . . . . . . . . . . . . . . . . . . </w:t>
            </w:r>
          </w:p>
        </w:tc>
        <w:tc>
          <w:tcPr>
            <w:tcW w:w="1075" w:type="dxa"/>
            <w:tcBorders>
              <w:top w:val="single" w:sz="8" w:space="0" w:color="231F20"/>
            </w:tcBorders>
          </w:tcPr>
          <w:p>
            <w:pPr>
              <w:pStyle w:val="TableParagraph"/>
              <w:tabs>
                <w:tab w:pos="639" w:val="left" w:leader="none"/>
              </w:tabs>
              <w:spacing w:before="53"/>
              <w:ind w:right="59"/>
              <w:rPr>
                <w:sz w:val="20"/>
              </w:rPr>
            </w:pPr>
            <w:r>
              <w:rPr>
                <w:color w:val="231F20"/>
                <w:sz w:val="20"/>
              </w:rPr>
              <w:t>$</w:t>
              <w:tab/>
              <w:t>754</w:t>
            </w:r>
          </w:p>
        </w:tc>
        <w:tc>
          <w:tcPr>
            <w:tcW w:w="200" w:type="dxa"/>
          </w:tcPr>
          <w:p>
            <w:pPr/>
          </w:p>
        </w:tc>
        <w:tc>
          <w:tcPr>
            <w:tcW w:w="1000" w:type="dxa"/>
            <w:tcBorders>
              <w:top w:val="single" w:sz="8" w:space="0" w:color="231F20"/>
            </w:tcBorders>
          </w:tcPr>
          <w:p>
            <w:pPr>
              <w:pStyle w:val="TableParagraph"/>
              <w:tabs>
                <w:tab w:pos="639" w:val="left" w:leader="none"/>
              </w:tabs>
              <w:spacing w:before="53"/>
              <w:ind w:right="59"/>
              <w:jc w:val="center"/>
              <w:rPr>
                <w:sz w:val="20"/>
              </w:rPr>
            </w:pPr>
            <w:r>
              <w:rPr>
                <w:color w:val="231F20"/>
                <w:sz w:val="20"/>
              </w:rPr>
              <w:t>$</w:t>
              <w:tab/>
              <w:t>421</w:t>
            </w:r>
          </w:p>
        </w:tc>
        <w:tc>
          <w:tcPr>
            <w:tcW w:w="200" w:type="dxa"/>
          </w:tcPr>
          <w:p>
            <w:pPr/>
          </w:p>
        </w:tc>
        <w:tc>
          <w:tcPr>
            <w:tcW w:w="1000" w:type="dxa"/>
            <w:tcBorders>
              <w:top w:val="single" w:sz="8" w:space="0" w:color="231F20"/>
            </w:tcBorders>
          </w:tcPr>
          <w:p>
            <w:pPr>
              <w:pStyle w:val="TableParagraph"/>
              <w:tabs>
                <w:tab w:pos="639" w:val="left" w:leader="none"/>
              </w:tabs>
              <w:spacing w:before="53"/>
              <w:ind w:right="59"/>
              <w:jc w:val="center"/>
              <w:rPr>
                <w:sz w:val="20"/>
              </w:rPr>
            </w:pPr>
            <w:r>
              <w:rPr>
                <w:color w:val="231F20"/>
                <w:sz w:val="20"/>
              </w:rPr>
              <w:t>$</w:t>
              <w:tab/>
              <w:t>178</w:t>
            </w:r>
          </w:p>
        </w:tc>
      </w:tr>
      <w:tr>
        <w:trPr>
          <w:trHeight w:val="489" w:hRule="exact"/>
        </w:trPr>
        <w:tc>
          <w:tcPr>
            <w:tcW w:w="5695" w:type="dxa"/>
          </w:tcPr>
          <w:p>
            <w:pPr>
              <w:pStyle w:val="TableParagraph"/>
              <w:spacing w:before="6"/>
              <w:jc w:val="left"/>
              <w:rPr>
                <w:b/>
                <w:sz w:val="21"/>
              </w:rPr>
            </w:pPr>
          </w:p>
          <w:p>
            <w:pPr>
              <w:pStyle w:val="TableParagraph"/>
              <w:spacing w:before="1"/>
              <w:ind w:left="250"/>
              <w:jc w:val="left"/>
              <w:rPr>
                <w:sz w:val="20"/>
              </w:rPr>
            </w:pPr>
            <w:r>
              <w:rPr>
                <w:color w:val="231F20"/>
                <w:sz w:val="20"/>
              </w:rPr>
              <w:t>Unrealized gain on fuel derivative instruments, net of deferred</w:t>
            </w:r>
          </w:p>
        </w:tc>
        <w:tc>
          <w:tcPr>
            <w:tcW w:w="1075" w:type="dxa"/>
          </w:tcPr>
          <w:p>
            <w:pPr/>
          </w:p>
        </w:tc>
        <w:tc>
          <w:tcPr>
            <w:tcW w:w="200" w:type="dxa"/>
          </w:tcPr>
          <w:p>
            <w:pPr/>
          </w:p>
        </w:tc>
        <w:tc>
          <w:tcPr>
            <w:tcW w:w="1000" w:type="dxa"/>
          </w:tcPr>
          <w:p>
            <w:pPr/>
          </w:p>
        </w:tc>
        <w:tc>
          <w:tcPr>
            <w:tcW w:w="200" w:type="dxa"/>
          </w:tcPr>
          <w:p>
            <w:pPr/>
          </w:p>
        </w:tc>
        <w:tc>
          <w:tcPr>
            <w:tcW w:w="1000" w:type="dxa"/>
          </w:tcPr>
          <w:p>
            <w:pPr/>
          </w:p>
        </w:tc>
      </w:tr>
      <w:tr>
        <w:trPr>
          <w:trHeight w:val="229" w:hRule="exact"/>
        </w:trPr>
        <w:tc>
          <w:tcPr>
            <w:tcW w:w="5695" w:type="dxa"/>
          </w:tcPr>
          <w:p>
            <w:pPr>
              <w:pStyle w:val="TableParagraph"/>
              <w:spacing w:line="219" w:lineRule="exact"/>
              <w:ind w:right="73"/>
              <w:rPr>
                <w:sz w:val="20"/>
              </w:rPr>
            </w:pPr>
            <w:r>
              <w:rPr>
                <w:color w:val="231F20"/>
                <w:sz w:val="20"/>
              </w:rPr>
              <w:t>taxes of $31, $74, and $42 . . . . . . . . . . . . . . . . . . . . . . . . . . . . . . </w:t>
            </w:r>
          </w:p>
        </w:tc>
        <w:tc>
          <w:tcPr>
            <w:tcW w:w="1075" w:type="dxa"/>
          </w:tcPr>
          <w:p>
            <w:pPr>
              <w:pStyle w:val="TableParagraph"/>
              <w:spacing w:line="219" w:lineRule="exact"/>
              <w:ind w:right="59"/>
              <w:rPr>
                <w:sz w:val="20"/>
              </w:rPr>
            </w:pPr>
            <w:r>
              <w:rPr>
                <w:color w:val="231F20"/>
                <w:sz w:val="20"/>
              </w:rPr>
              <w:t>52</w:t>
            </w:r>
          </w:p>
        </w:tc>
        <w:tc>
          <w:tcPr>
            <w:tcW w:w="1200" w:type="dxa"/>
            <w:gridSpan w:val="2"/>
          </w:tcPr>
          <w:p>
            <w:pPr>
              <w:pStyle w:val="TableParagraph"/>
              <w:spacing w:line="219" w:lineRule="exact"/>
              <w:ind w:right="59"/>
              <w:rPr>
                <w:sz w:val="20"/>
              </w:rPr>
            </w:pPr>
            <w:r>
              <w:rPr>
                <w:color w:val="231F20"/>
                <w:sz w:val="20"/>
              </w:rPr>
              <w:t>120</w:t>
            </w:r>
          </w:p>
        </w:tc>
        <w:tc>
          <w:tcPr>
            <w:tcW w:w="1200" w:type="dxa"/>
            <w:gridSpan w:val="2"/>
          </w:tcPr>
          <w:p>
            <w:pPr>
              <w:pStyle w:val="TableParagraph"/>
              <w:spacing w:line="219" w:lineRule="exact"/>
              <w:ind w:right="59"/>
              <w:rPr>
                <w:sz w:val="20"/>
              </w:rPr>
            </w:pPr>
            <w:r>
              <w:rPr>
                <w:color w:val="231F20"/>
                <w:sz w:val="20"/>
              </w:rPr>
              <w:t>67</w:t>
            </w:r>
          </w:p>
        </w:tc>
      </w:tr>
    </w:tbl>
    <w:p>
      <w:pPr>
        <w:pStyle w:val="BodyText"/>
        <w:spacing w:before="10"/>
        <w:ind w:left="360"/>
      </w:pPr>
      <w:r>
        <w:rPr>
          <w:color w:val="231F20"/>
        </w:rPr>
        <w:t>Unrealized gain (loss) on interest rate derivative instruments, net</w:t>
      </w:r>
    </w:p>
    <w:p>
      <w:pPr>
        <w:pStyle w:val="BodyText"/>
        <w:tabs>
          <w:tab w:pos="6619" w:val="left" w:leader="none"/>
          <w:tab w:pos="7852" w:val="left" w:leader="none"/>
          <w:tab w:pos="8952" w:val="left" w:leader="none"/>
        </w:tabs>
        <w:spacing w:line="249" w:lineRule="auto" w:before="10" w:after="12"/>
        <w:ind w:left="359" w:right="111" w:firstLine="200"/>
      </w:pPr>
      <w:r>
        <w:rPr/>
        <w:pict>
          <v:line style="position:absolute;mso-position-horizontal-relative:page;mso-position-vertical-relative:paragraph;z-index:-332872" from="355pt,81.585968pt" to="405pt,81.585968pt" stroked="true" strokeweight=".5pt" strokecolor="#231f20">
            <v:stroke dashstyle="solid"/>
            <w10:wrap type="none"/>
          </v:line>
        </w:pict>
      </w:r>
      <w:r>
        <w:rPr/>
        <w:pict>
          <v:line style="position:absolute;mso-position-horizontal-relative:page;mso-position-vertical-relative:paragraph;z-index:-332848" from="415pt,81.585968pt" to="465pt,81.585968pt" stroked="true" strokeweight=".5pt" strokecolor="#231f20">
            <v:stroke dashstyle="solid"/>
            <w10:wrap type="none"/>
          </v:line>
        </w:pict>
      </w:r>
      <w:r>
        <w:rPr/>
        <w:pict>
          <v:line style="position:absolute;mso-position-horizontal-relative:page;mso-position-vertical-relative:paragraph;z-index:-332824" from="475pt,81.585968pt" to="525pt,81.585968pt" stroked="true" strokeweight=".5pt" strokecolor="#231f20">
            <v:stroke dashstyle="solid"/>
            <w10:wrap type="none"/>
          </v:line>
        </w:pict>
      </w:r>
      <w:r>
        <w:rPr>
          <w:color w:val="231F20"/>
        </w:rPr>
        <w:t>of deferred taxes of $19, $0, and ($20)  . . . . . . . . . . . . . . . . . .</w:t>
      </w:r>
      <w:r>
        <w:rPr>
          <w:color w:val="231F20"/>
          <w:spacing w:val="-15"/>
        </w:rPr>
        <w:t> </w:t>
      </w:r>
      <w:r>
        <w:rPr>
          <w:color w:val="231F20"/>
        </w:rPr>
        <w:t>. .</w:t>
        <w:tab/>
        <w:t>31</w:t>
        <w:tab/>
        <w:t>(1)</w:t>
        <w:tab/>
        <w:t>(32) Unrealized gain (loss) on defined benefit plan items, net</w:t>
      </w:r>
      <w:r>
        <w:rPr>
          <w:color w:val="231F20"/>
          <w:spacing w:val="5"/>
        </w:rPr>
        <w:t> </w:t>
      </w:r>
      <w:r>
        <w:rPr>
          <w:color w:val="231F20"/>
        </w:rPr>
        <w:t>of</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95"/>
        <w:gridCol w:w="1075"/>
        <w:gridCol w:w="200"/>
        <w:gridCol w:w="1006"/>
        <w:gridCol w:w="194"/>
        <w:gridCol w:w="1000"/>
      </w:tblGrid>
      <w:tr>
        <w:trPr>
          <w:trHeight w:val="229" w:hRule="exact"/>
        </w:trPr>
        <w:tc>
          <w:tcPr>
            <w:tcW w:w="5695" w:type="dxa"/>
          </w:tcPr>
          <w:p>
            <w:pPr>
              <w:pStyle w:val="TableParagraph"/>
              <w:spacing w:line="219" w:lineRule="exact"/>
              <w:ind w:right="73"/>
              <w:rPr>
                <w:sz w:val="20"/>
              </w:rPr>
            </w:pPr>
            <w:r>
              <w:rPr>
                <w:color w:val="231F20"/>
                <w:sz w:val="20"/>
              </w:rPr>
              <w:t>deferred taxes of $15, ($11), and $0  . . . . . . . . . . . . . . . . . . . . . . </w:t>
            </w:r>
          </w:p>
        </w:tc>
        <w:tc>
          <w:tcPr>
            <w:tcW w:w="1075" w:type="dxa"/>
          </w:tcPr>
          <w:p>
            <w:pPr>
              <w:pStyle w:val="TableParagraph"/>
              <w:spacing w:line="219" w:lineRule="exact"/>
              <w:ind w:right="59"/>
              <w:rPr>
                <w:sz w:val="20"/>
              </w:rPr>
            </w:pPr>
            <w:r>
              <w:rPr>
                <w:color w:val="231F20"/>
                <w:sz w:val="20"/>
              </w:rPr>
              <w:t>24</w:t>
            </w:r>
          </w:p>
        </w:tc>
        <w:tc>
          <w:tcPr>
            <w:tcW w:w="200" w:type="dxa"/>
          </w:tcPr>
          <w:p>
            <w:pPr/>
          </w:p>
        </w:tc>
        <w:tc>
          <w:tcPr>
            <w:tcW w:w="1006" w:type="dxa"/>
          </w:tcPr>
          <w:p>
            <w:pPr>
              <w:pStyle w:val="TableParagraph"/>
              <w:spacing w:line="219" w:lineRule="exact"/>
              <w:rPr>
                <w:sz w:val="20"/>
              </w:rPr>
            </w:pPr>
            <w:r>
              <w:rPr>
                <w:color w:val="231F20"/>
                <w:sz w:val="20"/>
              </w:rPr>
              <w:t>(17)</w:t>
            </w:r>
          </w:p>
        </w:tc>
        <w:tc>
          <w:tcPr>
            <w:tcW w:w="194" w:type="dxa"/>
          </w:tcPr>
          <w:p>
            <w:pPr/>
          </w:p>
        </w:tc>
        <w:tc>
          <w:tcPr>
            <w:tcW w:w="1000" w:type="dxa"/>
          </w:tcPr>
          <w:p>
            <w:pPr>
              <w:pStyle w:val="TableParagraph"/>
              <w:spacing w:line="219" w:lineRule="exact"/>
              <w:ind w:left="640"/>
              <w:jc w:val="left"/>
              <w:rPr>
                <w:sz w:val="20"/>
              </w:rPr>
            </w:pPr>
            <w:r>
              <w:rPr>
                <w:color w:val="231F20"/>
                <w:sz w:val="20"/>
              </w:rPr>
              <w:t>—</w:t>
            </w:r>
          </w:p>
        </w:tc>
      </w:tr>
      <w:tr>
        <w:trPr>
          <w:trHeight w:val="261" w:hRule="exact"/>
        </w:trPr>
        <w:tc>
          <w:tcPr>
            <w:tcW w:w="5695" w:type="dxa"/>
          </w:tcPr>
          <w:p>
            <w:pPr>
              <w:pStyle w:val="TableParagraph"/>
              <w:spacing w:line="229" w:lineRule="exact"/>
              <w:ind w:right="73"/>
              <w:rPr>
                <w:sz w:val="20"/>
              </w:rPr>
            </w:pPr>
            <w:r>
              <w:rPr>
                <w:color w:val="231F20"/>
                <w:sz w:val="20"/>
              </w:rPr>
              <w:t>Other, net of deferred taxes of $7, $3, and $1 . . . . . . . . . . . . . . . . . </w:t>
            </w:r>
          </w:p>
        </w:tc>
        <w:tc>
          <w:tcPr>
            <w:tcW w:w="1075" w:type="dxa"/>
            <w:tcBorders>
              <w:bottom w:val="single" w:sz="4" w:space="0" w:color="231F20"/>
            </w:tcBorders>
          </w:tcPr>
          <w:p>
            <w:pPr>
              <w:pStyle w:val="TableParagraph"/>
              <w:spacing w:line="229" w:lineRule="exact"/>
              <w:ind w:right="59"/>
              <w:rPr>
                <w:sz w:val="20"/>
              </w:rPr>
            </w:pPr>
            <w:r>
              <w:rPr>
                <w:color w:val="231F20"/>
                <w:sz w:val="20"/>
              </w:rPr>
              <w:t>9</w:t>
            </w:r>
          </w:p>
        </w:tc>
        <w:tc>
          <w:tcPr>
            <w:tcW w:w="200" w:type="dxa"/>
          </w:tcPr>
          <w:p>
            <w:pPr/>
          </w:p>
        </w:tc>
        <w:tc>
          <w:tcPr>
            <w:tcW w:w="1006" w:type="dxa"/>
            <w:tcBorders>
              <w:bottom w:val="single" w:sz="4" w:space="0" w:color="231F20"/>
            </w:tcBorders>
          </w:tcPr>
          <w:p>
            <w:pPr>
              <w:pStyle w:val="TableParagraph"/>
              <w:spacing w:line="229" w:lineRule="exact"/>
              <w:ind w:right="64"/>
              <w:rPr>
                <w:sz w:val="20"/>
              </w:rPr>
            </w:pPr>
            <w:r>
              <w:rPr>
                <w:color w:val="231F20"/>
                <w:sz w:val="20"/>
              </w:rPr>
              <w:t>3</w:t>
            </w:r>
          </w:p>
        </w:tc>
        <w:tc>
          <w:tcPr>
            <w:tcW w:w="194" w:type="dxa"/>
          </w:tcPr>
          <w:p>
            <w:pPr/>
          </w:p>
        </w:tc>
        <w:tc>
          <w:tcPr>
            <w:tcW w:w="1000" w:type="dxa"/>
            <w:tcBorders>
              <w:bottom w:val="single" w:sz="4" w:space="0" w:color="231F20"/>
            </w:tcBorders>
          </w:tcPr>
          <w:p>
            <w:pPr>
              <w:pStyle w:val="TableParagraph"/>
              <w:spacing w:line="229" w:lineRule="exact"/>
              <w:ind w:right="59"/>
              <w:rPr>
                <w:sz w:val="20"/>
              </w:rPr>
            </w:pPr>
            <w:r>
              <w:rPr>
                <w:color w:val="231F20"/>
                <w:sz w:val="20"/>
              </w:rPr>
              <w:t>3</w:t>
            </w:r>
          </w:p>
        </w:tc>
      </w:tr>
      <w:tr>
        <w:trPr>
          <w:trHeight w:val="320" w:hRule="exact"/>
        </w:trPr>
        <w:tc>
          <w:tcPr>
            <w:tcW w:w="5695" w:type="dxa"/>
          </w:tcPr>
          <w:p>
            <w:pPr>
              <w:pStyle w:val="TableParagraph"/>
              <w:spacing w:before="58"/>
              <w:ind w:right="73"/>
              <w:rPr>
                <w:sz w:val="20"/>
              </w:rPr>
            </w:pPr>
            <w:r>
              <w:rPr>
                <w:b/>
                <w:color w:val="231F20"/>
                <w:sz w:val="20"/>
              </w:rPr>
              <w:t>OTHER COMPREHENSIVE INCOME  </w:t>
            </w:r>
            <w:r>
              <w:rPr>
                <w:color w:val="231F20"/>
                <w:sz w:val="20"/>
              </w:rPr>
              <w:t>. . . . . . . . . . . . . . . . . . . . </w:t>
            </w:r>
          </w:p>
        </w:tc>
        <w:tc>
          <w:tcPr>
            <w:tcW w:w="1075" w:type="dxa"/>
            <w:tcBorders>
              <w:top w:val="single" w:sz="4" w:space="0" w:color="231F20"/>
              <w:bottom w:val="single" w:sz="4" w:space="0" w:color="231F20"/>
            </w:tcBorders>
          </w:tcPr>
          <w:p>
            <w:pPr>
              <w:pStyle w:val="TableParagraph"/>
              <w:tabs>
                <w:tab w:pos="639" w:val="left" w:leader="none"/>
              </w:tabs>
              <w:spacing w:before="53"/>
              <w:ind w:right="59"/>
              <w:rPr>
                <w:sz w:val="20"/>
              </w:rPr>
            </w:pPr>
            <w:r>
              <w:rPr>
                <w:color w:val="231F20"/>
                <w:sz w:val="20"/>
              </w:rPr>
              <w:t>$</w:t>
              <w:tab/>
              <w:t>116</w:t>
            </w:r>
          </w:p>
        </w:tc>
        <w:tc>
          <w:tcPr>
            <w:tcW w:w="200" w:type="dxa"/>
          </w:tcPr>
          <w:p>
            <w:pPr/>
          </w:p>
        </w:tc>
        <w:tc>
          <w:tcPr>
            <w:tcW w:w="1006" w:type="dxa"/>
            <w:tcBorders>
              <w:top w:val="single" w:sz="4" w:space="0" w:color="231F20"/>
              <w:bottom w:val="single" w:sz="4" w:space="0" w:color="231F20"/>
            </w:tcBorders>
          </w:tcPr>
          <w:p>
            <w:pPr>
              <w:pStyle w:val="TableParagraph"/>
              <w:tabs>
                <w:tab w:pos="639" w:val="left" w:leader="none"/>
              </w:tabs>
              <w:spacing w:before="53"/>
              <w:ind w:right="64"/>
              <w:rPr>
                <w:sz w:val="20"/>
              </w:rPr>
            </w:pPr>
            <w:r>
              <w:rPr>
                <w:color w:val="231F20"/>
                <w:sz w:val="20"/>
              </w:rPr>
              <w:t>$</w:t>
              <w:tab/>
              <w:t>105</w:t>
            </w:r>
          </w:p>
        </w:tc>
        <w:tc>
          <w:tcPr>
            <w:tcW w:w="194" w:type="dxa"/>
          </w:tcPr>
          <w:p>
            <w:pPr/>
          </w:p>
        </w:tc>
        <w:tc>
          <w:tcPr>
            <w:tcW w:w="1000" w:type="dxa"/>
            <w:tcBorders>
              <w:top w:val="single" w:sz="4" w:space="0" w:color="231F20"/>
              <w:bottom w:val="single" w:sz="4" w:space="0" w:color="231F20"/>
            </w:tcBorders>
          </w:tcPr>
          <w:p>
            <w:pPr>
              <w:pStyle w:val="TableParagraph"/>
              <w:tabs>
                <w:tab w:pos="739" w:val="left" w:leader="none"/>
              </w:tabs>
              <w:spacing w:before="53"/>
              <w:ind w:right="59"/>
              <w:rPr>
                <w:sz w:val="20"/>
              </w:rPr>
            </w:pPr>
            <w:r>
              <w:rPr>
                <w:color w:val="231F20"/>
                <w:sz w:val="20"/>
              </w:rPr>
              <w:t>$</w:t>
              <w:tab/>
              <w:t>38</w:t>
            </w:r>
          </w:p>
        </w:tc>
      </w:tr>
      <w:tr>
        <w:trPr>
          <w:trHeight w:val="360" w:hRule="exact"/>
        </w:trPr>
        <w:tc>
          <w:tcPr>
            <w:tcW w:w="5695" w:type="dxa"/>
          </w:tcPr>
          <w:p>
            <w:pPr>
              <w:pStyle w:val="TableParagraph"/>
              <w:spacing w:before="58"/>
              <w:ind w:right="74"/>
              <w:rPr>
                <w:sz w:val="20"/>
              </w:rPr>
            </w:pPr>
            <w:r>
              <w:rPr>
                <w:b/>
                <w:color w:val="231F20"/>
                <w:sz w:val="20"/>
              </w:rPr>
              <w:t>COMPREHENSIVE INCOME  </w:t>
            </w:r>
            <w:r>
              <w:rPr>
                <w:color w:val="231F20"/>
                <w:sz w:val="20"/>
              </w:rPr>
              <w:t>. . . . . . . . . . . . . . . . . . . . . . . . . . . . </w:t>
            </w:r>
          </w:p>
        </w:tc>
        <w:tc>
          <w:tcPr>
            <w:tcW w:w="1075" w:type="dxa"/>
            <w:tcBorders>
              <w:top w:val="single" w:sz="4" w:space="0" w:color="231F20"/>
              <w:bottom w:val="single" w:sz="4" w:space="0" w:color="231F20"/>
            </w:tcBorders>
          </w:tcPr>
          <w:p>
            <w:pPr>
              <w:pStyle w:val="TableParagraph"/>
              <w:tabs>
                <w:tab w:pos="639" w:val="left" w:leader="none"/>
              </w:tabs>
              <w:spacing w:before="53"/>
              <w:ind w:right="59"/>
              <w:rPr>
                <w:sz w:val="20"/>
              </w:rPr>
            </w:pPr>
            <w:r>
              <w:rPr>
                <w:color w:val="231F20"/>
                <w:sz w:val="20"/>
              </w:rPr>
              <w:t>$</w:t>
              <w:tab/>
              <w:t>870</w:t>
            </w:r>
          </w:p>
        </w:tc>
        <w:tc>
          <w:tcPr>
            <w:tcW w:w="200" w:type="dxa"/>
          </w:tcPr>
          <w:p>
            <w:pPr/>
          </w:p>
        </w:tc>
        <w:tc>
          <w:tcPr>
            <w:tcW w:w="1006" w:type="dxa"/>
            <w:tcBorders>
              <w:top w:val="single" w:sz="4" w:space="0" w:color="231F20"/>
              <w:bottom w:val="single" w:sz="4" w:space="0" w:color="231F20"/>
            </w:tcBorders>
          </w:tcPr>
          <w:p>
            <w:pPr>
              <w:pStyle w:val="TableParagraph"/>
              <w:tabs>
                <w:tab w:pos="639" w:val="left" w:leader="none"/>
              </w:tabs>
              <w:spacing w:before="53"/>
              <w:ind w:right="64"/>
              <w:rPr>
                <w:sz w:val="20"/>
              </w:rPr>
            </w:pPr>
            <w:r>
              <w:rPr>
                <w:color w:val="231F20"/>
                <w:sz w:val="20"/>
              </w:rPr>
              <w:t>$</w:t>
              <w:tab/>
              <w:t>526</w:t>
            </w:r>
          </w:p>
        </w:tc>
        <w:tc>
          <w:tcPr>
            <w:tcW w:w="194" w:type="dxa"/>
          </w:tcPr>
          <w:p>
            <w:pPr/>
          </w:p>
        </w:tc>
        <w:tc>
          <w:tcPr>
            <w:tcW w:w="1000" w:type="dxa"/>
            <w:tcBorders>
              <w:top w:val="single" w:sz="4" w:space="0" w:color="231F20"/>
              <w:bottom w:val="single" w:sz="4" w:space="0" w:color="231F20"/>
            </w:tcBorders>
          </w:tcPr>
          <w:p>
            <w:pPr>
              <w:pStyle w:val="TableParagraph"/>
              <w:tabs>
                <w:tab w:pos="639" w:val="left" w:leader="none"/>
              </w:tabs>
              <w:spacing w:before="53"/>
              <w:ind w:right="59"/>
              <w:rPr>
                <w:sz w:val="20"/>
              </w:rPr>
            </w:pPr>
            <w:r>
              <w:rPr>
                <w:color w:val="231F20"/>
                <w:sz w:val="20"/>
              </w:rPr>
              <w:t>$</w:t>
              <w:tab/>
              <w:t>216</w:t>
            </w:r>
          </w:p>
        </w:tc>
      </w:tr>
    </w:tbl>
    <w:p>
      <w:pPr>
        <w:spacing w:after="0"/>
        <w:rPr>
          <w:sz w:val="20"/>
        </w:rPr>
        <w:sectPr>
          <w:pgSz w:w="11880" w:h="15480"/>
          <w:pgMar w:header="0" w:footer="1718" w:top="1240" w:bottom="1900" w:left="1220" w:right="1260"/>
        </w:sectPr>
      </w:pPr>
    </w:p>
    <w:p>
      <w:pPr>
        <w:pStyle w:val="Heading3"/>
        <w:spacing w:before="73"/>
        <w:ind w:left="3314"/>
      </w:pPr>
      <w:bookmarkStart w:name="Southwest Airlines Co. Consolidated Stat" w:id="28"/>
      <w:bookmarkEnd w:id="28"/>
      <w:r>
        <w:rPr>
          <w:b w:val="0"/>
        </w:rPr>
      </w:r>
      <w:r>
        <w:rPr>
          <w:color w:val="231F20"/>
        </w:rPr>
        <w:t>SOUTHWEST AIRLINES CO.</w:t>
      </w:r>
    </w:p>
    <w:p>
      <w:pPr>
        <w:spacing w:before="129"/>
        <w:ind w:left="0" w:right="1737" w:firstLine="0"/>
        <w:jc w:val="right"/>
        <w:rPr>
          <w:b/>
          <w:sz w:val="20"/>
        </w:rPr>
      </w:pPr>
      <w:r>
        <w:rPr>
          <w:b/>
          <w:color w:val="231F20"/>
          <w:sz w:val="20"/>
        </w:rPr>
        <w:t>CONSOLIDATED STATEMENT OF STOCKHOLDERS’ EQUITY</w:t>
      </w:r>
    </w:p>
    <w:p>
      <w:pPr>
        <w:pStyle w:val="BodyText"/>
        <w:spacing w:before="9"/>
        <w:ind w:left="440" w:right="460"/>
        <w:jc w:val="center"/>
      </w:pPr>
      <w:r>
        <w:rPr>
          <w:color w:val="231F20"/>
        </w:rPr>
        <w:t>(in millions, except per share amounts)</w:t>
      </w:r>
    </w:p>
    <w:p>
      <w:pPr>
        <w:pStyle w:val="BodyText"/>
        <w:spacing w:before="1"/>
        <w:rPr>
          <w:sz w:val="18"/>
        </w:rPr>
      </w:pPr>
    </w:p>
    <w:p>
      <w:pPr>
        <w:spacing w:before="0"/>
        <w:ind w:left="5158" w:right="0" w:firstLine="0"/>
        <w:jc w:val="left"/>
        <w:rPr>
          <w:b/>
          <w:sz w:val="16"/>
        </w:rPr>
      </w:pPr>
      <w:r>
        <w:rPr/>
        <w:pict>
          <v:line style="position:absolute;mso-position-horizontal-relative:page;mso-position-vertical-relative:paragraph;z-index:4048;mso-wrap-distance-left:0;mso-wrap-distance-right:0" from="279.699982pt,10.968826pt" to="524.999982pt,10.968826pt" stroked="true" strokeweight="1pt" strokecolor="#231f20">
            <v:stroke dashstyle="solid"/>
            <w10:wrap type="topAndBottom"/>
          </v:line>
        </w:pict>
      </w:r>
      <w:r>
        <w:rPr>
          <w:b/>
          <w:color w:val="231F20"/>
          <w:sz w:val="16"/>
        </w:rPr>
        <w:t>Year ended December 31, 2013, 2012, and 2011</w:t>
      </w:r>
    </w:p>
    <w:p>
      <w:pPr>
        <w:spacing w:before="21"/>
        <w:ind w:left="0" w:right="1750" w:firstLine="0"/>
        <w:jc w:val="right"/>
        <w:rPr>
          <w:b/>
          <w:sz w:val="16"/>
        </w:rPr>
      </w:pPr>
      <w:r>
        <w:rPr>
          <w:b/>
          <w:color w:val="231F20"/>
          <w:sz w:val="16"/>
        </w:rPr>
        <w:t>Accumulated</w:t>
      </w:r>
    </w:p>
    <w:p>
      <w:pPr>
        <w:spacing w:after="0"/>
        <w:jc w:val="right"/>
        <w:rPr>
          <w:sz w:val="16"/>
        </w:rPr>
        <w:sectPr>
          <w:pgSz w:w="11880" w:h="15480"/>
          <w:pgMar w:header="0" w:footer="1718" w:top="1240" w:bottom="1900" w:left="1280" w:right="1260"/>
        </w:sectPr>
      </w:pPr>
    </w:p>
    <w:p>
      <w:pPr>
        <w:pStyle w:val="BodyText"/>
        <w:spacing w:before="8"/>
        <w:rPr>
          <w:b/>
          <w:sz w:val="18"/>
        </w:rPr>
      </w:pPr>
    </w:p>
    <w:p>
      <w:pPr>
        <w:spacing w:line="261" w:lineRule="auto" w:before="0"/>
        <w:ind w:left="4437" w:right="-19" w:hanging="124"/>
        <w:jc w:val="left"/>
        <w:rPr>
          <w:b/>
          <w:sz w:val="16"/>
        </w:rPr>
      </w:pPr>
      <w:r>
        <w:rPr>
          <w:b/>
          <w:color w:val="231F20"/>
          <w:sz w:val="16"/>
        </w:rPr>
        <w:t>Common</w:t>
      </w:r>
      <w:r>
        <w:rPr>
          <w:b/>
          <w:color w:val="231F20"/>
          <w:w w:val="99"/>
          <w:sz w:val="16"/>
        </w:rPr>
        <w:t> </w:t>
      </w:r>
      <w:r>
        <w:rPr>
          <w:b/>
          <w:color w:val="231F20"/>
          <w:sz w:val="16"/>
        </w:rPr>
        <w:t>Stock</w:t>
      </w:r>
    </w:p>
    <w:p>
      <w:pPr>
        <w:spacing w:line="261" w:lineRule="auto" w:before="15"/>
        <w:ind w:left="76" w:right="0" w:hanging="17"/>
        <w:jc w:val="both"/>
        <w:rPr>
          <w:b/>
          <w:sz w:val="16"/>
        </w:rPr>
      </w:pPr>
      <w:r>
        <w:rPr/>
        <w:br w:type="column"/>
      </w:r>
      <w:r>
        <w:rPr>
          <w:b/>
          <w:color w:val="231F20"/>
          <w:sz w:val="16"/>
        </w:rPr>
        <w:t>Capital in excess of par value</w:t>
      </w:r>
    </w:p>
    <w:p>
      <w:pPr>
        <w:pStyle w:val="BodyText"/>
        <w:spacing w:before="8"/>
        <w:rPr>
          <w:b/>
          <w:sz w:val="18"/>
        </w:rPr>
      </w:pPr>
      <w:r>
        <w:rPr/>
        <w:br w:type="column"/>
      </w:r>
      <w:r>
        <w:rPr>
          <w:b/>
          <w:sz w:val="18"/>
        </w:rPr>
      </w:r>
    </w:p>
    <w:p>
      <w:pPr>
        <w:spacing w:line="261" w:lineRule="auto" w:before="0"/>
        <w:ind w:left="116" w:right="-20" w:hanging="14"/>
        <w:jc w:val="left"/>
        <w:rPr>
          <w:b/>
          <w:sz w:val="16"/>
        </w:rPr>
      </w:pPr>
      <w:r>
        <w:rPr>
          <w:b/>
          <w:color w:val="231F20"/>
          <w:sz w:val="16"/>
        </w:rPr>
        <w:t>Retained</w:t>
      </w:r>
      <w:r>
        <w:rPr>
          <w:b/>
          <w:color w:val="231F20"/>
          <w:w w:val="99"/>
          <w:sz w:val="16"/>
        </w:rPr>
        <w:t> </w:t>
      </w:r>
      <w:r>
        <w:rPr>
          <w:b/>
          <w:color w:val="231F20"/>
          <w:sz w:val="16"/>
        </w:rPr>
        <w:t>earnings</w:t>
      </w:r>
    </w:p>
    <w:p>
      <w:pPr>
        <w:spacing w:line="261" w:lineRule="auto" w:before="15"/>
        <w:ind w:left="103" w:right="0" w:hanging="2"/>
        <w:jc w:val="center"/>
        <w:rPr>
          <w:b/>
          <w:sz w:val="16"/>
        </w:rPr>
      </w:pPr>
      <w:r>
        <w:rPr/>
        <w:br w:type="column"/>
      </w:r>
      <w:r>
        <w:rPr>
          <w:b/>
          <w:color w:val="231F20"/>
          <w:sz w:val="16"/>
        </w:rPr>
        <w:t>other comprehensive</w:t>
      </w:r>
      <w:r>
        <w:rPr>
          <w:b/>
          <w:color w:val="231F20"/>
          <w:w w:val="100"/>
          <w:sz w:val="16"/>
        </w:rPr>
        <w:t> </w:t>
      </w:r>
      <w:r>
        <w:rPr>
          <w:b/>
          <w:color w:val="231F20"/>
          <w:sz w:val="16"/>
        </w:rPr>
        <w:t>income (loss)</w:t>
      </w:r>
    </w:p>
    <w:p>
      <w:pPr>
        <w:pStyle w:val="BodyText"/>
        <w:spacing w:before="8"/>
        <w:rPr>
          <w:b/>
          <w:sz w:val="18"/>
        </w:rPr>
      </w:pPr>
      <w:r>
        <w:rPr/>
        <w:br w:type="column"/>
      </w:r>
      <w:r>
        <w:rPr>
          <w:b/>
          <w:sz w:val="18"/>
        </w:rPr>
      </w:r>
    </w:p>
    <w:p>
      <w:pPr>
        <w:spacing w:before="0"/>
        <w:ind w:left="112" w:right="0" w:firstLine="0"/>
        <w:jc w:val="left"/>
        <w:rPr>
          <w:b/>
          <w:sz w:val="16"/>
        </w:rPr>
      </w:pPr>
      <w:r>
        <w:rPr>
          <w:b/>
          <w:color w:val="231F20"/>
          <w:sz w:val="16"/>
        </w:rPr>
        <w:t>Treasury</w:t>
      </w:r>
    </w:p>
    <w:p>
      <w:pPr>
        <w:tabs>
          <w:tab w:pos="1033" w:val="left" w:leader="none"/>
        </w:tabs>
        <w:spacing w:before="15"/>
        <w:ind w:left="250" w:right="0" w:firstLine="0"/>
        <w:jc w:val="left"/>
        <w:rPr>
          <w:b/>
          <w:sz w:val="16"/>
        </w:rPr>
      </w:pPr>
      <w:r>
        <w:rPr>
          <w:b/>
          <w:color w:val="231F20"/>
          <w:sz w:val="16"/>
        </w:rPr>
        <w:t>stock</w:t>
        <w:tab/>
        <w:t>Total</w:t>
      </w:r>
    </w:p>
    <w:p>
      <w:pPr>
        <w:spacing w:after="0"/>
        <w:jc w:val="left"/>
        <w:rPr>
          <w:sz w:val="16"/>
        </w:rPr>
        <w:sectPr>
          <w:type w:val="continuous"/>
          <w:pgSz w:w="11880" w:h="15480"/>
          <w:pgMar w:top="1200" w:bottom="280" w:left="1280" w:right="1260"/>
          <w:cols w:num="5" w:equalWidth="0">
            <w:col w:w="4946" w:space="40"/>
            <w:col w:w="740" w:space="40"/>
            <w:col w:w="716" w:space="40"/>
            <w:col w:w="1126" w:space="40"/>
            <w:col w:w="1652"/>
          </w:cols>
        </w:sectPr>
      </w:pPr>
    </w:p>
    <w:p>
      <w:pPr>
        <w:spacing w:line="20" w:lineRule="exact"/>
        <w:ind w:left="4304" w:right="0" w:firstLine="0"/>
        <w:rPr>
          <w:sz w:val="2"/>
        </w:rPr>
      </w:pPr>
      <w:r>
        <w:rPr>
          <w:sz w:val="2"/>
        </w:rPr>
        <w:pict>
          <v:group style="width:32.5500pt;height:1pt;mso-position-horizontal-relative:char;mso-position-vertical-relative:line" coordorigin="0,0" coordsize="651,20">
            <v:line style="position:absolute" from="10,10" to="641,10" stroked="true" strokeweight="1pt" strokecolor="#231f20">
              <v:stroke dashstyle="solid"/>
            </v:line>
          </v:group>
        </w:pict>
      </w:r>
      <w:r>
        <w:rPr>
          <w:sz w:val="2"/>
        </w:rPr>
      </w:r>
      <w:r>
        <w:rPr>
          <w:spacing w:val="66"/>
          <w:sz w:val="2"/>
        </w:rPr>
        <w:t> </w:t>
      </w:r>
      <w:r>
        <w:rPr>
          <w:spacing w:val="66"/>
          <w:sz w:val="2"/>
        </w:rPr>
        <w:pict>
          <v:group style="width:34.950pt;height:1pt;mso-position-horizontal-relative:char;mso-position-vertical-relative:line" coordorigin="0,0" coordsize="699,20">
            <v:line style="position:absolute" from="10,10" to="689,10" stroked="true" strokeweight="1pt" strokecolor="#231f20">
              <v:stroke dashstyle="solid"/>
            </v:line>
          </v:group>
        </w:pict>
      </w:r>
      <w:r>
        <w:rPr>
          <w:spacing w:val="66"/>
          <w:sz w:val="2"/>
        </w:rPr>
      </w:r>
      <w:r>
        <w:rPr>
          <w:spacing w:val="69"/>
          <w:sz w:val="2"/>
        </w:rPr>
        <w:t> </w:t>
      </w:r>
      <w:r>
        <w:rPr>
          <w:spacing w:val="69"/>
          <w:sz w:val="2"/>
        </w:rPr>
        <w:pict>
          <v:group style="width:36pt;height:1pt;mso-position-horizontal-relative:char;mso-position-vertical-relative:line" coordorigin="0,0" coordsize="720,20">
            <v:line style="position:absolute" from="10,10" to="710,10" stroked="true" strokeweight="1pt" strokecolor="#231f20">
              <v:stroke dashstyle="solid"/>
            </v:line>
          </v:group>
        </w:pict>
      </w:r>
      <w:r>
        <w:rPr>
          <w:spacing w:val="69"/>
          <w:sz w:val="2"/>
        </w:rPr>
      </w:r>
      <w:r>
        <w:rPr>
          <w:spacing w:val="60"/>
          <w:sz w:val="2"/>
        </w:rPr>
        <w:t> </w:t>
      </w:r>
      <w:r>
        <w:rPr>
          <w:spacing w:val="60"/>
          <w:sz w:val="2"/>
        </w:rPr>
        <w:pict>
          <v:group style="width:52.05pt;height:1pt;mso-position-horizontal-relative:char;mso-position-vertical-relative:line" coordorigin="0,0" coordsize="1041,20">
            <v:line style="position:absolute" from="10,10" to="1031,10" stroked="true" strokeweight="1pt" strokecolor="#231f20">
              <v:stroke dashstyle="solid"/>
            </v:line>
          </v:group>
        </w:pict>
      </w:r>
      <w:r>
        <w:rPr>
          <w:spacing w:val="60"/>
          <w:sz w:val="2"/>
        </w:rPr>
      </w:r>
      <w:r>
        <w:rPr>
          <w:spacing w:val="66"/>
          <w:sz w:val="2"/>
        </w:rPr>
        <w:t> </w:t>
      </w:r>
      <w:r>
        <w:rPr>
          <w:spacing w:val="66"/>
          <w:sz w:val="2"/>
        </w:rPr>
        <w:pict>
          <v:group style="width:38pt;height:1pt;mso-position-horizontal-relative:char;mso-position-vertical-relative:line" coordorigin="0,0" coordsize="760,20">
            <v:line style="position:absolute" from="10,10" to="750,10" stroked="true" strokeweight="1pt" strokecolor="#231f20">
              <v:stroke dashstyle="solid"/>
            </v:line>
          </v:group>
        </w:pict>
      </w:r>
      <w:r>
        <w:rPr>
          <w:spacing w:val="66"/>
          <w:sz w:val="2"/>
        </w:rPr>
      </w:r>
      <w:r>
        <w:rPr>
          <w:spacing w:val="70"/>
          <w:sz w:val="2"/>
        </w:rPr>
        <w:t> </w:t>
      </w:r>
      <w:r>
        <w:rPr>
          <w:spacing w:val="70"/>
          <w:sz w:val="2"/>
        </w:rPr>
        <w:pict>
          <v:group style="width:32.75pt;height:1pt;mso-position-horizontal-relative:char;mso-position-vertical-relative:line" coordorigin="0,0" coordsize="655,20">
            <v:line style="position:absolute" from="10,10" to="645,10" stroked="true" strokeweight="1pt" strokecolor="#231f20">
              <v:stroke dashstyle="solid"/>
            </v:line>
          </v:group>
        </w:pict>
      </w:r>
      <w:r>
        <w:rPr>
          <w:spacing w:val="70"/>
          <w:sz w:val="2"/>
        </w:rPr>
      </w:r>
    </w:p>
    <w:p>
      <w:pPr>
        <w:tabs>
          <w:tab w:pos="5105" w:val="left" w:leader="none"/>
          <w:tab w:pos="5883" w:val="left" w:leader="none"/>
          <w:tab w:pos="6683" w:val="left" w:leader="none"/>
          <w:tab w:pos="7234" w:val="left" w:leader="none"/>
        </w:tabs>
        <w:spacing w:before="61"/>
        <w:ind w:left="100" w:right="0" w:firstLine="0"/>
        <w:jc w:val="left"/>
        <w:rPr>
          <w:sz w:val="18"/>
        </w:rPr>
      </w:pPr>
      <w:r>
        <w:rPr>
          <w:color w:val="231F20"/>
          <w:sz w:val="18"/>
        </w:rPr>
        <w:t>Balance at December 31, 2010 . . . . . . . . . . . . . . . . . . . . .  </w:t>
      </w:r>
      <w:r>
        <w:rPr>
          <w:color w:val="231F20"/>
          <w:spacing w:val="34"/>
          <w:sz w:val="18"/>
        </w:rPr>
        <w:t> </w:t>
      </w:r>
      <w:r>
        <w:rPr>
          <w:color w:val="231F20"/>
          <w:sz w:val="18"/>
        </w:rPr>
        <w:t>$ </w:t>
      </w:r>
      <w:r>
        <w:rPr>
          <w:color w:val="231F20"/>
          <w:spacing w:val="41"/>
          <w:sz w:val="18"/>
        </w:rPr>
        <w:t> </w:t>
      </w:r>
      <w:r>
        <w:rPr>
          <w:color w:val="231F20"/>
          <w:sz w:val="18"/>
        </w:rPr>
        <w:t>808</w:t>
        <w:tab/>
        <w:t>$</w:t>
      </w:r>
      <w:r>
        <w:rPr>
          <w:color w:val="231F20"/>
          <w:spacing w:val="-2"/>
          <w:sz w:val="18"/>
        </w:rPr>
        <w:t> </w:t>
      </w:r>
      <w:r>
        <w:rPr>
          <w:color w:val="231F20"/>
          <w:sz w:val="18"/>
        </w:rPr>
        <w:t>1,183</w:t>
        <w:tab/>
        <w:t>$</w:t>
      </w:r>
      <w:r>
        <w:rPr>
          <w:color w:val="231F20"/>
          <w:spacing w:val="20"/>
          <w:sz w:val="18"/>
        </w:rPr>
        <w:t> </w:t>
      </w:r>
      <w:r>
        <w:rPr>
          <w:color w:val="231F20"/>
          <w:sz w:val="18"/>
        </w:rPr>
        <w:t>5,399</w:t>
        <w:tab/>
        <w:t>$</w:t>
        <w:tab/>
        <w:t>(262)    $    (891)    $6,237</w:t>
      </w:r>
    </w:p>
    <w:p>
      <w:pPr>
        <w:tabs>
          <w:tab w:pos="4595" w:val="left" w:leader="none"/>
          <w:tab w:pos="5374" w:val="left" w:leader="none"/>
          <w:tab w:pos="6174" w:val="left" w:leader="none"/>
          <w:tab w:pos="7295" w:val="left" w:leader="none"/>
          <w:tab w:pos="8074" w:val="left" w:leader="none"/>
          <w:tab w:pos="8809" w:val="left" w:leader="none"/>
        </w:tabs>
        <w:spacing w:line="254" w:lineRule="auto" w:before="13"/>
        <w:ind w:left="460" w:right="138" w:firstLine="0"/>
        <w:jc w:val="left"/>
        <w:rPr>
          <w:sz w:val="18"/>
        </w:rPr>
      </w:pPr>
      <w:r>
        <w:rPr>
          <w:color w:val="231F20"/>
          <w:sz w:val="18"/>
        </w:rPr>
        <w:t>Repurchase of common stock   . . . . . . . . . . . . . . .</w:t>
      </w:r>
      <w:r>
        <w:rPr>
          <w:color w:val="231F20"/>
          <w:spacing w:val="-1"/>
          <w:sz w:val="18"/>
        </w:rPr>
        <w:t> </w:t>
      </w:r>
      <w:r>
        <w:rPr>
          <w:color w:val="231F20"/>
          <w:sz w:val="18"/>
        </w:rPr>
        <w:t>. .</w:t>
        <w:tab/>
        <w:t>—</w:t>
        <w:tab/>
        <w:t>—</w:t>
        <w:tab/>
        <w:t>—</w:t>
        <w:tab/>
        <w:t>—</w:t>
        <w:tab/>
        <w:t>(225)</w:t>
        <w:tab/>
        <w:t>(225) Issuance of common and treasury stock pursuant to</w:t>
      </w:r>
    </w:p>
    <w:p>
      <w:pPr>
        <w:tabs>
          <w:tab w:pos="4395" w:val="left" w:leader="none"/>
          <w:tab w:pos="5294" w:val="left" w:leader="none"/>
          <w:tab w:pos="6004" w:val="left" w:leader="none"/>
          <w:tab w:pos="7095" w:val="left" w:leader="none"/>
          <w:tab w:pos="8025" w:val="left" w:leader="none"/>
          <w:tab w:pos="8940" w:val="right" w:leader="none"/>
        </w:tabs>
        <w:spacing w:before="1"/>
        <w:ind w:left="440" w:right="0" w:firstLine="0"/>
        <w:jc w:val="center"/>
        <w:rPr>
          <w:sz w:val="18"/>
        </w:rPr>
      </w:pPr>
      <w:r>
        <w:rPr>
          <w:color w:val="231F20"/>
          <w:sz w:val="18"/>
        </w:rPr>
        <w:t>Employee stock plans . . . . . . . . . . . . . . . . . . . .</w:t>
      </w:r>
      <w:r>
        <w:rPr>
          <w:color w:val="231F20"/>
          <w:spacing w:val="14"/>
          <w:sz w:val="18"/>
        </w:rPr>
        <w:t> </w:t>
      </w:r>
      <w:r>
        <w:rPr>
          <w:color w:val="231F20"/>
          <w:sz w:val="18"/>
        </w:rPr>
        <w:t>. .</w:t>
        <w:tab/>
        <w:t>—</w:t>
        <w:tab/>
        <w:t>(3)</w:t>
        <w:tab/>
        <w:t>(14)</w:t>
        <w:tab/>
        <w:t>—</w:t>
        <w:tab/>
        <w:t>37</w:t>
        <w:tab/>
        <w:t>20</w:t>
      </w:r>
    </w:p>
    <w:p>
      <w:pPr>
        <w:tabs>
          <w:tab w:pos="4595" w:val="left" w:leader="none"/>
          <w:tab w:pos="5374" w:val="left" w:leader="none"/>
          <w:tab w:pos="6114" w:val="left" w:leader="none"/>
          <w:tab w:pos="7295" w:val="left" w:leader="none"/>
          <w:tab w:pos="8135" w:val="left" w:leader="none"/>
          <w:tab w:pos="9140" w:val="right" w:leader="none"/>
        </w:tabs>
        <w:spacing w:before="13"/>
        <w:ind w:left="460" w:right="0" w:firstLine="0"/>
        <w:jc w:val="left"/>
        <w:rPr>
          <w:sz w:val="18"/>
        </w:rPr>
      </w:pPr>
      <w:r>
        <w:rPr>
          <w:color w:val="231F20"/>
          <w:sz w:val="18"/>
        </w:rPr>
        <w:t>Issuance of stock to acquire AirTran  . . . . . . . . . .</w:t>
      </w:r>
      <w:r>
        <w:rPr>
          <w:color w:val="231F20"/>
          <w:spacing w:val="4"/>
          <w:sz w:val="18"/>
        </w:rPr>
        <w:t> </w:t>
      </w:r>
      <w:r>
        <w:rPr>
          <w:color w:val="231F20"/>
          <w:sz w:val="18"/>
        </w:rPr>
        <w:t>. .</w:t>
        <w:tab/>
        <w:t>—</w:t>
        <w:tab/>
        <w:t>—</w:t>
        <w:tab/>
        <w:t>(127)</w:t>
        <w:tab/>
        <w:t>—</w:t>
        <w:tab/>
        <w:t>650</w:t>
        <w:tab/>
        <w:t>523</w:t>
      </w:r>
    </w:p>
    <w:p>
      <w:pPr>
        <w:tabs>
          <w:tab w:pos="4595" w:val="left" w:leader="none"/>
          <w:tab w:pos="5464" w:val="left" w:leader="none"/>
          <w:tab w:pos="6204" w:val="left" w:leader="none"/>
          <w:tab w:pos="7295" w:val="left" w:leader="none"/>
          <w:tab w:pos="8135" w:val="left" w:leader="none"/>
          <w:tab w:pos="9140" w:val="right" w:leader="none"/>
        </w:tabs>
        <w:spacing w:before="13"/>
        <w:ind w:left="460" w:right="0" w:firstLine="0"/>
        <w:jc w:val="left"/>
        <w:rPr>
          <w:sz w:val="18"/>
        </w:rPr>
      </w:pPr>
      <w:r>
        <w:rPr>
          <w:color w:val="231F20"/>
          <w:sz w:val="18"/>
        </w:rPr>
        <w:t>Issuance of stock for conversion of debt  . . . . . . .</w:t>
      </w:r>
      <w:r>
        <w:rPr>
          <w:color w:val="231F20"/>
          <w:spacing w:val="19"/>
          <w:sz w:val="18"/>
        </w:rPr>
        <w:t> </w:t>
      </w:r>
      <w:r>
        <w:rPr>
          <w:color w:val="231F20"/>
          <w:sz w:val="18"/>
        </w:rPr>
        <w:t>. .</w:t>
        <w:tab/>
        <w:t>—</w:t>
        <w:tab/>
        <w:t>34</w:t>
        <w:tab/>
        <w:t>(27)</w:t>
        <w:tab/>
        <w:t>—</w:t>
        <w:tab/>
        <w:t>105</w:t>
        <w:tab/>
        <w:t>112</w:t>
      </w:r>
    </w:p>
    <w:p>
      <w:pPr>
        <w:tabs>
          <w:tab w:pos="4595" w:val="left" w:leader="none"/>
          <w:tab w:pos="5464" w:val="left" w:leader="none"/>
          <w:tab w:pos="5494" w:val="left" w:leader="none"/>
          <w:tab w:pos="6174" w:val="left" w:leader="none"/>
          <w:tab w:pos="7295" w:val="left" w:leader="none"/>
          <w:tab w:pos="8135" w:val="left" w:leader="none"/>
          <w:tab w:pos="8990" w:val="left" w:leader="none"/>
          <w:tab w:pos="9140" w:val="right" w:leader="none"/>
        </w:tabs>
        <w:spacing w:line="254" w:lineRule="auto" w:before="13"/>
        <w:ind w:left="460" w:right="137" w:firstLine="0"/>
        <w:jc w:val="left"/>
        <w:rPr>
          <w:sz w:val="18"/>
        </w:rPr>
      </w:pPr>
      <w:r>
        <w:rPr>
          <w:color w:val="231F20"/>
          <w:sz w:val="18"/>
        </w:rPr>
        <w:t>Net tax benefit (expense) of options exercised   . .</w:t>
      </w:r>
      <w:r>
        <w:rPr>
          <w:color w:val="231F20"/>
          <w:spacing w:val="-7"/>
          <w:sz w:val="18"/>
        </w:rPr>
        <w:t> </w:t>
      </w:r>
      <w:r>
        <w:rPr>
          <w:color w:val="231F20"/>
          <w:sz w:val="18"/>
        </w:rPr>
        <w:t>. .</w:t>
        <w:tab/>
        <w:t>—</w:t>
        <w:tab/>
        <w:tab/>
        <w:t>(5)</w:t>
        <w:tab/>
        <w:t>—</w:t>
        <w:tab/>
        <w:t>—</w:t>
        <w:tab/>
        <w:t>—</w:t>
        <w:tab/>
        <w:t>(5) Share-based compensation  . . . . . . . . . . . . . . . . . .</w:t>
      </w:r>
      <w:r>
        <w:rPr>
          <w:color w:val="231F20"/>
          <w:spacing w:val="-16"/>
          <w:sz w:val="18"/>
        </w:rPr>
        <w:t> </w:t>
      </w:r>
      <w:r>
        <w:rPr>
          <w:color w:val="231F20"/>
          <w:sz w:val="18"/>
        </w:rPr>
        <w:t>. .</w:t>
        <w:tab/>
        <w:t>—</w:t>
        <w:tab/>
        <w:t>13</w:t>
        <w:tab/>
        <w:t>—</w:t>
        <w:tab/>
        <w:t>—</w:t>
        <w:tab/>
        <w:t>—</w:t>
        <w:tab/>
        <w:tab/>
        <w:t>13</w:t>
      </w:r>
    </w:p>
    <w:p>
      <w:pPr>
        <w:tabs>
          <w:tab w:pos="4595" w:val="left" w:leader="none"/>
          <w:tab w:pos="5374" w:val="left" w:leader="none"/>
          <w:tab w:pos="6204" w:val="left" w:leader="none"/>
          <w:tab w:pos="7295" w:val="left" w:leader="none"/>
          <w:tab w:pos="8135" w:val="left" w:leader="none"/>
          <w:tab w:pos="8900" w:val="left" w:leader="none"/>
        </w:tabs>
        <w:spacing w:before="1"/>
        <w:ind w:left="460" w:right="0" w:firstLine="0"/>
        <w:jc w:val="left"/>
        <w:rPr>
          <w:sz w:val="18"/>
        </w:rPr>
      </w:pPr>
      <w:r>
        <w:rPr>
          <w:color w:val="231F20"/>
          <w:sz w:val="18"/>
        </w:rPr>
        <w:t>Cash dividends, $.018 per share . . . . . . . . . . . . . .</w:t>
      </w:r>
      <w:r>
        <w:rPr>
          <w:color w:val="231F20"/>
          <w:spacing w:val="14"/>
          <w:sz w:val="18"/>
        </w:rPr>
        <w:t> </w:t>
      </w:r>
      <w:r>
        <w:rPr>
          <w:color w:val="231F20"/>
          <w:sz w:val="18"/>
        </w:rPr>
        <w:t>. .</w:t>
        <w:tab/>
        <w:t>—</w:t>
        <w:tab/>
        <w:t>—</w:t>
        <w:tab/>
        <w:t>(14)</w:t>
        <w:tab/>
        <w:t>—</w:t>
        <w:tab/>
        <w:t>—</w:t>
        <w:tab/>
        <w:t>(14)</w:t>
      </w:r>
    </w:p>
    <w:p>
      <w:pPr>
        <w:tabs>
          <w:tab w:pos="4595" w:val="left" w:leader="none"/>
          <w:tab w:pos="5374" w:val="left" w:leader="none"/>
          <w:tab w:pos="6174" w:val="left" w:leader="none"/>
          <w:tab w:pos="7385" w:val="left" w:leader="none"/>
          <w:tab w:pos="8135" w:val="left" w:leader="none"/>
          <w:tab w:pos="9140" w:val="right" w:leader="none"/>
        </w:tabs>
        <w:spacing w:before="13"/>
        <w:ind w:left="460" w:right="0" w:firstLine="0"/>
        <w:jc w:val="left"/>
        <w:rPr>
          <w:sz w:val="18"/>
        </w:rPr>
      </w:pPr>
      <w:r>
        <w:rPr/>
        <w:pict>
          <v:line style="position:absolute;mso-position-horizontal-relative:page;mso-position-vertical-relative:paragraph;z-index:4720" from="279.699982pt,12.820333pt" to="311.249982pt,12.820333pt" stroked="true" strokeweight=".5pt" strokecolor="#231f20">
            <v:stroke dashstyle="solid"/>
            <w10:wrap type="none"/>
          </v:line>
        </w:pict>
      </w:r>
      <w:r>
        <w:rPr/>
        <w:pict>
          <v:line style="position:absolute;mso-position-horizontal-relative:page;mso-position-vertical-relative:paragraph;z-index:4744" from="316.25pt,12.820333pt" to="350.2pt,12.820333pt" stroked="true" strokeweight=".5pt" strokecolor="#231f20">
            <v:stroke dashstyle="solid"/>
            <w10:wrap type="none"/>
          </v:line>
        </w:pict>
      </w:r>
      <w:r>
        <w:rPr/>
        <w:pict>
          <v:line style="position:absolute;mso-position-horizontal-relative:page;mso-position-vertical-relative:paragraph;z-index:4768" from="355.199982pt,12.820333pt" to="390.199982pt,12.820333pt" stroked="true" strokeweight=".5pt" strokecolor="#231f20">
            <v:stroke dashstyle="solid"/>
            <w10:wrap type="none"/>
          </v:line>
        </w:pict>
      </w:r>
      <w:r>
        <w:rPr/>
        <w:pict>
          <v:line style="position:absolute;mso-position-horizontal-relative:page;mso-position-vertical-relative:paragraph;z-index:4792" from="395.199982pt,12.820333pt" to="446.249982pt,12.820333pt" stroked="true" strokeweight=".5pt" strokecolor="#231f20">
            <v:stroke dashstyle="solid"/>
            <w10:wrap type="none"/>
          </v:line>
        </w:pict>
      </w:r>
      <w:r>
        <w:rPr/>
        <w:pict>
          <v:line style="position:absolute;mso-position-horizontal-relative:page;mso-position-vertical-relative:paragraph;z-index:4816" from="451.25pt,12.820333pt" to="488.25pt,12.820333pt" stroked="true" strokeweight=".5pt" strokecolor="#231f20">
            <v:stroke dashstyle="solid"/>
            <w10:wrap type="none"/>
          </v:line>
        </w:pict>
      </w:r>
      <w:r>
        <w:rPr/>
        <w:pict>
          <v:line style="position:absolute;mso-position-horizontal-relative:page;mso-position-vertical-relative:paragraph;z-index:4840" from="493.25pt,12.820333pt" to="525pt,12.820333pt" stroked="true" strokeweight=".5pt" strokecolor="#231f20">
            <v:stroke dashstyle="solid"/>
            <w10:wrap type="none"/>
          </v:line>
        </w:pict>
      </w:r>
      <w:r>
        <w:rPr>
          <w:color w:val="231F20"/>
          <w:sz w:val="18"/>
        </w:rPr>
        <w:t>Comprehensive income   . . . . . . . . . . . . . . . . . . . .</w:t>
      </w:r>
      <w:r>
        <w:rPr>
          <w:color w:val="231F20"/>
          <w:spacing w:val="-21"/>
          <w:sz w:val="18"/>
        </w:rPr>
        <w:t> </w:t>
      </w:r>
      <w:r>
        <w:rPr>
          <w:color w:val="231F20"/>
          <w:sz w:val="18"/>
        </w:rPr>
        <w:t>. .</w:t>
        <w:tab/>
        <w:t>—</w:t>
        <w:tab/>
        <w:t>—</w:t>
        <w:tab/>
        <w:t>178</w:t>
        <w:tab/>
        <w:t>38</w:t>
        <w:tab/>
        <w:t>—</w:t>
        <w:tab/>
        <w:t>216</w:t>
      </w:r>
    </w:p>
    <w:p>
      <w:pPr>
        <w:tabs>
          <w:tab w:pos="5105" w:val="left" w:leader="none"/>
          <w:tab w:pos="5883" w:val="left" w:leader="none"/>
          <w:tab w:pos="6683" w:val="left" w:leader="none"/>
          <w:tab w:pos="7234" w:val="left" w:leader="none"/>
        </w:tabs>
        <w:spacing w:before="93"/>
        <w:ind w:left="100" w:right="0" w:firstLine="0"/>
        <w:jc w:val="left"/>
        <w:rPr>
          <w:sz w:val="18"/>
        </w:rPr>
      </w:pPr>
      <w:r>
        <w:rPr>
          <w:color w:val="231F20"/>
          <w:sz w:val="18"/>
        </w:rPr>
        <w:t>Balance at December 31, 2011 . . . . . . . . . . . . . . . . . . . . .  </w:t>
      </w:r>
      <w:r>
        <w:rPr>
          <w:color w:val="231F20"/>
          <w:spacing w:val="34"/>
          <w:sz w:val="18"/>
        </w:rPr>
        <w:t> </w:t>
      </w:r>
      <w:r>
        <w:rPr>
          <w:color w:val="231F20"/>
          <w:sz w:val="18"/>
        </w:rPr>
        <w:t>$ </w:t>
      </w:r>
      <w:r>
        <w:rPr>
          <w:color w:val="231F20"/>
          <w:spacing w:val="41"/>
          <w:sz w:val="18"/>
        </w:rPr>
        <w:t> </w:t>
      </w:r>
      <w:r>
        <w:rPr>
          <w:color w:val="231F20"/>
          <w:sz w:val="18"/>
        </w:rPr>
        <w:t>808</w:t>
        <w:tab/>
        <w:t>$</w:t>
      </w:r>
      <w:r>
        <w:rPr>
          <w:color w:val="231F20"/>
          <w:spacing w:val="-2"/>
          <w:sz w:val="18"/>
        </w:rPr>
        <w:t> </w:t>
      </w:r>
      <w:r>
        <w:rPr>
          <w:color w:val="231F20"/>
          <w:sz w:val="18"/>
        </w:rPr>
        <w:t>1,222</w:t>
        <w:tab/>
        <w:t>$</w:t>
      </w:r>
      <w:r>
        <w:rPr>
          <w:color w:val="231F20"/>
          <w:spacing w:val="20"/>
          <w:sz w:val="18"/>
        </w:rPr>
        <w:t> </w:t>
      </w:r>
      <w:r>
        <w:rPr>
          <w:color w:val="231F20"/>
          <w:sz w:val="18"/>
        </w:rPr>
        <w:t>5,395</w:t>
        <w:tab/>
        <w:t>$</w:t>
        <w:tab/>
        <w:t>(224)    $    (324)    $6,877</w:t>
      </w:r>
    </w:p>
    <w:p>
      <w:pPr>
        <w:tabs>
          <w:tab w:pos="4595" w:val="left" w:leader="none"/>
          <w:tab w:pos="5374" w:val="left" w:leader="none"/>
          <w:tab w:pos="6174" w:val="left" w:leader="none"/>
          <w:tab w:pos="7295" w:val="left" w:leader="none"/>
          <w:tab w:pos="8074" w:val="left" w:leader="none"/>
          <w:tab w:pos="8809" w:val="left" w:leader="none"/>
        </w:tabs>
        <w:spacing w:line="254" w:lineRule="auto" w:before="12"/>
        <w:ind w:left="460" w:right="138" w:firstLine="0"/>
        <w:jc w:val="left"/>
        <w:rPr>
          <w:sz w:val="18"/>
        </w:rPr>
      </w:pPr>
      <w:r>
        <w:rPr>
          <w:color w:val="231F20"/>
          <w:sz w:val="18"/>
        </w:rPr>
        <w:t>Repurchase of common stock   . . . . . . . . . . . . . . .</w:t>
      </w:r>
      <w:r>
        <w:rPr>
          <w:color w:val="231F20"/>
          <w:spacing w:val="-1"/>
          <w:sz w:val="18"/>
        </w:rPr>
        <w:t> </w:t>
      </w:r>
      <w:r>
        <w:rPr>
          <w:color w:val="231F20"/>
          <w:sz w:val="18"/>
        </w:rPr>
        <w:t>. .</w:t>
        <w:tab/>
        <w:t>—</w:t>
        <w:tab/>
        <w:t>—</w:t>
        <w:tab/>
        <w:t>—</w:t>
        <w:tab/>
        <w:t>—</w:t>
        <w:tab/>
        <w:t>(400)</w:t>
        <w:tab/>
        <w:t>(400) Issuance of common and treasury stock pursuant to</w:t>
      </w:r>
    </w:p>
    <w:p>
      <w:pPr>
        <w:tabs>
          <w:tab w:pos="4395" w:val="left" w:leader="none"/>
          <w:tab w:pos="5294" w:val="left" w:leader="none"/>
          <w:tab w:pos="6004" w:val="left" w:leader="none"/>
          <w:tab w:pos="7095" w:val="left" w:leader="none"/>
          <w:tab w:pos="8025" w:val="left" w:leader="none"/>
          <w:tab w:pos="8940" w:val="right" w:leader="none"/>
        </w:tabs>
        <w:spacing w:before="0"/>
        <w:ind w:left="440" w:right="0" w:firstLine="0"/>
        <w:jc w:val="center"/>
        <w:rPr>
          <w:sz w:val="18"/>
        </w:rPr>
      </w:pPr>
      <w:r>
        <w:rPr>
          <w:color w:val="231F20"/>
          <w:sz w:val="18"/>
        </w:rPr>
        <w:t>Employee stock plans . . . . . . . . . . . . . . . . . . . .</w:t>
      </w:r>
      <w:r>
        <w:rPr>
          <w:color w:val="231F20"/>
          <w:spacing w:val="14"/>
          <w:sz w:val="18"/>
        </w:rPr>
        <w:t> </w:t>
      </w:r>
      <w:r>
        <w:rPr>
          <w:color w:val="231F20"/>
          <w:sz w:val="18"/>
        </w:rPr>
        <w:t>. .</w:t>
        <w:tab/>
        <w:t>—</w:t>
        <w:tab/>
        <w:t>(4)</w:t>
        <w:tab/>
        <w:t>(22)</w:t>
        <w:tab/>
        <w:t>—</w:t>
        <w:tab/>
        <w:t>49</w:t>
        <w:tab/>
        <w:t>23</w:t>
      </w:r>
    </w:p>
    <w:p>
      <w:pPr>
        <w:tabs>
          <w:tab w:pos="4595" w:val="left" w:leader="none"/>
          <w:tab w:pos="5404" w:val="left" w:leader="none"/>
          <w:tab w:pos="5464" w:val="left" w:leader="none"/>
          <w:tab w:pos="6174" w:val="left" w:leader="none"/>
          <w:tab w:pos="7295" w:val="left" w:leader="none"/>
          <w:tab w:pos="8135" w:val="left" w:leader="none"/>
          <w:tab w:pos="8900" w:val="left" w:leader="none"/>
          <w:tab w:pos="9140" w:val="right" w:leader="none"/>
        </w:tabs>
        <w:spacing w:line="254" w:lineRule="auto" w:before="12"/>
        <w:ind w:left="460" w:right="137" w:firstLine="0"/>
        <w:jc w:val="left"/>
        <w:rPr>
          <w:sz w:val="18"/>
        </w:rPr>
      </w:pPr>
      <w:r>
        <w:rPr>
          <w:color w:val="231F20"/>
          <w:sz w:val="18"/>
        </w:rPr>
        <w:t>Net tax benefit (expense) of options exercised   . .</w:t>
      </w:r>
      <w:r>
        <w:rPr>
          <w:color w:val="231F20"/>
          <w:spacing w:val="-7"/>
          <w:sz w:val="18"/>
        </w:rPr>
        <w:t> </w:t>
      </w:r>
      <w:r>
        <w:rPr>
          <w:color w:val="231F20"/>
          <w:sz w:val="18"/>
        </w:rPr>
        <w:t>. .</w:t>
        <w:tab/>
        <w:t>—</w:t>
        <w:tab/>
        <w:t>(24)</w:t>
        <w:tab/>
        <w:t>—</w:t>
        <w:tab/>
        <w:t>—</w:t>
        <w:tab/>
        <w:t>—</w:t>
        <w:tab/>
        <w:t>(24) Share-based compensation  . . . . . . . . . . . . . . . . . .</w:t>
      </w:r>
      <w:r>
        <w:rPr>
          <w:color w:val="231F20"/>
          <w:spacing w:val="-16"/>
          <w:sz w:val="18"/>
        </w:rPr>
        <w:t> </w:t>
      </w:r>
      <w:r>
        <w:rPr>
          <w:color w:val="231F20"/>
          <w:sz w:val="18"/>
        </w:rPr>
        <w:t>. .</w:t>
        <w:tab/>
        <w:t>—</w:t>
        <w:tab/>
        <w:tab/>
        <w:t>16</w:t>
        <w:tab/>
        <w:t>—</w:t>
        <w:tab/>
        <w:t>—</w:t>
        <w:tab/>
        <w:t>—</w:t>
        <w:tab/>
        <w:tab/>
        <w:t>16</w:t>
      </w:r>
    </w:p>
    <w:p>
      <w:pPr>
        <w:tabs>
          <w:tab w:pos="4595" w:val="left" w:leader="none"/>
          <w:tab w:pos="5374" w:val="left" w:leader="none"/>
          <w:tab w:pos="6204" w:val="left" w:leader="none"/>
          <w:tab w:pos="7295" w:val="left" w:leader="none"/>
          <w:tab w:pos="8135" w:val="left" w:leader="none"/>
          <w:tab w:pos="8900" w:val="left" w:leader="none"/>
        </w:tabs>
        <w:spacing w:before="0"/>
        <w:ind w:left="460" w:right="0" w:firstLine="0"/>
        <w:jc w:val="left"/>
        <w:rPr>
          <w:sz w:val="18"/>
        </w:rPr>
      </w:pPr>
      <w:r>
        <w:rPr>
          <w:color w:val="231F20"/>
          <w:sz w:val="18"/>
        </w:rPr>
        <w:t>Cash dividends, $.0345 per share . . . . . . . . . . . . .</w:t>
      </w:r>
      <w:r>
        <w:rPr>
          <w:color w:val="231F20"/>
          <w:spacing w:val="14"/>
          <w:sz w:val="18"/>
        </w:rPr>
        <w:t> </w:t>
      </w:r>
      <w:r>
        <w:rPr>
          <w:color w:val="231F20"/>
          <w:sz w:val="18"/>
        </w:rPr>
        <w:t>. .</w:t>
        <w:tab/>
        <w:t>—</w:t>
        <w:tab/>
        <w:t>—</w:t>
        <w:tab/>
        <w:t>(26)</w:t>
        <w:tab/>
        <w:t>—</w:t>
        <w:tab/>
        <w:t>—</w:t>
        <w:tab/>
        <w:t>(26)</w:t>
      </w:r>
    </w:p>
    <w:p>
      <w:pPr>
        <w:tabs>
          <w:tab w:pos="4595" w:val="left" w:leader="none"/>
          <w:tab w:pos="5374" w:val="left" w:leader="none"/>
          <w:tab w:pos="6174" w:val="left" w:leader="none"/>
          <w:tab w:pos="7295" w:val="left" w:leader="none"/>
          <w:tab w:pos="8135" w:val="left" w:leader="none"/>
          <w:tab w:pos="9140" w:val="right" w:leader="none"/>
        </w:tabs>
        <w:spacing w:before="12"/>
        <w:ind w:left="460" w:right="0" w:firstLine="0"/>
        <w:jc w:val="left"/>
        <w:rPr>
          <w:sz w:val="18"/>
        </w:rPr>
      </w:pPr>
      <w:r>
        <w:rPr/>
        <w:pict>
          <v:line style="position:absolute;mso-position-horizontal-relative:page;mso-position-vertical-relative:paragraph;z-index:4216;mso-wrap-distance-left:0;mso-wrap-distance-right:0" from="279.699982pt,12.766336pt" to="311.249982pt,12.766336pt" stroked="true" strokeweight=".5pt" strokecolor="#231f20">
            <v:stroke dashstyle="solid"/>
            <w10:wrap type="topAndBottom"/>
          </v:line>
        </w:pict>
      </w:r>
      <w:r>
        <w:rPr/>
        <w:pict>
          <v:line style="position:absolute;mso-position-horizontal-relative:page;mso-position-vertical-relative:paragraph;z-index:4240;mso-wrap-distance-left:0;mso-wrap-distance-right:0" from="316.25pt,12.766336pt" to="350.2pt,12.766336pt" stroked="true" strokeweight=".5pt" strokecolor="#231f20">
            <v:stroke dashstyle="solid"/>
            <w10:wrap type="topAndBottom"/>
          </v:line>
        </w:pict>
      </w:r>
      <w:r>
        <w:rPr/>
        <w:pict>
          <v:line style="position:absolute;mso-position-horizontal-relative:page;mso-position-vertical-relative:paragraph;z-index:4264;mso-wrap-distance-left:0;mso-wrap-distance-right:0" from="355.199982pt,12.766336pt" to="390.199982pt,12.766336pt" stroked="true" strokeweight=".5pt" strokecolor="#231f20">
            <v:stroke dashstyle="solid"/>
            <w10:wrap type="topAndBottom"/>
          </v:line>
        </w:pict>
      </w:r>
      <w:r>
        <w:rPr/>
        <w:pict>
          <v:line style="position:absolute;mso-position-horizontal-relative:page;mso-position-vertical-relative:paragraph;z-index:4288;mso-wrap-distance-left:0;mso-wrap-distance-right:0" from="395.199982pt,12.766336pt" to="446.249982pt,12.766336pt" stroked="true" strokeweight=".5pt" strokecolor="#231f20">
            <v:stroke dashstyle="solid"/>
            <w10:wrap type="topAndBottom"/>
          </v:line>
        </w:pict>
      </w:r>
      <w:r>
        <w:rPr/>
        <w:pict>
          <v:line style="position:absolute;mso-position-horizontal-relative:page;mso-position-vertical-relative:paragraph;z-index:4312;mso-wrap-distance-left:0;mso-wrap-distance-right:0" from="451.25pt,12.766336pt" to="488.25pt,12.766336pt" stroked="true" strokeweight=".5pt" strokecolor="#231f20">
            <v:stroke dashstyle="solid"/>
            <w10:wrap type="topAndBottom"/>
          </v:line>
        </w:pict>
      </w:r>
      <w:r>
        <w:rPr/>
        <w:pict>
          <v:line style="position:absolute;mso-position-horizontal-relative:page;mso-position-vertical-relative:paragraph;z-index:4336;mso-wrap-distance-left:0;mso-wrap-distance-right:0" from="493.25pt,12.766336pt" to="525pt,12.766336pt" stroked="true" strokeweight=".5pt" strokecolor="#231f20">
            <v:stroke dashstyle="solid"/>
            <w10:wrap type="topAndBottom"/>
          </v:line>
        </w:pict>
      </w:r>
      <w:r>
        <w:rPr>
          <w:color w:val="231F20"/>
          <w:sz w:val="18"/>
        </w:rPr>
        <w:t>Comprehensive income   . . . . . . . . . . . . . . . . . . . .</w:t>
      </w:r>
      <w:r>
        <w:rPr>
          <w:color w:val="231F20"/>
          <w:spacing w:val="-21"/>
          <w:sz w:val="18"/>
        </w:rPr>
        <w:t> </w:t>
      </w:r>
      <w:r>
        <w:rPr>
          <w:color w:val="231F20"/>
          <w:sz w:val="18"/>
        </w:rPr>
        <w:t>. .</w:t>
        <w:tab/>
        <w:t>—</w:t>
        <w:tab/>
        <w:t>—</w:t>
        <w:tab/>
        <w:t>421</w:t>
        <w:tab/>
        <w:t>105</w:t>
        <w:tab/>
        <w:t>—</w:t>
        <w:tab/>
        <w:t>526</w:t>
      </w:r>
    </w:p>
    <w:p>
      <w:pPr>
        <w:tabs>
          <w:tab w:pos="5105" w:val="left" w:leader="none"/>
          <w:tab w:pos="5883" w:val="left" w:leader="none"/>
          <w:tab w:pos="6683" w:val="left" w:leader="none"/>
          <w:tab w:pos="7234" w:val="left" w:leader="none"/>
        </w:tabs>
        <w:spacing w:before="23" w:after="31"/>
        <w:ind w:left="100" w:right="0" w:firstLine="0"/>
        <w:jc w:val="left"/>
        <w:rPr>
          <w:sz w:val="18"/>
        </w:rPr>
      </w:pPr>
      <w:r>
        <w:rPr>
          <w:color w:val="231F20"/>
          <w:sz w:val="18"/>
        </w:rPr>
        <w:t>Balance at December 31, 2012 . . . . . . . . . . . . . . . . . . . . .  </w:t>
      </w:r>
      <w:r>
        <w:rPr>
          <w:color w:val="231F20"/>
          <w:spacing w:val="34"/>
          <w:sz w:val="18"/>
        </w:rPr>
        <w:t> </w:t>
      </w:r>
      <w:r>
        <w:rPr>
          <w:color w:val="231F20"/>
          <w:sz w:val="18"/>
        </w:rPr>
        <w:t>$ </w:t>
      </w:r>
      <w:r>
        <w:rPr>
          <w:color w:val="231F20"/>
          <w:spacing w:val="41"/>
          <w:sz w:val="18"/>
        </w:rPr>
        <w:t> </w:t>
      </w:r>
      <w:r>
        <w:rPr>
          <w:color w:val="231F20"/>
          <w:sz w:val="18"/>
        </w:rPr>
        <w:t>808</w:t>
        <w:tab/>
        <w:t>$</w:t>
      </w:r>
      <w:r>
        <w:rPr>
          <w:color w:val="231F20"/>
          <w:spacing w:val="-2"/>
          <w:sz w:val="18"/>
        </w:rPr>
        <w:t> </w:t>
      </w:r>
      <w:r>
        <w:rPr>
          <w:color w:val="231F20"/>
          <w:sz w:val="18"/>
        </w:rPr>
        <w:t>1,210</w:t>
        <w:tab/>
        <w:t>$</w:t>
      </w:r>
      <w:r>
        <w:rPr>
          <w:color w:val="231F20"/>
          <w:spacing w:val="20"/>
          <w:sz w:val="18"/>
        </w:rPr>
        <w:t> </w:t>
      </w:r>
      <w:r>
        <w:rPr>
          <w:color w:val="231F20"/>
          <w:sz w:val="18"/>
        </w:rPr>
        <w:t>5,768</w:t>
        <w:tab/>
        <w:t>$</w:t>
        <w:tab/>
        <w:t>(119)    $    (675)    $6,992</w:t>
      </w:r>
    </w:p>
    <w:p>
      <w:pPr>
        <w:spacing w:line="50" w:lineRule="exact"/>
        <w:ind w:left="4309" w:right="0" w:firstLine="0"/>
        <w:rPr>
          <w:sz w:val="5"/>
        </w:rPr>
      </w:pPr>
      <w:r>
        <w:rPr>
          <w:position w:val="0"/>
          <w:sz w:val="5"/>
        </w:rPr>
        <w:pict>
          <v:group style="width:32.0500pt;height:2.5pt;mso-position-horizontal-relative:char;mso-position-vertical-relative:line" coordorigin="0,0" coordsize="641,50">
            <v:line style="position:absolute" from="5,5" to="636,5" stroked="true" strokeweight=".5pt" strokecolor="#231f20">
              <v:stroke dashstyle="solid"/>
            </v:line>
            <v:line style="position:absolute" from="5,45" to="636,45" stroked="true" strokeweight=".5pt" strokecolor="#231f20">
              <v:stroke dashstyle="solid"/>
            </v:line>
          </v:group>
        </w:pict>
      </w:r>
      <w:r>
        <w:rPr>
          <w:position w:val="0"/>
          <w:sz w:val="5"/>
        </w:rPr>
      </w:r>
      <w:r>
        <w:rPr>
          <w:spacing w:val="63"/>
          <w:position w:val="0"/>
          <w:sz w:val="5"/>
        </w:rPr>
        <w:t> </w:t>
      </w:r>
      <w:r>
        <w:rPr>
          <w:spacing w:val="63"/>
          <w:position w:val="0"/>
          <w:sz w:val="5"/>
        </w:rPr>
        <w:pict>
          <v:group style="width:34.450pt;height:2.5pt;mso-position-horizontal-relative:char;mso-position-vertical-relative:line" coordorigin="0,0" coordsize="689,50">
            <v:line style="position:absolute" from="5,5" to="684,5" stroked="true" strokeweight=".5pt" strokecolor="#231f20">
              <v:stroke dashstyle="solid"/>
            </v:line>
            <v:line style="position:absolute" from="5,45" to="684,45" stroked="true" strokeweight=".5pt" strokecolor="#231f20">
              <v:stroke dashstyle="solid"/>
            </v:line>
          </v:group>
        </w:pict>
      </w:r>
      <w:r>
        <w:rPr>
          <w:spacing w:val="63"/>
          <w:position w:val="0"/>
          <w:sz w:val="5"/>
        </w:rPr>
      </w:r>
      <w:r>
        <w:rPr>
          <w:spacing w:val="66"/>
          <w:position w:val="0"/>
          <w:sz w:val="5"/>
        </w:rPr>
        <w:t> </w:t>
      </w:r>
      <w:r>
        <w:rPr>
          <w:spacing w:val="66"/>
          <w:position w:val="0"/>
          <w:sz w:val="5"/>
        </w:rPr>
        <w:pict>
          <v:group style="width:35.5pt;height:2.5pt;mso-position-horizontal-relative:char;mso-position-vertical-relative:line" coordorigin="0,0" coordsize="710,50">
            <v:line style="position:absolute" from="5,5" to="705,5" stroked="true" strokeweight=".5pt" strokecolor="#231f20">
              <v:stroke dashstyle="solid"/>
            </v:line>
            <v:line style="position:absolute" from="5,45" to="705,45" stroked="true" strokeweight=".5pt" strokecolor="#231f20">
              <v:stroke dashstyle="solid"/>
            </v:line>
          </v:group>
        </w:pict>
      </w:r>
      <w:r>
        <w:rPr>
          <w:spacing w:val="66"/>
          <w:position w:val="0"/>
          <w:sz w:val="5"/>
        </w:rPr>
      </w:r>
      <w:r>
        <w:rPr>
          <w:spacing w:val="57"/>
          <w:position w:val="0"/>
          <w:sz w:val="5"/>
        </w:rPr>
        <w:t> </w:t>
      </w:r>
      <w:r>
        <w:rPr>
          <w:spacing w:val="57"/>
          <w:position w:val="0"/>
          <w:sz w:val="5"/>
        </w:rPr>
        <w:pict>
          <v:group style="width:51.55pt;height:2.5pt;mso-position-horizontal-relative:char;mso-position-vertical-relative:line" coordorigin="0,0" coordsize="1031,50">
            <v:line style="position:absolute" from="5,5" to="1026,5" stroked="true" strokeweight=".5pt" strokecolor="#231f20">
              <v:stroke dashstyle="solid"/>
            </v:line>
            <v:line style="position:absolute" from="5,45" to="1026,45" stroked="true" strokeweight=".5pt" strokecolor="#231f20">
              <v:stroke dashstyle="solid"/>
            </v:line>
          </v:group>
        </w:pict>
      </w:r>
      <w:r>
        <w:rPr>
          <w:spacing w:val="57"/>
          <w:position w:val="0"/>
          <w:sz w:val="5"/>
        </w:rPr>
      </w:r>
      <w:r>
        <w:rPr>
          <w:spacing w:val="63"/>
          <w:position w:val="0"/>
          <w:sz w:val="5"/>
        </w:rPr>
        <w:t> </w:t>
      </w:r>
      <w:r>
        <w:rPr>
          <w:spacing w:val="63"/>
          <w:position w:val="0"/>
          <w:sz w:val="5"/>
        </w:rPr>
        <w:pict>
          <v:group style="width:37.5pt;height:2.5pt;mso-position-horizontal-relative:char;mso-position-vertical-relative:line" coordorigin="0,0" coordsize="750,50">
            <v:line style="position:absolute" from="5,5" to="745,5" stroked="true" strokeweight=".5pt" strokecolor="#231f20">
              <v:stroke dashstyle="solid"/>
            </v:line>
            <v:line style="position:absolute" from="5,45" to="745,45" stroked="true" strokeweight=".5pt" strokecolor="#231f20">
              <v:stroke dashstyle="solid"/>
            </v:line>
          </v:group>
        </w:pict>
      </w:r>
      <w:r>
        <w:rPr>
          <w:spacing w:val="63"/>
          <w:position w:val="0"/>
          <w:sz w:val="5"/>
        </w:rPr>
      </w:r>
      <w:r>
        <w:rPr>
          <w:spacing w:val="52"/>
          <w:position w:val="0"/>
          <w:sz w:val="5"/>
        </w:rPr>
        <w:t> </w:t>
      </w:r>
      <w:r>
        <w:rPr>
          <w:spacing w:val="52"/>
          <w:position w:val="0"/>
          <w:sz w:val="5"/>
        </w:rPr>
        <w:pict>
          <v:group style="width:32.25pt;height:2.5pt;mso-position-horizontal-relative:char;mso-position-vertical-relative:line" coordorigin="0,0" coordsize="645,50">
            <v:line style="position:absolute" from="5,5" to="640,5" stroked="true" strokeweight=".5pt" strokecolor="#231f20">
              <v:stroke dashstyle="solid"/>
            </v:line>
            <v:line style="position:absolute" from="5,45" to="640,45" stroked="true" strokeweight=".5pt" strokecolor="#231f20">
              <v:stroke dashstyle="solid"/>
            </v:line>
          </v:group>
        </w:pict>
      </w:r>
      <w:r>
        <w:rPr>
          <w:spacing w:val="52"/>
          <w:position w:val="0"/>
          <w:sz w:val="5"/>
        </w:rPr>
      </w:r>
    </w:p>
    <w:p>
      <w:pPr>
        <w:tabs>
          <w:tab w:pos="4595" w:val="left" w:leader="none"/>
          <w:tab w:pos="5374" w:val="left" w:leader="none"/>
          <w:tab w:pos="6174" w:val="left" w:leader="none"/>
          <w:tab w:pos="7295" w:val="left" w:leader="none"/>
          <w:tab w:pos="8075" w:val="left" w:leader="none"/>
          <w:tab w:pos="8809" w:val="left" w:leader="none"/>
        </w:tabs>
        <w:spacing w:line="254" w:lineRule="auto" w:before="52" w:after="11"/>
        <w:ind w:left="460" w:right="138" w:firstLine="0"/>
        <w:jc w:val="left"/>
        <w:rPr>
          <w:sz w:val="18"/>
        </w:rPr>
      </w:pPr>
      <w:r>
        <w:rPr>
          <w:color w:val="231F20"/>
          <w:sz w:val="18"/>
        </w:rPr>
        <w:t>Repurchase of common stock   . . . . . . . . . . . . . . .</w:t>
      </w:r>
      <w:r>
        <w:rPr>
          <w:color w:val="231F20"/>
          <w:spacing w:val="-1"/>
          <w:sz w:val="18"/>
        </w:rPr>
        <w:t> </w:t>
      </w:r>
      <w:r>
        <w:rPr>
          <w:color w:val="231F20"/>
          <w:sz w:val="18"/>
        </w:rPr>
        <w:t>. .</w:t>
        <w:tab/>
        <w:t>—</w:t>
        <w:tab/>
        <w:t>—</w:t>
        <w:tab/>
        <w:t>—</w:t>
        <w:tab/>
        <w:t>—</w:t>
        <w:tab/>
        <w:t>(540)</w:t>
        <w:tab/>
        <w:t>(540) Issuance of common and treasury stock pursuant to</w:t>
      </w:r>
    </w:p>
    <w:tbl>
      <w:tblPr>
        <w:tblW w:w="0" w:type="auto"/>
        <w:jc w:val="left"/>
        <w:tblInd w:w="4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04"/>
        <w:gridCol w:w="1625"/>
        <w:gridCol w:w="585"/>
        <w:gridCol w:w="100"/>
        <w:gridCol w:w="1021"/>
        <w:gridCol w:w="100"/>
        <w:gridCol w:w="1475"/>
      </w:tblGrid>
      <w:tr>
        <w:trPr>
          <w:trHeight w:val="428" w:hRule="exact"/>
        </w:trPr>
        <w:tc>
          <w:tcPr>
            <w:tcW w:w="3904" w:type="dxa"/>
          </w:tcPr>
          <w:p>
            <w:pPr>
              <w:pStyle w:val="TableParagraph"/>
              <w:spacing w:line="254" w:lineRule="auto"/>
              <w:ind w:left="50" w:firstLine="180"/>
              <w:jc w:val="left"/>
              <w:rPr>
                <w:sz w:val="18"/>
              </w:rPr>
            </w:pPr>
            <w:r>
              <w:rPr>
                <w:color w:val="231F20"/>
                <w:sz w:val="18"/>
              </w:rPr>
              <w:t>Employee stock plans . . . . . . . . . . . . . . . . . . . . . . Net tax benefit (expense) of options exercised   . . . . </w:t>
            </w:r>
          </w:p>
        </w:tc>
        <w:tc>
          <w:tcPr>
            <w:tcW w:w="1625" w:type="dxa"/>
          </w:tcPr>
          <w:p>
            <w:pPr>
              <w:pStyle w:val="TableParagraph"/>
              <w:tabs>
                <w:tab w:pos="1150" w:val="left" w:leader="none"/>
              </w:tabs>
              <w:spacing w:line="197" w:lineRule="exact"/>
              <w:ind w:left="281"/>
              <w:jc w:val="left"/>
              <w:rPr>
                <w:sz w:val="18"/>
              </w:rPr>
            </w:pPr>
            <w:r>
              <w:rPr>
                <w:color w:val="231F20"/>
                <w:sz w:val="18"/>
              </w:rPr>
              <w:t>—</w:t>
              <w:tab/>
              <w:t>12</w:t>
            </w:r>
          </w:p>
          <w:p>
            <w:pPr>
              <w:pStyle w:val="TableParagraph"/>
              <w:tabs>
                <w:tab w:pos="1179" w:val="left" w:leader="none"/>
              </w:tabs>
              <w:spacing w:before="13"/>
              <w:ind w:left="281"/>
              <w:jc w:val="left"/>
              <w:rPr>
                <w:sz w:val="18"/>
              </w:rPr>
            </w:pPr>
            <w:r>
              <w:rPr>
                <w:color w:val="231F20"/>
                <w:sz w:val="18"/>
              </w:rPr>
              <w:t>—</w:t>
              <w:tab/>
              <w:t>(9)</w:t>
            </w:r>
          </w:p>
        </w:tc>
        <w:tc>
          <w:tcPr>
            <w:tcW w:w="3281" w:type="dxa"/>
            <w:gridSpan w:val="5"/>
          </w:tcPr>
          <w:p>
            <w:pPr>
              <w:pStyle w:val="TableParagraph"/>
              <w:tabs>
                <w:tab w:pos="1356" w:val="left" w:leader="none"/>
                <w:tab w:pos="2286" w:val="left" w:leader="none"/>
                <w:tab w:pos="3021" w:val="left" w:leader="none"/>
              </w:tabs>
              <w:spacing w:line="197" w:lineRule="exact"/>
              <w:ind w:left="235"/>
              <w:jc w:val="left"/>
              <w:rPr>
                <w:sz w:val="18"/>
              </w:rPr>
            </w:pPr>
            <w:r>
              <w:rPr>
                <w:color w:val="231F20"/>
                <w:sz w:val="18"/>
              </w:rPr>
              <w:t>—</w:t>
              <w:tab/>
              <w:t>—</w:t>
              <w:tab/>
              <w:t>84</w:t>
              <w:tab/>
              <w:t>96</w:t>
            </w:r>
          </w:p>
          <w:p>
            <w:pPr>
              <w:pStyle w:val="TableParagraph"/>
              <w:tabs>
                <w:tab w:pos="1356" w:val="left" w:leader="none"/>
                <w:tab w:pos="2196" w:val="left" w:leader="none"/>
                <w:tab w:pos="3051" w:val="left" w:leader="none"/>
              </w:tabs>
              <w:spacing w:before="13"/>
              <w:ind w:left="235"/>
              <w:jc w:val="left"/>
              <w:rPr>
                <w:sz w:val="18"/>
              </w:rPr>
            </w:pPr>
            <w:r>
              <w:rPr>
                <w:color w:val="231F20"/>
                <w:sz w:val="18"/>
              </w:rPr>
              <w:t>—</w:t>
              <w:tab/>
              <w:t>—</w:t>
              <w:tab/>
              <w:t>—</w:t>
              <w:tab/>
              <w:t>(9)</w:t>
            </w:r>
          </w:p>
        </w:tc>
      </w:tr>
      <w:tr>
        <w:trPr>
          <w:trHeight w:val="220" w:hRule="exact"/>
        </w:trPr>
        <w:tc>
          <w:tcPr>
            <w:tcW w:w="3904" w:type="dxa"/>
          </w:tcPr>
          <w:p>
            <w:pPr>
              <w:pStyle w:val="TableParagraph"/>
              <w:spacing w:before="1"/>
              <w:ind w:left="43" w:right="45"/>
              <w:jc w:val="center"/>
              <w:rPr>
                <w:sz w:val="18"/>
              </w:rPr>
            </w:pPr>
            <w:r>
              <w:rPr>
                <w:color w:val="231F20"/>
                <w:sz w:val="18"/>
              </w:rPr>
              <w:t>Share-based compensation  . . . . . . . . . . . . . . . . . . . . </w:t>
            </w:r>
          </w:p>
        </w:tc>
        <w:tc>
          <w:tcPr>
            <w:tcW w:w="1625" w:type="dxa"/>
          </w:tcPr>
          <w:p>
            <w:pPr>
              <w:pStyle w:val="TableParagraph"/>
              <w:tabs>
                <w:tab w:pos="1150" w:val="left" w:leader="none"/>
              </w:tabs>
              <w:spacing w:before="1"/>
              <w:ind w:left="281"/>
              <w:jc w:val="left"/>
              <w:rPr>
                <w:sz w:val="18"/>
              </w:rPr>
            </w:pPr>
            <w:r>
              <w:rPr>
                <w:color w:val="231F20"/>
                <w:sz w:val="18"/>
              </w:rPr>
              <w:t>—</w:t>
              <w:tab/>
              <w:t>18</w:t>
            </w:r>
          </w:p>
        </w:tc>
        <w:tc>
          <w:tcPr>
            <w:tcW w:w="3281" w:type="dxa"/>
            <w:gridSpan w:val="5"/>
          </w:tcPr>
          <w:p>
            <w:pPr>
              <w:pStyle w:val="TableParagraph"/>
              <w:tabs>
                <w:tab w:pos="1356" w:val="left" w:leader="none"/>
                <w:tab w:pos="2196" w:val="left" w:leader="none"/>
                <w:tab w:pos="3021" w:val="left" w:leader="none"/>
              </w:tabs>
              <w:spacing w:before="1"/>
              <w:ind w:left="235"/>
              <w:jc w:val="left"/>
              <w:rPr>
                <w:sz w:val="18"/>
              </w:rPr>
            </w:pPr>
            <w:r>
              <w:rPr>
                <w:color w:val="231F20"/>
                <w:sz w:val="18"/>
              </w:rPr>
              <w:t>—</w:t>
              <w:tab/>
              <w:t>—</w:t>
              <w:tab/>
              <w:t>—</w:t>
              <w:tab/>
              <w:t>18</w:t>
            </w:r>
          </w:p>
        </w:tc>
      </w:tr>
      <w:tr>
        <w:trPr>
          <w:trHeight w:val="220" w:hRule="exact"/>
        </w:trPr>
        <w:tc>
          <w:tcPr>
            <w:tcW w:w="3904" w:type="dxa"/>
          </w:tcPr>
          <w:p>
            <w:pPr>
              <w:pStyle w:val="TableParagraph"/>
              <w:spacing w:line="197" w:lineRule="exact"/>
              <w:ind w:left="43" w:right="45"/>
              <w:jc w:val="center"/>
              <w:rPr>
                <w:sz w:val="18"/>
              </w:rPr>
            </w:pPr>
            <w:r>
              <w:rPr>
                <w:color w:val="231F20"/>
                <w:sz w:val="18"/>
              </w:rPr>
              <w:t>Cash dividends, $.1300 per share . . . . . . . . . . . . . . . </w:t>
            </w:r>
          </w:p>
        </w:tc>
        <w:tc>
          <w:tcPr>
            <w:tcW w:w="2210" w:type="dxa"/>
            <w:gridSpan w:val="2"/>
          </w:tcPr>
          <w:p>
            <w:pPr>
              <w:pStyle w:val="TableParagraph"/>
              <w:tabs>
                <w:tab w:pos="1060" w:val="left" w:leader="none"/>
                <w:tab w:pos="1890" w:val="left" w:leader="none"/>
              </w:tabs>
              <w:spacing w:line="197" w:lineRule="exact"/>
              <w:ind w:left="281"/>
              <w:jc w:val="left"/>
              <w:rPr>
                <w:sz w:val="18"/>
              </w:rPr>
            </w:pPr>
            <w:r>
              <w:rPr>
                <w:color w:val="231F20"/>
                <w:sz w:val="18"/>
              </w:rPr>
              <w:t>—</w:t>
              <w:tab/>
              <w:t>—</w:t>
              <w:tab/>
              <w:t>(91)</w:t>
            </w:r>
          </w:p>
        </w:tc>
        <w:tc>
          <w:tcPr>
            <w:tcW w:w="100" w:type="dxa"/>
          </w:tcPr>
          <w:p>
            <w:pPr/>
          </w:p>
        </w:tc>
        <w:tc>
          <w:tcPr>
            <w:tcW w:w="1021" w:type="dxa"/>
          </w:tcPr>
          <w:p>
            <w:pPr>
              <w:pStyle w:val="TableParagraph"/>
              <w:spacing w:line="197" w:lineRule="exact"/>
              <w:ind w:left="671"/>
              <w:jc w:val="left"/>
              <w:rPr>
                <w:sz w:val="18"/>
              </w:rPr>
            </w:pPr>
            <w:r>
              <w:rPr>
                <w:color w:val="231F20"/>
                <w:sz w:val="18"/>
              </w:rPr>
              <w:t>—</w:t>
            </w:r>
          </w:p>
        </w:tc>
        <w:tc>
          <w:tcPr>
            <w:tcW w:w="100" w:type="dxa"/>
          </w:tcPr>
          <w:p>
            <w:pPr/>
          </w:p>
        </w:tc>
        <w:tc>
          <w:tcPr>
            <w:tcW w:w="1475" w:type="dxa"/>
          </w:tcPr>
          <w:p>
            <w:pPr>
              <w:pStyle w:val="TableParagraph"/>
              <w:tabs>
                <w:tab w:pos="764" w:val="left" w:leader="none"/>
              </w:tabs>
              <w:spacing w:line="197" w:lineRule="exact"/>
              <w:ind w:right="17"/>
              <w:rPr>
                <w:sz w:val="18"/>
              </w:rPr>
            </w:pPr>
            <w:r>
              <w:rPr>
                <w:color w:val="231F20"/>
                <w:sz w:val="18"/>
              </w:rPr>
              <w:t>—</w:t>
              <w:tab/>
              <w:t>(91)</w:t>
            </w:r>
          </w:p>
        </w:tc>
      </w:tr>
      <w:tr>
        <w:trPr>
          <w:trHeight w:val="245" w:hRule="exact"/>
        </w:trPr>
        <w:tc>
          <w:tcPr>
            <w:tcW w:w="3904" w:type="dxa"/>
          </w:tcPr>
          <w:p>
            <w:pPr>
              <w:pStyle w:val="TableParagraph"/>
              <w:spacing w:before="1"/>
              <w:ind w:left="43" w:right="45"/>
              <w:jc w:val="center"/>
              <w:rPr>
                <w:sz w:val="18"/>
              </w:rPr>
            </w:pPr>
            <w:r>
              <w:rPr>
                <w:color w:val="231F20"/>
                <w:sz w:val="18"/>
              </w:rPr>
              <w:t>Comprehensive income   . . . . . . . . . . . . . . . . . . . . . . </w:t>
            </w:r>
          </w:p>
        </w:tc>
        <w:tc>
          <w:tcPr>
            <w:tcW w:w="2210" w:type="dxa"/>
            <w:gridSpan w:val="2"/>
          </w:tcPr>
          <w:p>
            <w:pPr>
              <w:pStyle w:val="TableParagraph"/>
              <w:tabs>
                <w:tab w:pos="1060" w:val="left" w:leader="none"/>
                <w:tab w:pos="1860" w:val="left" w:leader="none"/>
              </w:tabs>
              <w:spacing w:before="1"/>
              <w:ind w:left="281"/>
              <w:jc w:val="left"/>
              <w:rPr>
                <w:sz w:val="18"/>
              </w:rPr>
            </w:pPr>
            <w:r>
              <w:rPr>
                <w:color w:val="231F20"/>
                <w:sz w:val="18"/>
              </w:rPr>
              <w:t>—</w:t>
              <w:tab/>
              <w:t>—</w:t>
              <w:tab/>
              <w:t>754</w:t>
            </w:r>
          </w:p>
        </w:tc>
        <w:tc>
          <w:tcPr>
            <w:tcW w:w="100" w:type="dxa"/>
          </w:tcPr>
          <w:p>
            <w:pPr/>
          </w:p>
        </w:tc>
        <w:tc>
          <w:tcPr>
            <w:tcW w:w="1021" w:type="dxa"/>
            <w:tcBorders>
              <w:bottom w:val="single" w:sz="4" w:space="0" w:color="231F20"/>
            </w:tcBorders>
          </w:tcPr>
          <w:p>
            <w:pPr>
              <w:pStyle w:val="TableParagraph"/>
              <w:spacing w:before="1"/>
              <w:ind w:left="671"/>
              <w:jc w:val="left"/>
              <w:rPr>
                <w:sz w:val="18"/>
              </w:rPr>
            </w:pPr>
            <w:r>
              <w:rPr>
                <w:color w:val="231F20"/>
                <w:sz w:val="18"/>
              </w:rPr>
              <w:t>116</w:t>
            </w:r>
          </w:p>
        </w:tc>
        <w:tc>
          <w:tcPr>
            <w:tcW w:w="100" w:type="dxa"/>
          </w:tcPr>
          <w:p>
            <w:pPr/>
          </w:p>
        </w:tc>
        <w:tc>
          <w:tcPr>
            <w:tcW w:w="1475" w:type="dxa"/>
            <w:tcBorders>
              <w:bottom w:val="single" w:sz="4" w:space="0" w:color="231F20"/>
            </w:tcBorders>
          </w:tcPr>
          <w:p>
            <w:pPr>
              <w:pStyle w:val="TableParagraph"/>
              <w:tabs>
                <w:tab w:pos="734" w:val="left" w:leader="none"/>
              </w:tabs>
              <w:spacing w:before="1"/>
              <w:ind w:right="77"/>
              <w:rPr>
                <w:sz w:val="18"/>
              </w:rPr>
            </w:pPr>
            <w:r>
              <w:rPr>
                <w:color w:val="231F20"/>
                <w:sz w:val="18"/>
              </w:rPr>
              <w:t>—</w:t>
              <w:tab/>
              <w:t>870</w:t>
            </w:r>
          </w:p>
        </w:tc>
      </w:tr>
    </w:tbl>
    <w:p>
      <w:pPr>
        <w:tabs>
          <w:tab w:pos="7740" w:val="left" w:leader="none"/>
        </w:tabs>
        <w:spacing w:line="20" w:lineRule="exact"/>
        <w:ind w:left="4309" w:right="0" w:firstLine="0"/>
        <w:rPr>
          <w:sz w:val="2"/>
        </w:rPr>
      </w:pPr>
      <w:r>
        <w:rPr>
          <w:sz w:val="2"/>
        </w:rPr>
        <w:pict>
          <v:group style="width:32.0500pt;height:.5pt;mso-position-horizontal-relative:char;mso-position-vertical-relative:line" coordorigin="0,0" coordsize="641,10">
            <v:line style="position:absolute" from="5,5" to="636,5" stroked="true" strokeweight=".5pt" strokecolor="#231f20">
              <v:stroke dashstyle="solid"/>
            </v:line>
          </v:group>
        </w:pict>
      </w:r>
      <w:r>
        <w:rPr>
          <w:sz w:val="2"/>
        </w:rPr>
      </w:r>
      <w:r>
        <w:rPr>
          <w:spacing w:val="73"/>
          <w:sz w:val="2"/>
        </w:rPr>
        <w:t> </w:t>
      </w:r>
      <w:r>
        <w:rPr>
          <w:spacing w:val="73"/>
          <w:sz w:val="2"/>
        </w:rPr>
        <w:pict>
          <v:group style="width:34.450pt;height:.5pt;mso-position-horizontal-relative:char;mso-position-vertical-relative:line" coordorigin="0,0" coordsize="689,10">
            <v:line style="position:absolute" from="5,5" to="684,5" stroked="true" strokeweight=".5pt" strokecolor="#231f20">
              <v:stroke dashstyle="solid"/>
            </v:line>
          </v:group>
        </w:pict>
      </w:r>
      <w:r>
        <w:rPr>
          <w:spacing w:val="73"/>
          <w:sz w:val="2"/>
        </w:rPr>
      </w:r>
      <w:r>
        <w:rPr>
          <w:spacing w:val="73"/>
          <w:sz w:val="2"/>
        </w:rPr>
        <w:tab/>
      </w:r>
      <w:r>
        <w:rPr>
          <w:spacing w:val="73"/>
          <w:sz w:val="2"/>
        </w:rPr>
        <w:pict>
          <v:group style="width:37.5pt;height:.5pt;mso-position-horizontal-relative:char;mso-position-vertical-relative:line" coordorigin="0,0" coordsize="750,10">
            <v:line style="position:absolute" from="5,5" to="745,5" stroked="true" strokeweight=".5pt" strokecolor="#231f20">
              <v:stroke dashstyle="solid"/>
            </v:line>
          </v:group>
        </w:pict>
      </w:r>
      <w:r>
        <w:rPr>
          <w:spacing w:val="73"/>
          <w:sz w:val="2"/>
        </w:rPr>
      </w:r>
    </w:p>
    <w:p>
      <w:pPr>
        <w:tabs>
          <w:tab w:pos="5105" w:val="left" w:leader="none"/>
          <w:tab w:pos="5883" w:val="left" w:leader="none"/>
          <w:tab w:pos="6683" w:val="left" w:leader="none"/>
          <w:tab w:pos="7414" w:val="left" w:leader="none"/>
        </w:tabs>
        <w:spacing w:before="27"/>
        <w:ind w:left="100" w:right="0" w:firstLine="0"/>
        <w:jc w:val="left"/>
        <w:rPr>
          <w:sz w:val="18"/>
        </w:rPr>
      </w:pPr>
      <w:r>
        <w:rPr/>
        <w:pict>
          <v:group style="position:absolute;margin-left:279.449982pt;margin-top:13.252359pt;width:32.0500pt;height:2.5pt;mso-position-horizontal-relative:page;mso-position-vertical-relative:paragraph;z-index:4576;mso-wrap-distance-left:0;mso-wrap-distance-right:0" coordorigin="5589,265" coordsize="641,50">
            <v:line style="position:absolute" from="5594,270" to="6225,270" stroked="true" strokeweight=".5pt" strokecolor="#231f20">
              <v:stroke dashstyle="solid"/>
            </v:line>
            <v:line style="position:absolute" from="5594,310" to="6225,310" stroked="true" strokeweight=".5pt" strokecolor="#231f20">
              <v:stroke dashstyle="solid"/>
            </v:line>
            <w10:wrap type="topAndBottom"/>
          </v:group>
        </w:pict>
      </w:r>
      <w:r>
        <w:rPr/>
        <w:pict>
          <v:group style="position:absolute;margin-left:316pt;margin-top:13.252359pt;width:34.450pt;height:2.5pt;mso-position-horizontal-relative:page;mso-position-vertical-relative:paragraph;z-index:4600;mso-wrap-distance-left:0;mso-wrap-distance-right:0" coordorigin="6320,265" coordsize="689,50">
            <v:line style="position:absolute" from="6325,270" to="7004,270" stroked="true" strokeweight=".5pt" strokecolor="#231f20">
              <v:stroke dashstyle="solid"/>
            </v:line>
            <v:line style="position:absolute" from="6325,310" to="7004,310" stroked="true" strokeweight=".5pt" strokecolor="#231f20">
              <v:stroke dashstyle="solid"/>
            </v:line>
            <w10:wrap type="topAndBottom"/>
          </v:group>
        </w:pict>
      </w:r>
      <w:r>
        <w:rPr/>
        <w:pict>
          <v:group style="position:absolute;margin-left:354.949982pt;margin-top:13.252359pt;width:35.5pt;height:2.5pt;mso-position-horizontal-relative:page;mso-position-vertical-relative:paragraph;z-index:4624;mso-wrap-distance-left:0;mso-wrap-distance-right:0" coordorigin="7099,265" coordsize="710,50">
            <v:line style="position:absolute" from="7104,270" to="7804,270" stroked="true" strokeweight=".5pt" strokecolor="#231f20">
              <v:stroke dashstyle="solid"/>
            </v:line>
            <v:line style="position:absolute" from="7104,310" to="7804,310" stroked="true" strokeweight=".5pt" strokecolor="#231f20">
              <v:stroke dashstyle="solid"/>
            </v:line>
            <w10:wrap type="topAndBottom"/>
          </v:group>
        </w:pict>
      </w:r>
      <w:r>
        <w:rPr/>
        <w:pict>
          <v:group style="position:absolute;margin-left:394.949982pt;margin-top:13.252359pt;width:51.55pt;height:2.5pt;mso-position-horizontal-relative:page;mso-position-vertical-relative:paragraph;z-index:4648;mso-wrap-distance-left:0;mso-wrap-distance-right:0" coordorigin="7899,265" coordsize="1031,50">
            <v:line style="position:absolute" from="7904,270" to="8925,270" stroked="true" strokeweight=".5pt" strokecolor="#231f20">
              <v:stroke dashstyle="solid"/>
            </v:line>
            <v:line style="position:absolute" from="7904,310" to="8925,310" stroked="true" strokeweight=".5pt" strokecolor="#231f20">
              <v:stroke dashstyle="solid"/>
            </v:line>
            <w10:wrap type="topAndBottom"/>
          </v:group>
        </w:pict>
      </w:r>
      <w:r>
        <w:rPr/>
        <w:pict>
          <v:group style="position:absolute;margin-left:451pt;margin-top:13.252359pt;width:37.5pt;height:2.5pt;mso-position-horizontal-relative:page;mso-position-vertical-relative:paragraph;z-index:4672;mso-wrap-distance-left:0;mso-wrap-distance-right:0" coordorigin="9020,265" coordsize="750,50">
            <v:line style="position:absolute" from="9025,270" to="9765,270" stroked="true" strokeweight=".5pt" strokecolor="#231f20">
              <v:stroke dashstyle="solid"/>
            </v:line>
            <v:line style="position:absolute" from="9025,310" to="9765,310" stroked="true" strokeweight=".5pt" strokecolor="#231f20">
              <v:stroke dashstyle="solid"/>
            </v:line>
            <w10:wrap type="topAndBottom"/>
          </v:group>
        </w:pict>
      </w:r>
      <w:r>
        <w:rPr/>
        <w:pict>
          <v:group style="position:absolute;margin-left:493pt;margin-top:13.252359pt;width:32.25pt;height:2.5pt;mso-position-horizontal-relative:page;mso-position-vertical-relative:paragraph;z-index:4696;mso-wrap-distance-left:0;mso-wrap-distance-right:0" coordorigin="9860,265" coordsize="645,50">
            <v:line style="position:absolute" from="9865,270" to="10500,270" stroked="true" strokeweight=".5pt" strokecolor="#231f20">
              <v:stroke dashstyle="solid"/>
            </v:line>
            <v:line style="position:absolute" from="9865,310" to="10500,310" stroked="true" strokeweight=".5pt" strokecolor="#231f20">
              <v:stroke dashstyle="solid"/>
            </v:line>
            <w10:wrap type="topAndBottom"/>
          </v:group>
        </w:pict>
      </w:r>
      <w:r>
        <w:rPr>
          <w:color w:val="231F20"/>
          <w:sz w:val="18"/>
        </w:rPr>
        <w:t>Balance at December 31, 2013 . . . . . . . . . . . . . . . . . . . . .  </w:t>
      </w:r>
      <w:r>
        <w:rPr>
          <w:color w:val="231F20"/>
          <w:spacing w:val="34"/>
          <w:sz w:val="18"/>
        </w:rPr>
        <w:t> </w:t>
      </w:r>
      <w:r>
        <w:rPr>
          <w:color w:val="231F20"/>
          <w:sz w:val="18"/>
        </w:rPr>
        <w:t>$ </w:t>
      </w:r>
      <w:r>
        <w:rPr>
          <w:color w:val="231F20"/>
          <w:spacing w:val="41"/>
          <w:sz w:val="18"/>
        </w:rPr>
        <w:t> </w:t>
      </w:r>
      <w:r>
        <w:rPr>
          <w:color w:val="231F20"/>
          <w:sz w:val="18"/>
        </w:rPr>
        <w:t>808</w:t>
        <w:tab/>
        <w:t>$</w:t>
      </w:r>
      <w:r>
        <w:rPr>
          <w:color w:val="231F20"/>
          <w:spacing w:val="-2"/>
          <w:sz w:val="18"/>
        </w:rPr>
        <w:t> </w:t>
      </w:r>
      <w:r>
        <w:rPr>
          <w:color w:val="231F20"/>
          <w:sz w:val="18"/>
        </w:rPr>
        <w:t>1,231</w:t>
        <w:tab/>
        <w:t>$</w:t>
      </w:r>
      <w:r>
        <w:rPr>
          <w:color w:val="231F20"/>
          <w:spacing w:val="20"/>
          <w:sz w:val="18"/>
        </w:rPr>
        <w:t> </w:t>
      </w:r>
      <w:r>
        <w:rPr>
          <w:color w:val="231F20"/>
          <w:sz w:val="18"/>
        </w:rPr>
        <w:t>6,431</w:t>
        <w:tab/>
        <w:t>$</w:t>
        <w:tab/>
        <w:t>(3)    $ (1,131)    $7,336</w:t>
      </w:r>
    </w:p>
    <w:p>
      <w:pPr>
        <w:spacing w:after="0"/>
        <w:jc w:val="left"/>
        <w:rPr>
          <w:sz w:val="18"/>
        </w:rPr>
        <w:sectPr>
          <w:type w:val="continuous"/>
          <w:pgSz w:w="11880" w:h="15480"/>
          <w:pgMar w:top="1200" w:bottom="280" w:left="1280" w:right="1260"/>
        </w:sectPr>
      </w:pPr>
    </w:p>
    <w:p>
      <w:pPr>
        <w:pStyle w:val="Heading3"/>
        <w:spacing w:before="73"/>
        <w:ind w:left="3374"/>
      </w:pPr>
      <w:bookmarkStart w:name="Southwest Airlines Co. Consolidated Stat" w:id="29"/>
      <w:bookmarkEnd w:id="29"/>
      <w:r>
        <w:rPr>
          <w:b w:val="0"/>
        </w:rPr>
      </w:r>
      <w:r>
        <w:rPr>
          <w:color w:val="231F20"/>
        </w:rPr>
        <w:t>SOUTHWEST AIRLINES CO.</w:t>
      </w:r>
    </w:p>
    <w:p>
      <w:pPr>
        <w:spacing w:before="129"/>
        <w:ind w:left="2382" w:right="2382" w:firstLine="0"/>
        <w:jc w:val="center"/>
        <w:rPr>
          <w:b/>
          <w:sz w:val="20"/>
        </w:rPr>
      </w:pPr>
      <w:r>
        <w:rPr>
          <w:b/>
          <w:color w:val="231F20"/>
          <w:sz w:val="20"/>
        </w:rPr>
        <w:t>CONSOLIDATED STATEMENT OF CASH FLOWS</w:t>
      </w:r>
    </w:p>
    <w:p>
      <w:pPr>
        <w:pStyle w:val="BodyText"/>
        <w:spacing w:before="9"/>
        <w:ind w:left="2382" w:right="2382"/>
        <w:jc w:val="center"/>
      </w:pPr>
      <w:r>
        <w:rPr>
          <w:color w:val="231F20"/>
        </w:rPr>
        <w:t>(in millions)</w:t>
      </w:r>
    </w:p>
    <w:p>
      <w:pPr>
        <w:spacing w:after="0"/>
        <w:jc w:val="center"/>
        <w:sectPr>
          <w:footerReference w:type="default" r:id="rId31"/>
          <w:pgSz w:w="11880" w:h="15480"/>
          <w:pgMar w:footer="1718" w:header="0" w:top="1240" w:bottom="1900" w:left="1220" w:right="1220"/>
        </w:sectPr>
      </w:pPr>
    </w:p>
    <w:p>
      <w:pPr>
        <w:pStyle w:val="BodyText"/>
        <w:rPr>
          <w:sz w:val="22"/>
        </w:rPr>
      </w:pPr>
    </w:p>
    <w:p>
      <w:pPr>
        <w:pStyle w:val="BodyText"/>
        <w:rPr>
          <w:sz w:val="22"/>
        </w:rPr>
      </w:pPr>
    </w:p>
    <w:p>
      <w:pPr>
        <w:pStyle w:val="BodyText"/>
        <w:spacing w:before="4"/>
        <w:rPr>
          <w:sz w:val="24"/>
        </w:rPr>
      </w:pPr>
    </w:p>
    <w:p>
      <w:pPr>
        <w:pStyle w:val="Heading3"/>
        <w:spacing w:before="1"/>
        <w:ind w:left="160"/>
      </w:pPr>
      <w:r>
        <w:rPr>
          <w:color w:val="231F20"/>
        </w:rPr>
        <w:t>CASH FLOWS FROM OPERATING</w:t>
      </w:r>
      <w:r>
        <w:rPr>
          <w:color w:val="231F20"/>
          <w:spacing w:val="-5"/>
        </w:rPr>
        <w:t> </w:t>
      </w:r>
      <w:r>
        <w:rPr>
          <w:color w:val="231F20"/>
        </w:rPr>
        <w:t>ACTIVITIES:</w:t>
      </w:r>
    </w:p>
    <w:p>
      <w:pPr>
        <w:spacing w:before="186"/>
        <w:ind w:left="259" w:right="0" w:firstLine="0"/>
        <w:jc w:val="left"/>
        <w:rPr>
          <w:b/>
          <w:sz w:val="20"/>
        </w:rPr>
      </w:pPr>
      <w:r>
        <w:rPr/>
        <w:br w:type="column"/>
      </w:r>
      <w:r>
        <w:rPr>
          <w:b/>
          <w:color w:val="231F20"/>
          <w:sz w:val="20"/>
        </w:rPr>
        <w:t>Year ended December 31,</w:t>
      </w:r>
    </w:p>
    <w:p>
      <w:pPr>
        <w:tabs>
          <w:tab w:pos="1159" w:val="left" w:leader="none"/>
          <w:tab w:pos="2159" w:val="left" w:leader="none"/>
        </w:tabs>
        <w:spacing w:before="49"/>
        <w:ind w:left="160" w:right="0" w:firstLine="0"/>
        <w:jc w:val="left"/>
        <w:rPr>
          <w:b/>
          <w:sz w:val="20"/>
        </w:rPr>
      </w:pPr>
      <w:r>
        <w:rPr/>
        <w:pict>
          <v:line style="position:absolute;mso-position-horizontal-relative:page;mso-position-vertical-relative:paragraph;z-index:4912" from="385pt,1.285968pt" to="525pt,1.285968pt" stroked="true" strokeweight="1pt" strokecolor="#231f20">
            <v:stroke dashstyle="solid"/>
            <w10:wrap type="none"/>
          </v:line>
        </w:pict>
      </w:r>
      <w:r>
        <w:rPr/>
        <w:pict>
          <v:line style="position:absolute;mso-position-horizontal-relative:page;mso-position-vertical-relative:paragraph;z-index:4936" from="385pt,15.285968pt" to="425pt,15.285968pt" stroked="true" strokeweight="1pt" strokecolor="#231f20">
            <v:stroke dashstyle="solid"/>
            <w10:wrap type="none"/>
          </v:line>
        </w:pict>
      </w:r>
      <w:r>
        <w:rPr>
          <w:b/>
          <w:color w:val="231F20"/>
          <w:sz w:val="20"/>
        </w:rPr>
        <w:t>2013</w:t>
        <w:tab/>
        <w:t>2012</w:t>
        <w:tab/>
        <w:t>2011</w:t>
      </w:r>
    </w:p>
    <w:p>
      <w:pPr>
        <w:spacing w:line="20" w:lineRule="exact"/>
        <w:ind w:left="950" w:right="0" w:firstLine="0"/>
        <w:rPr>
          <w:sz w:val="2"/>
        </w:rPr>
      </w:pPr>
      <w:r>
        <w:rPr>
          <w:sz w:val="2"/>
        </w:rPr>
        <w:pict>
          <v:group style="width:41pt;height:1pt;mso-position-horizontal-relative:char;mso-position-vertical-relative:line" coordorigin="0,0" coordsize="820,20">
            <v:line style="position:absolute" from="10,10" to="810,10" stroked="true" strokeweight="1pt" strokecolor="#231f20">
              <v:stroke dashstyle="solid"/>
            </v:line>
          </v:group>
        </w:pict>
      </w:r>
      <w:r>
        <w:rPr>
          <w:sz w:val="2"/>
        </w:rPr>
      </w:r>
      <w:r>
        <w:rPr>
          <w:spacing w:val="170"/>
          <w:sz w:val="2"/>
        </w:rPr>
        <w:t> </w:t>
      </w:r>
      <w:r>
        <w:rPr>
          <w:spacing w:val="170"/>
          <w:sz w:val="2"/>
        </w:rPr>
        <w:pict>
          <v:group style="width:41pt;height:1pt;mso-position-horizontal-relative:char;mso-position-vertical-relative:line" coordorigin="0,0" coordsize="820,20">
            <v:line style="position:absolute" from="10,10" to="810,10" stroked="true" strokeweight="1pt" strokecolor="#231f20">
              <v:stroke dashstyle="solid"/>
            </v:line>
          </v:group>
        </w:pict>
      </w:r>
      <w:r>
        <w:rPr>
          <w:spacing w:val="170"/>
          <w:sz w:val="2"/>
        </w:rPr>
      </w:r>
    </w:p>
    <w:p>
      <w:pPr>
        <w:spacing w:after="0" w:line="20" w:lineRule="exact"/>
        <w:rPr>
          <w:sz w:val="2"/>
        </w:rPr>
        <w:sectPr>
          <w:type w:val="continuous"/>
          <w:pgSz w:w="11880" w:h="15480"/>
          <w:pgMar w:top="1200" w:bottom="280" w:left="1220" w:right="1220"/>
          <w:cols w:num="2" w:equalWidth="0">
            <w:col w:w="4703" w:space="1817"/>
            <w:col w:w="2920"/>
          </w:cols>
        </w:sectPr>
      </w:pPr>
    </w:p>
    <w:p>
      <w:pPr>
        <w:pStyle w:val="BodyText"/>
        <w:tabs>
          <w:tab w:pos="6539" w:val="left" w:leader="none"/>
          <w:tab w:pos="6919" w:val="left" w:leader="none"/>
          <w:tab w:pos="7539" w:val="left" w:leader="none"/>
          <w:tab w:pos="7919" w:val="left" w:leader="none"/>
          <w:tab w:pos="8539" w:val="left" w:leader="none"/>
          <w:tab w:pos="8919" w:val="left" w:leader="none"/>
        </w:tabs>
        <w:spacing w:before="10"/>
        <w:ind w:left="160"/>
      </w:pPr>
      <w:r>
        <w:rPr>
          <w:color w:val="231F20"/>
        </w:rPr>
        <w:t>Net income   . . . . . . . . . . . . . . . . . . . . . . . . . . . . . . . . . . . . . . . . . . . . . . . . .</w:t>
      </w:r>
      <w:r>
        <w:rPr>
          <w:color w:val="231F20"/>
          <w:spacing w:val="-8"/>
        </w:rPr>
        <w:t> </w:t>
      </w:r>
      <w:r>
        <w:rPr>
          <w:color w:val="231F20"/>
        </w:rPr>
        <w:t>. .</w:t>
        <w:tab/>
        <w:t>$</w:t>
        <w:tab/>
        <w:t>754</w:t>
        <w:tab/>
        <w:t>$</w:t>
        <w:tab/>
        <w:t>421</w:t>
        <w:tab/>
        <w:t>$</w:t>
        <w:tab/>
        <w:t>178</w:t>
      </w:r>
    </w:p>
    <w:p>
      <w:pPr>
        <w:pStyle w:val="BodyText"/>
        <w:spacing w:line="249" w:lineRule="auto" w:before="10" w:after="12"/>
        <w:ind w:left="360" w:right="3900" w:hanging="200"/>
      </w:pPr>
      <w:r>
        <w:rPr>
          <w:color w:val="231F20"/>
        </w:rPr>
        <w:t>Adjustments to reconcile net income to cash provided by operating activities: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70"/>
        <w:gridCol w:w="806"/>
        <w:gridCol w:w="194"/>
        <w:gridCol w:w="806"/>
        <w:gridCol w:w="194"/>
        <w:gridCol w:w="856"/>
      </w:tblGrid>
      <w:tr>
        <w:trPr>
          <w:trHeight w:val="229" w:hRule="exact"/>
        </w:trPr>
        <w:tc>
          <w:tcPr>
            <w:tcW w:w="6370" w:type="dxa"/>
          </w:tcPr>
          <w:p>
            <w:pPr>
              <w:pStyle w:val="TableParagraph"/>
              <w:spacing w:line="219" w:lineRule="exact"/>
              <w:ind w:right="149"/>
              <w:rPr>
                <w:sz w:val="20"/>
              </w:rPr>
            </w:pPr>
            <w:r>
              <w:rPr>
                <w:color w:val="231F20"/>
                <w:sz w:val="20"/>
              </w:rPr>
              <w:t>Depreciation and amortization   . . . . . . . . . . . . . . . . . . . . . . . . . . . . . . . . . . . . </w:t>
            </w:r>
          </w:p>
        </w:tc>
        <w:tc>
          <w:tcPr>
            <w:tcW w:w="806" w:type="dxa"/>
          </w:tcPr>
          <w:p>
            <w:pPr>
              <w:pStyle w:val="TableParagraph"/>
              <w:spacing w:line="219" w:lineRule="exact"/>
              <w:ind w:right="64"/>
              <w:rPr>
                <w:sz w:val="20"/>
              </w:rPr>
            </w:pPr>
            <w:r>
              <w:rPr>
                <w:color w:val="231F20"/>
                <w:sz w:val="20"/>
              </w:rPr>
              <w:t>867</w:t>
            </w:r>
          </w:p>
        </w:tc>
        <w:tc>
          <w:tcPr>
            <w:tcW w:w="194" w:type="dxa"/>
          </w:tcPr>
          <w:p>
            <w:pPr/>
          </w:p>
        </w:tc>
        <w:tc>
          <w:tcPr>
            <w:tcW w:w="806" w:type="dxa"/>
          </w:tcPr>
          <w:p>
            <w:pPr>
              <w:pStyle w:val="TableParagraph"/>
              <w:spacing w:line="219" w:lineRule="exact"/>
              <w:ind w:right="64"/>
              <w:rPr>
                <w:sz w:val="20"/>
              </w:rPr>
            </w:pPr>
            <w:r>
              <w:rPr>
                <w:color w:val="231F20"/>
                <w:sz w:val="20"/>
              </w:rPr>
              <w:t>844</w:t>
            </w:r>
          </w:p>
        </w:tc>
        <w:tc>
          <w:tcPr>
            <w:tcW w:w="194" w:type="dxa"/>
          </w:tcPr>
          <w:p>
            <w:pPr/>
          </w:p>
        </w:tc>
        <w:tc>
          <w:tcPr>
            <w:tcW w:w="856" w:type="dxa"/>
          </w:tcPr>
          <w:p>
            <w:pPr>
              <w:pStyle w:val="TableParagraph"/>
              <w:spacing w:line="219" w:lineRule="exact"/>
              <w:ind w:right="114"/>
              <w:rPr>
                <w:sz w:val="20"/>
              </w:rPr>
            </w:pPr>
            <w:r>
              <w:rPr>
                <w:color w:val="231F20"/>
                <w:sz w:val="20"/>
              </w:rPr>
              <w:t>715</w:t>
            </w:r>
          </w:p>
        </w:tc>
      </w:tr>
      <w:tr>
        <w:trPr>
          <w:trHeight w:val="240" w:hRule="exact"/>
        </w:trPr>
        <w:tc>
          <w:tcPr>
            <w:tcW w:w="6370" w:type="dxa"/>
          </w:tcPr>
          <w:p>
            <w:pPr>
              <w:pStyle w:val="TableParagraph"/>
              <w:spacing w:line="229" w:lineRule="exact"/>
              <w:ind w:right="149"/>
              <w:rPr>
                <w:sz w:val="20"/>
              </w:rPr>
            </w:pPr>
            <w:r>
              <w:rPr>
                <w:color w:val="231F20"/>
                <w:sz w:val="20"/>
              </w:rPr>
              <w:t>Unrealized (gain) loss on fuel derivative instruments . . . . . . . . . . . . . . . . . . . </w:t>
            </w:r>
          </w:p>
        </w:tc>
        <w:tc>
          <w:tcPr>
            <w:tcW w:w="806" w:type="dxa"/>
          </w:tcPr>
          <w:p>
            <w:pPr>
              <w:pStyle w:val="TableParagraph"/>
              <w:spacing w:line="229" w:lineRule="exact"/>
              <w:rPr>
                <w:sz w:val="20"/>
              </w:rPr>
            </w:pPr>
            <w:r>
              <w:rPr>
                <w:color w:val="231F20"/>
                <w:sz w:val="20"/>
              </w:rPr>
              <w:t>(5)</w:t>
            </w:r>
          </w:p>
        </w:tc>
        <w:tc>
          <w:tcPr>
            <w:tcW w:w="194" w:type="dxa"/>
          </w:tcPr>
          <w:p>
            <w:pPr/>
          </w:p>
        </w:tc>
        <w:tc>
          <w:tcPr>
            <w:tcW w:w="806" w:type="dxa"/>
          </w:tcPr>
          <w:p>
            <w:pPr>
              <w:pStyle w:val="TableParagraph"/>
              <w:spacing w:line="229" w:lineRule="exact"/>
              <w:rPr>
                <w:sz w:val="20"/>
              </w:rPr>
            </w:pPr>
            <w:r>
              <w:rPr>
                <w:color w:val="231F20"/>
                <w:sz w:val="20"/>
              </w:rPr>
              <w:t>(189)</w:t>
            </w:r>
          </w:p>
        </w:tc>
        <w:tc>
          <w:tcPr>
            <w:tcW w:w="194" w:type="dxa"/>
          </w:tcPr>
          <w:p>
            <w:pPr/>
          </w:p>
        </w:tc>
        <w:tc>
          <w:tcPr>
            <w:tcW w:w="856" w:type="dxa"/>
          </w:tcPr>
          <w:p>
            <w:pPr>
              <w:pStyle w:val="TableParagraph"/>
              <w:spacing w:line="229" w:lineRule="exact"/>
              <w:ind w:right="114"/>
              <w:rPr>
                <w:sz w:val="20"/>
              </w:rPr>
            </w:pPr>
            <w:r>
              <w:rPr>
                <w:color w:val="231F20"/>
                <w:sz w:val="20"/>
              </w:rPr>
              <w:t>90</w:t>
            </w:r>
          </w:p>
        </w:tc>
      </w:tr>
      <w:tr>
        <w:trPr>
          <w:trHeight w:val="720" w:hRule="exact"/>
        </w:trPr>
        <w:tc>
          <w:tcPr>
            <w:tcW w:w="6370" w:type="dxa"/>
          </w:tcPr>
          <w:p>
            <w:pPr>
              <w:pStyle w:val="TableParagraph"/>
              <w:spacing w:line="229" w:lineRule="exact"/>
              <w:ind w:left="50"/>
              <w:jc w:val="left"/>
              <w:rPr>
                <w:sz w:val="20"/>
              </w:rPr>
            </w:pPr>
            <w:r>
              <w:rPr>
                <w:color w:val="231F20"/>
                <w:sz w:val="20"/>
              </w:rPr>
              <w:t>Deferred income taxes . . . . . . . . . . . . . . . . . . . . . . . . . . . . . . . . . . . . . . . . . . . </w:t>
            </w:r>
          </w:p>
          <w:p>
            <w:pPr>
              <w:pStyle w:val="TableParagraph"/>
              <w:spacing w:before="10"/>
              <w:ind w:left="50"/>
              <w:jc w:val="left"/>
              <w:rPr>
                <w:sz w:val="20"/>
              </w:rPr>
            </w:pPr>
            <w:r>
              <w:rPr>
                <w:color w:val="231F20"/>
                <w:sz w:val="20"/>
              </w:rPr>
              <w:t>Changes in certain assets and liabilities:</w:t>
            </w:r>
          </w:p>
          <w:p>
            <w:pPr>
              <w:pStyle w:val="TableParagraph"/>
              <w:spacing w:before="10"/>
              <w:ind w:left="50"/>
              <w:jc w:val="left"/>
              <w:rPr>
                <w:sz w:val="20"/>
              </w:rPr>
            </w:pPr>
            <w:r>
              <w:rPr>
                <w:color w:val="231F20"/>
                <w:sz w:val="20"/>
              </w:rPr>
              <w:t>Accounts and other receivables . . . . . . . . . . . . . . . . . . . . . . . . . . . . . . . . . . . . </w:t>
            </w:r>
          </w:p>
        </w:tc>
        <w:tc>
          <w:tcPr>
            <w:tcW w:w="806" w:type="dxa"/>
          </w:tcPr>
          <w:p>
            <w:pPr>
              <w:pStyle w:val="TableParagraph"/>
              <w:spacing w:line="229" w:lineRule="exact"/>
              <w:ind w:right="64"/>
              <w:rPr>
                <w:sz w:val="20"/>
              </w:rPr>
            </w:pPr>
            <w:r>
              <w:rPr>
                <w:color w:val="231F20"/>
                <w:sz w:val="20"/>
              </w:rPr>
              <w:t>50</w:t>
            </w:r>
          </w:p>
          <w:p>
            <w:pPr>
              <w:pStyle w:val="TableParagraph"/>
              <w:spacing w:before="8"/>
              <w:jc w:val="left"/>
              <w:rPr>
                <w:sz w:val="21"/>
              </w:rPr>
            </w:pPr>
          </w:p>
          <w:p>
            <w:pPr>
              <w:pStyle w:val="TableParagraph"/>
              <w:rPr>
                <w:sz w:val="20"/>
              </w:rPr>
            </w:pPr>
            <w:r>
              <w:rPr>
                <w:color w:val="231F20"/>
                <w:sz w:val="20"/>
              </w:rPr>
              <w:t>(17)</w:t>
            </w:r>
          </w:p>
        </w:tc>
        <w:tc>
          <w:tcPr>
            <w:tcW w:w="194" w:type="dxa"/>
          </w:tcPr>
          <w:p>
            <w:pPr/>
          </w:p>
        </w:tc>
        <w:tc>
          <w:tcPr>
            <w:tcW w:w="806" w:type="dxa"/>
          </w:tcPr>
          <w:p>
            <w:pPr>
              <w:pStyle w:val="TableParagraph"/>
              <w:spacing w:line="229" w:lineRule="exact"/>
              <w:ind w:left="440"/>
              <w:jc w:val="left"/>
              <w:rPr>
                <w:sz w:val="20"/>
              </w:rPr>
            </w:pPr>
            <w:r>
              <w:rPr>
                <w:color w:val="231F20"/>
                <w:sz w:val="20"/>
              </w:rPr>
              <w:t>251</w:t>
            </w:r>
          </w:p>
          <w:p>
            <w:pPr>
              <w:pStyle w:val="TableParagraph"/>
              <w:spacing w:before="8"/>
              <w:jc w:val="left"/>
              <w:rPr>
                <w:sz w:val="21"/>
              </w:rPr>
            </w:pPr>
          </w:p>
          <w:p>
            <w:pPr>
              <w:pStyle w:val="TableParagraph"/>
              <w:ind w:left="473"/>
              <w:jc w:val="left"/>
              <w:rPr>
                <w:sz w:val="20"/>
              </w:rPr>
            </w:pPr>
            <w:r>
              <w:rPr>
                <w:color w:val="231F20"/>
                <w:sz w:val="20"/>
              </w:rPr>
              <w:t>(33)</w:t>
            </w:r>
          </w:p>
        </w:tc>
        <w:tc>
          <w:tcPr>
            <w:tcW w:w="194" w:type="dxa"/>
          </w:tcPr>
          <w:p>
            <w:pPr/>
          </w:p>
        </w:tc>
        <w:tc>
          <w:tcPr>
            <w:tcW w:w="856" w:type="dxa"/>
          </w:tcPr>
          <w:p>
            <w:pPr>
              <w:pStyle w:val="TableParagraph"/>
              <w:spacing w:line="229" w:lineRule="exact"/>
              <w:ind w:left="440"/>
              <w:jc w:val="left"/>
              <w:rPr>
                <w:sz w:val="20"/>
              </w:rPr>
            </w:pPr>
            <w:r>
              <w:rPr>
                <w:color w:val="231F20"/>
                <w:sz w:val="20"/>
              </w:rPr>
              <w:t>123</w:t>
            </w:r>
          </w:p>
          <w:p>
            <w:pPr>
              <w:pStyle w:val="TableParagraph"/>
              <w:spacing w:before="8"/>
              <w:jc w:val="left"/>
              <w:rPr>
                <w:sz w:val="21"/>
              </w:rPr>
            </w:pPr>
          </w:p>
          <w:p>
            <w:pPr>
              <w:pStyle w:val="TableParagraph"/>
              <w:ind w:left="473"/>
              <w:jc w:val="left"/>
              <w:rPr>
                <w:sz w:val="20"/>
              </w:rPr>
            </w:pPr>
            <w:r>
              <w:rPr>
                <w:color w:val="231F20"/>
                <w:sz w:val="20"/>
              </w:rPr>
              <w:t>(26)</w:t>
            </w:r>
          </w:p>
        </w:tc>
      </w:tr>
      <w:tr>
        <w:trPr>
          <w:trHeight w:val="240" w:hRule="exact"/>
        </w:trPr>
        <w:tc>
          <w:tcPr>
            <w:tcW w:w="6370" w:type="dxa"/>
          </w:tcPr>
          <w:p>
            <w:pPr>
              <w:pStyle w:val="TableParagraph"/>
              <w:spacing w:line="229" w:lineRule="exact"/>
              <w:ind w:right="149"/>
              <w:rPr>
                <w:sz w:val="20"/>
              </w:rPr>
            </w:pPr>
            <w:r>
              <w:rPr>
                <w:color w:val="231F20"/>
                <w:sz w:val="20"/>
              </w:rPr>
              <w:t>Other assets  . . . . . . . . . . . . . . . . . . . . . . . . . . . . . . . . . . . . . . . . . . . . . . . . . . . </w:t>
            </w:r>
          </w:p>
        </w:tc>
        <w:tc>
          <w:tcPr>
            <w:tcW w:w="806" w:type="dxa"/>
          </w:tcPr>
          <w:p>
            <w:pPr>
              <w:pStyle w:val="TableParagraph"/>
              <w:spacing w:line="229" w:lineRule="exact"/>
              <w:rPr>
                <w:sz w:val="20"/>
              </w:rPr>
            </w:pPr>
            <w:r>
              <w:rPr>
                <w:color w:val="231F20"/>
                <w:sz w:val="20"/>
              </w:rPr>
              <w:t>(46)</w:t>
            </w:r>
          </w:p>
        </w:tc>
        <w:tc>
          <w:tcPr>
            <w:tcW w:w="194" w:type="dxa"/>
          </w:tcPr>
          <w:p>
            <w:pPr/>
          </w:p>
        </w:tc>
        <w:tc>
          <w:tcPr>
            <w:tcW w:w="806" w:type="dxa"/>
          </w:tcPr>
          <w:p>
            <w:pPr>
              <w:pStyle w:val="TableParagraph"/>
              <w:spacing w:line="229" w:lineRule="exact"/>
              <w:rPr>
                <w:sz w:val="20"/>
              </w:rPr>
            </w:pPr>
            <w:r>
              <w:rPr>
                <w:color w:val="231F20"/>
                <w:sz w:val="20"/>
              </w:rPr>
              <w:t>(104)</w:t>
            </w:r>
          </w:p>
        </w:tc>
        <w:tc>
          <w:tcPr>
            <w:tcW w:w="194" w:type="dxa"/>
          </w:tcPr>
          <w:p>
            <w:pPr/>
          </w:p>
        </w:tc>
        <w:tc>
          <w:tcPr>
            <w:tcW w:w="856" w:type="dxa"/>
          </w:tcPr>
          <w:p>
            <w:pPr>
              <w:pStyle w:val="TableParagraph"/>
              <w:spacing w:line="229" w:lineRule="exact"/>
              <w:ind w:right="48"/>
              <w:rPr>
                <w:sz w:val="20"/>
              </w:rPr>
            </w:pPr>
            <w:r>
              <w:rPr>
                <w:color w:val="231F20"/>
                <w:sz w:val="20"/>
              </w:rPr>
              <w:t>(196)</w:t>
            </w:r>
          </w:p>
        </w:tc>
      </w:tr>
      <w:tr>
        <w:trPr>
          <w:trHeight w:val="240" w:hRule="exact"/>
        </w:trPr>
        <w:tc>
          <w:tcPr>
            <w:tcW w:w="6370" w:type="dxa"/>
          </w:tcPr>
          <w:p>
            <w:pPr>
              <w:pStyle w:val="TableParagraph"/>
              <w:spacing w:line="229" w:lineRule="exact"/>
              <w:ind w:right="149"/>
              <w:rPr>
                <w:sz w:val="20"/>
              </w:rPr>
            </w:pPr>
            <w:r>
              <w:rPr>
                <w:color w:val="231F20"/>
                <w:sz w:val="20"/>
              </w:rPr>
              <w:t>Accounts payable and accrued liabilities   . . . . . . . . . . . . . . . . . . . . . . . . . . . . </w:t>
            </w:r>
          </w:p>
        </w:tc>
        <w:tc>
          <w:tcPr>
            <w:tcW w:w="806" w:type="dxa"/>
          </w:tcPr>
          <w:p>
            <w:pPr>
              <w:pStyle w:val="TableParagraph"/>
              <w:spacing w:line="229" w:lineRule="exact"/>
              <w:ind w:right="64"/>
              <w:rPr>
                <w:sz w:val="20"/>
              </w:rPr>
            </w:pPr>
            <w:r>
              <w:rPr>
                <w:color w:val="231F20"/>
                <w:sz w:val="20"/>
              </w:rPr>
              <w:t>343</w:t>
            </w:r>
          </w:p>
        </w:tc>
        <w:tc>
          <w:tcPr>
            <w:tcW w:w="194" w:type="dxa"/>
          </w:tcPr>
          <w:p>
            <w:pPr/>
          </w:p>
        </w:tc>
        <w:tc>
          <w:tcPr>
            <w:tcW w:w="806" w:type="dxa"/>
          </w:tcPr>
          <w:p>
            <w:pPr>
              <w:pStyle w:val="TableParagraph"/>
              <w:spacing w:line="229" w:lineRule="exact"/>
              <w:ind w:right="64"/>
              <w:rPr>
                <w:sz w:val="20"/>
              </w:rPr>
            </w:pPr>
            <w:r>
              <w:rPr>
                <w:color w:val="231F20"/>
                <w:sz w:val="20"/>
              </w:rPr>
              <w:t>186</w:t>
            </w:r>
          </w:p>
        </w:tc>
        <w:tc>
          <w:tcPr>
            <w:tcW w:w="194" w:type="dxa"/>
          </w:tcPr>
          <w:p>
            <w:pPr/>
          </w:p>
        </w:tc>
        <w:tc>
          <w:tcPr>
            <w:tcW w:w="856" w:type="dxa"/>
          </w:tcPr>
          <w:p>
            <w:pPr>
              <w:pStyle w:val="TableParagraph"/>
              <w:spacing w:line="229" w:lineRule="exact"/>
              <w:ind w:right="114"/>
              <w:rPr>
                <w:sz w:val="20"/>
              </w:rPr>
            </w:pPr>
            <w:r>
              <w:rPr>
                <w:color w:val="231F20"/>
                <w:sz w:val="20"/>
              </w:rPr>
              <w:t>253</w:t>
            </w:r>
          </w:p>
        </w:tc>
      </w:tr>
      <w:tr>
        <w:trPr>
          <w:trHeight w:val="240" w:hRule="exact"/>
        </w:trPr>
        <w:tc>
          <w:tcPr>
            <w:tcW w:w="6370" w:type="dxa"/>
          </w:tcPr>
          <w:p>
            <w:pPr>
              <w:pStyle w:val="TableParagraph"/>
              <w:spacing w:line="229" w:lineRule="exact"/>
              <w:ind w:right="149"/>
              <w:rPr>
                <w:sz w:val="20"/>
              </w:rPr>
            </w:pPr>
            <w:r>
              <w:rPr>
                <w:color w:val="231F20"/>
                <w:sz w:val="20"/>
              </w:rPr>
              <w:t>Air traffic liability  . . . . . . . . . . . . . . . . . . . . . . . . . . . . . . . . . . . . . . . . . . . . . . </w:t>
            </w:r>
          </w:p>
        </w:tc>
        <w:tc>
          <w:tcPr>
            <w:tcW w:w="806" w:type="dxa"/>
          </w:tcPr>
          <w:p>
            <w:pPr>
              <w:pStyle w:val="TableParagraph"/>
              <w:spacing w:line="229" w:lineRule="exact"/>
              <w:ind w:right="64"/>
              <w:rPr>
                <w:sz w:val="20"/>
              </w:rPr>
            </w:pPr>
            <w:r>
              <w:rPr>
                <w:color w:val="231F20"/>
                <w:sz w:val="20"/>
              </w:rPr>
              <w:t>400</w:t>
            </w:r>
          </w:p>
        </w:tc>
        <w:tc>
          <w:tcPr>
            <w:tcW w:w="194" w:type="dxa"/>
          </w:tcPr>
          <w:p>
            <w:pPr/>
          </w:p>
        </w:tc>
        <w:tc>
          <w:tcPr>
            <w:tcW w:w="806" w:type="dxa"/>
          </w:tcPr>
          <w:p>
            <w:pPr>
              <w:pStyle w:val="TableParagraph"/>
              <w:spacing w:line="229" w:lineRule="exact"/>
              <w:ind w:right="64"/>
              <w:rPr>
                <w:sz w:val="20"/>
              </w:rPr>
            </w:pPr>
            <w:r>
              <w:rPr>
                <w:color w:val="231F20"/>
                <w:sz w:val="20"/>
              </w:rPr>
              <w:t>334</w:t>
            </w:r>
          </w:p>
        </w:tc>
        <w:tc>
          <w:tcPr>
            <w:tcW w:w="194" w:type="dxa"/>
          </w:tcPr>
          <w:p>
            <w:pPr/>
          </w:p>
        </w:tc>
        <w:tc>
          <w:tcPr>
            <w:tcW w:w="856" w:type="dxa"/>
          </w:tcPr>
          <w:p>
            <w:pPr>
              <w:pStyle w:val="TableParagraph"/>
              <w:spacing w:line="229" w:lineRule="exact"/>
              <w:ind w:right="114"/>
              <w:rPr>
                <w:sz w:val="20"/>
              </w:rPr>
            </w:pPr>
            <w:r>
              <w:rPr>
                <w:color w:val="231F20"/>
                <w:sz w:val="20"/>
              </w:rPr>
              <w:t>262</w:t>
            </w:r>
          </w:p>
        </w:tc>
      </w:tr>
      <w:tr>
        <w:trPr>
          <w:trHeight w:val="240" w:hRule="exact"/>
        </w:trPr>
        <w:tc>
          <w:tcPr>
            <w:tcW w:w="6370" w:type="dxa"/>
          </w:tcPr>
          <w:p>
            <w:pPr>
              <w:pStyle w:val="TableParagraph"/>
              <w:spacing w:line="229" w:lineRule="exact"/>
              <w:ind w:right="149"/>
              <w:rPr>
                <w:sz w:val="20"/>
              </w:rPr>
            </w:pPr>
            <w:r>
              <w:rPr>
                <w:color w:val="231F20"/>
                <w:sz w:val="20"/>
              </w:rPr>
              <w:t>Cash collateral received from (provided to) derivative counterparties . . . . . . </w:t>
            </w:r>
          </w:p>
        </w:tc>
        <w:tc>
          <w:tcPr>
            <w:tcW w:w="806" w:type="dxa"/>
          </w:tcPr>
          <w:p>
            <w:pPr>
              <w:pStyle w:val="TableParagraph"/>
              <w:spacing w:line="229" w:lineRule="exact"/>
              <w:ind w:right="64"/>
              <w:rPr>
                <w:sz w:val="20"/>
              </w:rPr>
            </w:pPr>
            <w:r>
              <w:rPr>
                <w:color w:val="231F20"/>
                <w:sz w:val="20"/>
              </w:rPr>
              <w:t>57</w:t>
            </w:r>
          </w:p>
        </w:tc>
        <w:tc>
          <w:tcPr>
            <w:tcW w:w="194" w:type="dxa"/>
          </w:tcPr>
          <w:p>
            <w:pPr/>
          </w:p>
        </w:tc>
        <w:tc>
          <w:tcPr>
            <w:tcW w:w="806" w:type="dxa"/>
          </w:tcPr>
          <w:p>
            <w:pPr>
              <w:pStyle w:val="TableParagraph"/>
              <w:spacing w:line="229" w:lineRule="exact"/>
              <w:ind w:right="64"/>
              <w:rPr>
                <w:sz w:val="20"/>
              </w:rPr>
            </w:pPr>
            <w:r>
              <w:rPr>
                <w:color w:val="231F20"/>
                <w:sz w:val="20"/>
              </w:rPr>
              <w:t>233</w:t>
            </w:r>
          </w:p>
        </w:tc>
        <w:tc>
          <w:tcPr>
            <w:tcW w:w="194" w:type="dxa"/>
          </w:tcPr>
          <w:p>
            <w:pPr/>
          </w:p>
        </w:tc>
        <w:tc>
          <w:tcPr>
            <w:tcW w:w="856" w:type="dxa"/>
          </w:tcPr>
          <w:p>
            <w:pPr>
              <w:pStyle w:val="TableParagraph"/>
              <w:spacing w:line="229" w:lineRule="exact"/>
              <w:ind w:right="48"/>
              <w:rPr>
                <w:sz w:val="20"/>
              </w:rPr>
            </w:pPr>
            <w:r>
              <w:rPr>
                <w:color w:val="231F20"/>
                <w:sz w:val="20"/>
              </w:rPr>
              <w:t>(195)</w:t>
            </w:r>
          </w:p>
        </w:tc>
      </w:tr>
      <w:tr>
        <w:trPr>
          <w:trHeight w:val="261" w:hRule="exact"/>
        </w:trPr>
        <w:tc>
          <w:tcPr>
            <w:tcW w:w="6370" w:type="dxa"/>
          </w:tcPr>
          <w:p>
            <w:pPr>
              <w:pStyle w:val="TableParagraph"/>
              <w:spacing w:line="229" w:lineRule="exact"/>
              <w:ind w:right="149"/>
              <w:rPr>
                <w:sz w:val="20"/>
              </w:rPr>
            </w:pPr>
            <w:r>
              <w:rPr>
                <w:color w:val="231F20"/>
                <w:sz w:val="20"/>
              </w:rPr>
              <w:t>Other, net . . . . . . . . . . . . . . . . . . . . . . . . . . . . . . . . . . . . . . . . . . . . . . . . . . . . . </w:t>
            </w:r>
          </w:p>
        </w:tc>
        <w:tc>
          <w:tcPr>
            <w:tcW w:w="806" w:type="dxa"/>
            <w:tcBorders>
              <w:bottom w:val="single" w:sz="4" w:space="0" w:color="231F20"/>
            </w:tcBorders>
          </w:tcPr>
          <w:p>
            <w:pPr>
              <w:pStyle w:val="TableParagraph"/>
              <w:spacing w:line="229" w:lineRule="exact"/>
              <w:ind w:right="64"/>
              <w:rPr>
                <w:sz w:val="20"/>
              </w:rPr>
            </w:pPr>
            <w:r>
              <w:rPr>
                <w:color w:val="231F20"/>
                <w:sz w:val="20"/>
              </w:rPr>
              <w:t>74</w:t>
            </w:r>
          </w:p>
        </w:tc>
        <w:tc>
          <w:tcPr>
            <w:tcW w:w="194" w:type="dxa"/>
          </w:tcPr>
          <w:p>
            <w:pPr/>
          </w:p>
        </w:tc>
        <w:tc>
          <w:tcPr>
            <w:tcW w:w="806" w:type="dxa"/>
            <w:tcBorders>
              <w:bottom w:val="single" w:sz="4" w:space="0" w:color="231F20"/>
            </w:tcBorders>
          </w:tcPr>
          <w:p>
            <w:pPr>
              <w:pStyle w:val="TableParagraph"/>
              <w:spacing w:line="229" w:lineRule="exact"/>
              <w:ind w:right="64"/>
              <w:rPr>
                <w:sz w:val="20"/>
              </w:rPr>
            </w:pPr>
            <w:r>
              <w:rPr>
                <w:color w:val="231F20"/>
                <w:sz w:val="20"/>
              </w:rPr>
              <w:t>121</w:t>
            </w:r>
          </w:p>
        </w:tc>
        <w:tc>
          <w:tcPr>
            <w:tcW w:w="194" w:type="dxa"/>
          </w:tcPr>
          <w:p>
            <w:pPr/>
          </w:p>
        </w:tc>
        <w:tc>
          <w:tcPr>
            <w:tcW w:w="856" w:type="dxa"/>
            <w:tcBorders>
              <w:bottom w:val="single" w:sz="4" w:space="0" w:color="231F20"/>
            </w:tcBorders>
          </w:tcPr>
          <w:p>
            <w:pPr>
              <w:pStyle w:val="TableParagraph"/>
              <w:spacing w:line="229" w:lineRule="exact"/>
              <w:ind w:right="114"/>
              <w:rPr>
                <w:sz w:val="20"/>
              </w:rPr>
            </w:pPr>
            <w:r>
              <w:rPr>
                <w:color w:val="231F20"/>
                <w:sz w:val="20"/>
              </w:rPr>
              <w:t>152</w:t>
            </w:r>
          </w:p>
        </w:tc>
      </w:tr>
      <w:tr>
        <w:trPr>
          <w:trHeight w:val="352" w:hRule="exact"/>
        </w:trPr>
        <w:tc>
          <w:tcPr>
            <w:tcW w:w="6370" w:type="dxa"/>
          </w:tcPr>
          <w:p>
            <w:pPr>
              <w:pStyle w:val="TableParagraph"/>
              <w:spacing w:before="58"/>
              <w:ind w:right="149"/>
              <w:rPr>
                <w:sz w:val="20"/>
              </w:rPr>
            </w:pPr>
            <w:r>
              <w:rPr>
                <w:color w:val="231F20"/>
                <w:sz w:val="20"/>
              </w:rPr>
              <w:t>Net cash provided by operating activities  . . . . . . . . . . . . . . . . . . . . . . . . . . . </w:t>
            </w:r>
          </w:p>
        </w:tc>
        <w:tc>
          <w:tcPr>
            <w:tcW w:w="806" w:type="dxa"/>
            <w:tcBorders>
              <w:top w:val="single" w:sz="4" w:space="0" w:color="231F20"/>
            </w:tcBorders>
          </w:tcPr>
          <w:p>
            <w:pPr>
              <w:pStyle w:val="TableParagraph"/>
              <w:spacing w:before="53"/>
              <w:ind w:right="64"/>
              <w:rPr>
                <w:sz w:val="20"/>
              </w:rPr>
            </w:pPr>
            <w:r>
              <w:rPr>
                <w:color w:val="231F20"/>
                <w:sz w:val="20"/>
              </w:rPr>
              <w:t>2,477</w:t>
            </w:r>
          </w:p>
        </w:tc>
        <w:tc>
          <w:tcPr>
            <w:tcW w:w="194" w:type="dxa"/>
          </w:tcPr>
          <w:p>
            <w:pPr/>
          </w:p>
        </w:tc>
        <w:tc>
          <w:tcPr>
            <w:tcW w:w="806" w:type="dxa"/>
            <w:tcBorders>
              <w:top w:val="single" w:sz="4" w:space="0" w:color="231F20"/>
            </w:tcBorders>
          </w:tcPr>
          <w:p>
            <w:pPr>
              <w:pStyle w:val="TableParagraph"/>
              <w:spacing w:before="53"/>
              <w:ind w:right="64"/>
              <w:rPr>
                <w:sz w:val="20"/>
              </w:rPr>
            </w:pPr>
            <w:r>
              <w:rPr>
                <w:color w:val="231F20"/>
                <w:sz w:val="20"/>
              </w:rPr>
              <w:t>2,064</w:t>
            </w:r>
          </w:p>
        </w:tc>
        <w:tc>
          <w:tcPr>
            <w:tcW w:w="194" w:type="dxa"/>
          </w:tcPr>
          <w:p>
            <w:pPr/>
          </w:p>
        </w:tc>
        <w:tc>
          <w:tcPr>
            <w:tcW w:w="856" w:type="dxa"/>
            <w:tcBorders>
              <w:top w:val="single" w:sz="4" w:space="0" w:color="231F20"/>
            </w:tcBorders>
          </w:tcPr>
          <w:p>
            <w:pPr>
              <w:pStyle w:val="TableParagraph"/>
              <w:spacing w:before="53"/>
              <w:ind w:right="114"/>
              <w:rPr>
                <w:sz w:val="20"/>
              </w:rPr>
            </w:pPr>
            <w:r>
              <w:rPr>
                <w:color w:val="231F20"/>
                <w:sz w:val="20"/>
              </w:rPr>
              <w:t>1,356</w:t>
            </w:r>
          </w:p>
        </w:tc>
      </w:tr>
      <w:tr>
        <w:trPr>
          <w:trHeight w:val="535" w:hRule="exact"/>
        </w:trPr>
        <w:tc>
          <w:tcPr>
            <w:tcW w:w="6370" w:type="dxa"/>
          </w:tcPr>
          <w:p>
            <w:pPr>
              <w:pStyle w:val="TableParagraph"/>
              <w:spacing w:before="54"/>
              <w:ind w:left="50"/>
              <w:jc w:val="left"/>
              <w:rPr>
                <w:b/>
                <w:sz w:val="20"/>
              </w:rPr>
            </w:pPr>
            <w:r>
              <w:rPr>
                <w:b/>
                <w:color w:val="231F20"/>
                <w:sz w:val="20"/>
              </w:rPr>
              <w:t>CASH FLOWS FROM INVESTING ACTIVITIES:</w:t>
            </w:r>
          </w:p>
          <w:p>
            <w:pPr>
              <w:pStyle w:val="TableParagraph"/>
              <w:spacing w:before="9"/>
              <w:ind w:left="50"/>
              <w:jc w:val="left"/>
              <w:rPr>
                <w:sz w:val="20"/>
              </w:rPr>
            </w:pPr>
            <w:r>
              <w:rPr>
                <w:color w:val="231F20"/>
                <w:sz w:val="20"/>
              </w:rPr>
              <w:t>Payment to acquire AirTran, net of AirTran cash on hand  . . . . . . . . . . . . . . . </w:t>
            </w:r>
          </w:p>
        </w:tc>
        <w:tc>
          <w:tcPr>
            <w:tcW w:w="806" w:type="dxa"/>
          </w:tcPr>
          <w:p>
            <w:pPr>
              <w:pStyle w:val="TableParagraph"/>
              <w:spacing w:before="7"/>
              <w:jc w:val="left"/>
              <w:rPr>
                <w:sz w:val="25"/>
              </w:rPr>
            </w:pPr>
          </w:p>
          <w:p>
            <w:pPr>
              <w:pStyle w:val="TableParagraph"/>
              <w:ind w:left="440"/>
              <w:jc w:val="left"/>
              <w:rPr>
                <w:sz w:val="20"/>
              </w:rPr>
            </w:pPr>
            <w:r>
              <w:rPr>
                <w:color w:val="231F20"/>
                <w:sz w:val="20"/>
              </w:rPr>
              <w:t>—</w:t>
            </w:r>
          </w:p>
        </w:tc>
        <w:tc>
          <w:tcPr>
            <w:tcW w:w="194" w:type="dxa"/>
          </w:tcPr>
          <w:p>
            <w:pPr/>
          </w:p>
        </w:tc>
        <w:tc>
          <w:tcPr>
            <w:tcW w:w="806" w:type="dxa"/>
          </w:tcPr>
          <w:p>
            <w:pPr>
              <w:pStyle w:val="TableParagraph"/>
              <w:spacing w:before="7"/>
              <w:jc w:val="left"/>
              <w:rPr>
                <w:sz w:val="25"/>
              </w:rPr>
            </w:pPr>
          </w:p>
          <w:p>
            <w:pPr>
              <w:pStyle w:val="TableParagraph"/>
              <w:ind w:left="440"/>
              <w:jc w:val="left"/>
              <w:rPr>
                <w:sz w:val="20"/>
              </w:rPr>
            </w:pPr>
            <w:r>
              <w:rPr>
                <w:color w:val="231F20"/>
                <w:sz w:val="20"/>
              </w:rPr>
              <w:t>—</w:t>
            </w:r>
          </w:p>
        </w:tc>
        <w:tc>
          <w:tcPr>
            <w:tcW w:w="194" w:type="dxa"/>
          </w:tcPr>
          <w:p>
            <w:pPr/>
          </w:p>
        </w:tc>
        <w:tc>
          <w:tcPr>
            <w:tcW w:w="856" w:type="dxa"/>
          </w:tcPr>
          <w:p>
            <w:pPr>
              <w:pStyle w:val="TableParagraph"/>
              <w:spacing w:before="7"/>
              <w:jc w:val="left"/>
              <w:rPr>
                <w:sz w:val="25"/>
              </w:rPr>
            </w:pPr>
          </w:p>
          <w:p>
            <w:pPr>
              <w:pStyle w:val="TableParagraph"/>
              <w:ind w:right="48"/>
              <w:rPr>
                <w:sz w:val="20"/>
              </w:rPr>
            </w:pPr>
            <w:r>
              <w:rPr>
                <w:color w:val="231F20"/>
                <w:sz w:val="20"/>
              </w:rPr>
              <w:t>(35)</w:t>
            </w:r>
          </w:p>
        </w:tc>
      </w:tr>
      <w:tr>
        <w:trPr>
          <w:trHeight w:val="240" w:hRule="exact"/>
        </w:trPr>
        <w:tc>
          <w:tcPr>
            <w:tcW w:w="6370" w:type="dxa"/>
          </w:tcPr>
          <w:p>
            <w:pPr>
              <w:pStyle w:val="TableParagraph"/>
              <w:spacing w:line="229" w:lineRule="exact"/>
              <w:ind w:right="149"/>
              <w:rPr>
                <w:sz w:val="20"/>
              </w:rPr>
            </w:pPr>
            <w:r>
              <w:rPr>
                <w:color w:val="231F20"/>
                <w:sz w:val="20"/>
              </w:rPr>
              <w:t>Payments for purchase of property and equipment, net  . . . . . . . . . . . . . . . . . </w:t>
            </w:r>
          </w:p>
        </w:tc>
        <w:tc>
          <w:tcPr>
            <w:tcW w:w="806" w:type="dxa"/>
          </w:tcPr>
          <w:p>
            <w:pPr>
              <w:pStyle w:val="TableParagraph"/>
              <w:spacing w:line="229" w:lineRule="exact"/>
              <w:rPr>
                <w:sz w:val="20"/>
              </w:rPr>
            </w:pPr>
            <w:r>
              <w:rPr>
                <w:color w:val="231F20"/>
                <w:sz w:val="20"/>
              </w:rPr>
              <w:t>(1,447)</w:t>
            </w:r>
          </w:p>
        </w:tc>
        <w:tc>
          <w:tcPr>
            <w:tcW w:w="194" w:type="dxa"/>
          </w:tcPr>
          <w:p>
            <w:pPr/>
          </w:p>
        </w:tc>
        <w:tc>
          <w:tcPr>
            <w:tcW w:w="806" w:type="dxa"/>
          </w:tcPr>
          <w:p>
            <w:pPr>
              <w:pStyle w:val="TableParagraph"/>
              <w:spacing w:line="229" w:lineRule="exact"/>
              <w:rPr>
                <w:sz w:val="20"/>
              </w:rPr>
            </w:pPr>
            <w:r>
              <w:rPr>
                <w:color w:val="231F20"/>
                <w:sz w:val="20"/>
              </w:rPr>
              <w:t>(1,348)</w:t>
            </w:r>
          </w:p>
        </w:tc>
        <w:tc>
          <w:tcPr>
            <w:tcW w:w="194" w:type="dxa"/>
          </w:tcPr>
          <w:p>
            <w:pPr/>
          </w:p>
        </w:tc>
        <w:tc>
          <w:tcPr>
            <w:tcW w:w="856" w:type="dxa"/>
          </w:tcPr>
          <w:p>
            <w:pPr>
              <w:pStyle w:val="TableParagraph"/>
              <w:spacing w:line="229" w:lineRule="exact"/>
              <w:ind w:right="48"/>
              <w:rPr>
                <w:sz w:val="20"/>
              </w:rPr>
            </w:pPr>
            <w:r>
              <w:rPr>
                <w:color w:val="231F20"/>
                <w:sz w:val="20"/>
              </w:rPr>
              <w:t>(968)</w:t>
            </w:r>
          </w:p>
        </w:tc>
      </w:tr>
      <w:tr>
        <w:trPr>
          <w:trHeight w:val="240" w:hRule="exact"/>
        </w:trPr>
        <w:tc>
          <w:tcPr>
            <w:tcW w:w="6370" w:type="dxa"/>
          </w:tcPr>
          <w:p>
            <w:pPr>
              <w:pStyle w:val="TableParagraph"/>
              <w:spacing w:line="229" w:lineRule="exact"/>
              <w:ind w:right="149"/>
              <w:rPr>
                <w:sz w:val="20"/>
              </w:rPr>
            </w:pPr>
            <w:r>
              <w:rPr>
                <w:color w:val="231F20"/>
                <w:sz w:val="20"/>
              </w:rPr>
              <w:t>Purchases of short-term investments . . . . . . . . . . . . . . . . . . . . . . . . . . . . . . . . </w:t>
            </w:r>
          </w:p>
        </w:tc>
        <w:tc>
          <w:tcPr>
            <w:tcW w:w="806" w:type="dxa"/>
          </w:tcPr>
          <w:p>
            <w:pPr>
              <w:pStyle w:val="TableParagraph"/>
              <w:spacing w:line="229" w:lineRule="exact"/>
              <w:rPr>
                <w:sz w:val="20"/>
              </w:rPr>
            </w:pPr>
            <w:r>
              <w:rPr>
                <w:color w:val="231F20"/>
                <w:sz w:val="20"/>
              </w:rPr>
              <w:t>(3,135)</w:t>
            </w:r>
          </w:p>
        </w:tc>
        <w:tc>
          <w:tcPr>
            <w:tcW w:w="194" w:type="dxa"/>
          </w:tcPr>
          <w:p>
            <w:pPr/>
          </w:p>
        </w:tc>
        <w:tc>
          <w:tcPr>
            <w:tcW w:w="806" w:type="dxa"/>
          </w:tcPr>
          <w:p>
            <w:pPr>
              <w:pStyle w:val="TableParagraph"/>
              <w:spacing w:line="229" w:lineRule="exact"/>
              <w:rPr>
                <w:sz w:val="20"/>
              </w:rPr>
            </w:pPr>
            <w:r>
              <w:rPr>
                <w:color w:val="231F20"/>
                <w:sz w:val="20"/>
              </w:rPr>
              <w:t>(2,481)</w:t>
            </w:r>
          </w:p>
        </w:tc>
        <w:tc>
          <w:tcPr>
            <w:tcW w:w="194" w:type="dxa"/>
          </w:tcPr>
          <w:p>
            <w:pPr/>
          </w:p>
        </w:tc>
        <w:tc>
          <w:tcPr>
            <w:tcW w:w="856" w:type="dxa"/>
          </w:tcPr>
          <w:p>
            <w:pPr>
              <w:pStyle w:val="TableParagraph"/>
              <w:spacing w:line="229" w:lineRule="exact"/>
              <w:ind w:right="48"/>
              <w:rPr>
                <w:sz w:val="20"/>
              </w:rPr>
            </w:pPr>
            <w:r>
              <w:rPr>
                <w:color w:val="231F20"/>
                <w:sz w:val="20"/>
              </w:rPr>
              <w:t>(5,362)</w:t>
            </w:r>
          </w:p>
        </w:tc>
      </w:tr>
      <w:tr>
        <w:trPr>
          <w:trHeight w:val="261" w:hRule="exact"/>
        </w:trPr>
        <w:tc>
          <w:tcPr>
            <w:tcW w:w="6370" w:type="dxa"/>
          </w:tcPr>
          <w:p>
            <w:pPr>
              <w:pStyle w:val="TableParagraph"/>
              <w:spacing w:line="229" w:lineRule="exact"/>
              <w:ind w:right="149"/>
              <w:rPr>
                <w:sz w:val="20"/>
              </w:rPr>
            </w:pPr>
            <w:r>
              <w:rPr>
                <w:color w:val="231F20"/>
                <w:sz w:val="20"/>
              </w:rPr>
              <w:t>Proceeds from sales of short-term and other investments . . . . . . . . . . . . . . . . </w:t>
            </w:r>
          </w:p>
        </w:tc>
        <w:tc>
          <w:tcPr>
            <w:tcW w:w="806" w:type="dxa"/>
            <w:tcBorders>
              <w:bottom w:val="single" w:sz="4" w:space="0" w:color="231F20"/>
            </w:tcBorders>
          </w:tcPr>
          <w:p>
            <w:pPr>
              <w:pStyle w:val="TableParagraph"/>
              <w:spacing w:line="229" w:lineRule="exact"/>
              <w:ind w:right="64"/>
              <w:rPr>
                <w:sz w:val="20"/>
              </w:rPr>
            </w:pPr>
            <w:r>
              <w:rPr>
                <w:color w:val="231F20"/>
                <w:sz w:val="20"/>
              </w:rPr>
              <w:t>3,198</w:t>
            </w:r>
          </w:p>
        </w:tc>
        <w:tc>
          <w:tcPr>
            <w:tcW w:w="194" w:type="dxa"/>
          </w:tcPr>
          <w:p>
            <w:pPr/>
          </w:p>
        </w:tc>
        <w:tc>
          <w:tcPr>
            <w:tcW w:w="806" w:type="dxa"/>
            <w:tcBorders>
              <w:bottom w:val="single" w:sz="4" w:space="0" w:color="231F20"/>
            </w:tcBorders>
          </w:tcPr>
          <w:p>
            <w:pPr>
              <w:pStyle w:val="TableParagraph"/>
              <w:spacing w:line="229" w:lineRule="exact"/>
              <w:ind w:right="64"/>
              <w:rPr>
                <w:sz w:val="20"/>
              </w:rPr>
            </w:pPr>
            <w:r>
              <w:rPr>
                <w:color w:val="231F20"/>
                <w:sz w:val="20"/>
              </w:rPr>
              <w:t>2,996</w:t>
            </w:r>
          </w:p>
        </w:tc>
        <w:tc>
          <w:tcPr>
            <w:tcW w:w="194" w:type="dxa"/>
          </w:tcPr>
          <w:p>
            <w:pPr/>
          </w:p>
        </w:tc>
        <w:tc>
          <w:tcPr>
            <w:tcW w:w="856" w:type="dxa"/>
            <w:tcBorders>
              <w:bottom w:val="single" w:sz="4" w:space="0" w:color="231F20"/>
            </w:tcBorders>
          </w:tcPr>
          <w:p>
            <w:pPr>
              <w:pStyle w:val="TableParagraph"/>
              <w:spacing w:line="229" w:lineRule="exact"/>
              <w:ind w:right="114"/>
              <w:rPr>
                <w:sz w:val="20"/>
              </w:rPr>
            </w:pPr>
            <w:r>
              <w:rPr>
                <w:color w:val="231F20"/>
                <w:sz w:val="20"/>
              </w:rPr>
              <w:t>5,343</w:t>
            </w:r>
          </w:p>
        </w:tc>
      </w:tr>
      <w:tr>
        <w:trPr>
          <w:trHeight w:val="352" w:hRule="exact"/>
        </w:trPr>
        <w:tc>
          <w:tcPr>
            <w:tcW w:w="6370" w:type="dxa"/>
          </w:tcPr>
          <w:p>
            <w:pPr>
              <w:pStyle w:val="TableParagraph"/>
              <w:spacing w:before="58"/>
              <w:ind w:right="149"/>
              <w:rPr>
                <w:sz w:val="20"/>
              </w:rPr>
            </w:pPr>
            <w:r>
              <w:rPr>
                <w:color w:val="231F20"/>
                <w:sz w:val="20"/>
              </w:rPr>
              <w:t>Net cash used in investing activities  . . . . . . . . . . . . . . . . . . . . . . . . . . . . . . . </w:t>
            </w:r>
          </w:p>
        </w:tc>
        <w:tc>
          <w:tcPr>
            <w:tcW w:w="806" w:type="dxa"/>
            <w:tcBorders>
              <w:top w:val="single" w:sz="4" w:space="0" w:color="231F20"/>
            </w:tcBorders>
          </w:tcPr>
          <w:p>
            <w:pPr>
              <w:pStyle w:val="TableParagraph"/>
              <w:spacing w:before="53"/>
              <w:rPr>
                <w:sz w:val="20"/>
              </w:rPr>
            </w:pPr>
            <w:r>
              <w:rPr>
                <w:color w:val="231F20"/>
                <w:sz w:val="20"/>
              </w:rPr>
              <w:t>(1,384)</w:t>
            </w:r>
          </w:p>
        </w:tc>
        <w:tc>
          <w:tcPr>
            <w:tcW w:w="194" w:type="dxa"/>
          </w:tcPr>
          <w:p>
            <w:pPr/>
          </w:p>
        </w:tc>
        <w:tc>
          <w:tcPr>
            <w:tcW w:w="806" w:type="dxa"/>
            <w:tcBorders>
              <w:top w:val="single" w:sz="4" w:space="0" w:color="231F20"/>
            </w:tcBorders>
          </w:tcPr>
          <w:p>
            <w:pPr>
              <w:pStyle w:val="TableParagraph"/>
              <w:spacing w:before="53"/>
              <w:rPr>
                <w:sz w:val="20"/>
              </w:rPr>
            </w:pPr>
            <w:r>
              <w:rPr>
                <w:color w:val="231F20"/>
                <w:sz w:val="20"/>
              </w:rPr>
              <w:t>(833)</w:t>
            </w:r>
          </w:p>
        </w:tc>
        <w:tc>
          <w:tcPr>
            <w:tcW w:w="194" w:type="dxa"/>
          </w:tcPr>
          <w:p>
            <w:pPr/>
          </w:p>
        </w:tc>
        <w:tc>
          <w:tcPr>
            <w:tcW w:w="856" w:type="dxa"/>
            <w:tcBorders>
              <w:top w:val="single" w:sz="4" w:space="0" w:color="231F20"/>
            </w:tcBorders>
          </w:tcPr>
          <w:p>
            <w:pPr>
              <w:pStyle w:val="TableParagraph"/>
              <w:spacing w:before="53"/>
              <w:ind w:right="48"/>
              <w:rPr>
                <w:sz w:val="20"/>
              </w:rPr>
            </w:pPr>
            <w:r>
              <w:rPr>
                <w:color w:val="231F20"/>
                <w:sz w:val="20"/>
              </w:rPr>
              <w:t>(1,022)</w:t>
            </w:r>
          </w:p>
        </w:tc>
      </w:tr>
      <w:tr>
        <w:trPr>
          <w:trHeight w:val="535" w:hRule="exact"/>
        </w:trPr>
        <w:tc>
          <w:tcPr>
            <w:tcW w:w="6370" w:type="dxa"/>
          </w:tcPr>
          <w:p>
            <w:pPr>
              <w:pStyle w:val="TableParagraph"/>
              <w:spacing w:before="54"/>
              <w:ind w:left="50"/>
              <w:jc w:val="left"/>
              <w:rPr>
                <w:b/>
                <w:sz w:val="20"/>
              </w:rPr>
            </w:pPr>
            <w:r>
              <w:rPr>
                <w:b/>
                <w:color w:val="231F20"/>
                <w:sz w:val="20"/>
              </w:rPr>
              <w:t>CASH FLOWS FROM FINANCING ACTIVITIES:</w:t>
            </w:r>
          </w:p>
          <w:p>
            <w:pPr>
              <w:pStyle w:val="TableParagraph"/>
              <w:spacing w:before="9"/>
              <w:ind w:left="50"/>
              <w:jc w:val="left"/>
              <w:rPr>
                <w:sz w:val="20"/>
              </w:rPr>
            </w:pPr>
            <w:r>
              <w:rPr>
                <w:color w:val="231F20"/>
                <w:sz w:val="20"/>
              </w:rPr>
              <w:t>Proceeds from Employee stock plans  . . . . . . . . . . . . . . . . . . . . . . . . . . . . . . . </w:t>
            </w:r>
          </w:p>
        </w:tc>
        <w:tc>
          <w:tcPr>
            <w:tcW w:w="806" w:type="dxa"/>
          </w:tcPr>
          <w:p>
            <w:pPr>
              <w:pStyle w:val="TableParagraph"/>
              <w:spacing w:before="7"/>
              <w:jc w:val="left"/>
              <w:rPr>
                <w:sz w:val="25"/>
              </w:rPr>
            </w:pPr>
          </w:p>
          <w:p>
            <w:pPr>
              <w:pStyle w:val="TableParagraph"/>
              <w:ind w:right="64"/>
              <w:rPr>
                <w:sz w:val="20"/>
              </w:rPr>
            </w:pPr>
            <w:r>
              <w:rPr>
                <w:color w:val="231F20"/>
                <w:sz w:val="20"/>
              </w:rPr>
              <w:t>96</w:t>
            </w:r>
          </w:p>
        </w:tc>
        <w:tc>
          <w:tcPr>
            <w:tcW w:w="194" w:type="dxa"/>
          </w:tcPr>
          <w:p>
            <w:pPr/>
          </w:p>
        </w:tc>
        <w:tc>
          <w:tcPr>
            <w:tcW w:w="806" w:type="dxa"/>
          </w:tcPr>
          <w:p>
            <w:pPr>
              <w:pStyle w:val="TableParagraph"/>
              <w:spacing w:before="7"/>
              <w:jc w:val="left"/>
              <w:rPr>
                <w:sz w:val="25"/>
              </w:rPr>
            </w:pPr>
          </w:p>
          <w:p>
            <w:pPr>
              <w:pStyle w:val="TableParagraph"/>
              <w:ind w:right="64"/>
              <w:rPr>
                <w:sz w:val="20"/>
              </w:rPr>
            </w:pPr>
            <w:r>
              <w:rPr>
                <w:color w:val="231F20"/>
                <w:sz w:val="20"/>
              </w:rPr>
              <w:t>27</w:t>
            </w:r>
          </w:p>
        </w:tc>
        <w:tc>
          <w:tcPr>
            <w:tcW w:w="194" w:type="dxa"/>
          </w:tcPr>
          <w:p>
            <w:pPr/>
          </w:p>
        </w:tc>
        <w:tc>
          <w:tcPr>
            <w:tcW w:w="856" w:type="dxa"/>
          </w:tcPr>
          <w:p>
            <w:pPr>
              <w:pStyle w:val="TableParagraph"/>
              <w:spacing w:before="7"/>
              <w:jc w:val="left"/>
              <w:rPr>
                <w:sz w:val="25"/>
              </w:rPr>
            </w:pPr>
          </w:p>
          <w:p>
            <w:pPr>
              <w:pStyle w:val="TableParagraph"/>
              <w:ind w:right="114"/>
              <w:rPr>
                <w:sz w:val="20"/>
              </w:rPr>
            </w:pPr>
            <w:r>
              <w:rPr>
                <w:color w:val="231F20"/>
                <w:sz w:val="20"/>
              </w:rPr>
              <w:t>20</w:t>
            </w:r>
          </w:p>
        </w:tc>
      </w:tr>
      <w:tr>
        <w:trPr>
          <w:trHeight w:val="240" w:hRule="exact"/>
        </w:trPr>
        <w:tc>
          <w:tcPr>
            <w:tcW w:w="6370" w:type="dxa"/>
          </w:tcPr>
          <w:p>
            <w:pPr>
              <w:pStyle w:val="TableParagraph"/>
              <w:spacing w:line="229" w:lineRule="exact"/>
              <w:ind w:right="149"/>
              <w:rPr>
                <w:sz w:val="20"/>
              </w:rPr>
            </w:pPr>
            <w:r>
              <w:rPr>
                <w:color w:val="231F20"/>
                <w:sz w:val="20"/>
              </w:rPr>
              <w:t>Proceeds from termination of interest rate derivative instrument . . . . . . . . . . </w:t>
            </w:r>
          </w:p>
        </w:tc>
        <w:tc>
          <w:tcPr>
            <w:tcW w:w="806" w:type="dxa"/>
          </w:tcPr>
          <w:p>
            <w:pPr>
              <w:pStyle w:val="TableParagraph"/>
              <w:spacing w:line="229" w:lineRule="exact"/>
              <w:ind w:left="440"/>
              <w:jc w:val="left"/>
              <w:rPr>
                <w:sz w:val="20"/>
              </w:rPr>
            </w:pPr>
            <w:r>
              <w:rPr>
                <w:color w:val="231F20"/>
                <w:sz w:val="20"/>
              </w:rPr>
              <w:t>—</w:t>
            </w:r>
          </w:p>
        </w:tc>
        <w:tc>
          <w:tcPr>
            <w:tcW w:w="194" w:type="dxa"/>
          </w:tcPr>
          <w:p>
            <w:pPr/>
          </w:p>
        </w:tc>
        <w:tc>
          <w:tcPr>
            <w:tcW w:w="806" w:type="dxa"/>
          </w:tcPr>
          <w:p>
            <w:pPr>
              <w:pStyle w:val="TableParagraph"/>
              <w:spacing w:line="229" w:lineRule="exact"/>
              <w:ind w:right="64"/>
              <w:rPr>
                <w:sz w:val="20"/>
              </w:rPr>
            </w:pPr>
            <w:r>
              <w:rPr>
                <w:color w:val="231F20"/>
                <w:sz w:val="20"/>
              </w:rPr>
              <w:t>38</w:t>
            </w:r>
          </w:p>
        </w:tc>
        <w:tc>
          <w:tcPr>
            <w:tcW w:w="194" w:type="dxa"/>
          </w:tcPr>
          <w:p>
            <w:pPr/>
          </w:p>
        </w:tc>
        <w:tc>
          <w:tcPr>
            <w:tcW w:w="856" w:type="dxa"/>
          </w:tcPr>
          <w:p>
            <w:pPr>
              <w:pStyle w:val="TableParagraph"/>
              <w:spacing w:line="229" w:lineRule="exact"/>
              <w:ind w:right="114"/>
              <w:rPr>
                <w:sz w:val="20"/>
              </w:rPr>
            </w:pPr>
            <w:r>
              <w:rPr>
                <w:color w:val="231F20"/>
                <w:sz w:val="20"/>
              </w:rPr>
              <w:t>76</w:t>
            </w:r>
          </w:p>
        </w:tc>
      </w:tr>
      <w:tr>
        <w:trPr>
          <w:trHeight w:val="240" w:hRule="exact"/>
        </w:trPr>
        <w:tc>
          <w:tcPr>
            <w:tcW w:w="6370" w:type="dxa"/>
          </w:tcPr>
          <w:p>
            <w:pPr>
              <w:pStyle w:val="TableParagraph"/>
              <w:spacing w:line="229" w:lineRule="exact"/>
              <w:ind w:right="149"/>
              <w:rPr>
                <w:sz w:val="20"/>
              </w:rPr>
            </w:pPr>
            <w:r>
              <w:rPr>
                <w:color w:val="231F20"/>
                <w:sz w:val="20"/>
              </w:rPr>
              <w:t>Payments of long-term debt and capital lease obligations  . . . . . . . . . . . . . . . </w:t>
            </w:r>
          </w:p>
        </w:tc>
        <w:tc>
          <w:tcPr>
            <w:tcW w:w="806" w:type="dxa"/>
          </w:tcPr>
          <w:p>
            <w:pPr>
              <w:pStyle w:val="TableParagraph"/>
              <w:spacing w:line="229" w:lineRule="exact"/>
              <w:rPr>
                <w:sz w:val="20"/>
              </w:rPr>
            </w:pPr>
            <w:r>
              <w:rPr>
                <w:color w:val="231F20"/>
                <w:sz w:val="20"/>
              </w:rPr>
              <w:t>(313)</w:t>
            </w:r>
          </w:p>
        </w:tc>
        <w:tc>
          <w:tcPr>
            <w:tcW w:w="194" w:type="dxa"/>
          </w:tcPr>
          <w:p>
            <w:pPr/>
          </w:p>
        </w:tc>
        <w:tc>
          <w:tcPr>
            <w:tcW w:w="806" w:type="dxa"/>
          </w:tcPr>
          <w:p>
            <w:pPr>
              <w:pStyle w:val="TableParagraph"/>
              <w:spacing w:line="229" w:lineRule="exact"/>
              <w:rPr>
                <w:sz w:val="20"/>
              </w:rPr>
            </w:pPr>
            <w:r>
              <w:rPr>
                <w:color w:val="231F20"/>
                <w:sz w:val="20"/>
              </w:rPr>
              <w:t>(578)</w:t>
            </w:r>
          </w:p>
        </w:tc>
        <w:tc>
          <w:tcPr>
            <w:tcW w:w="194" w:type="dxa"/>
          </w:tcPr>
          <w:p>
            <w:pPr/>
          </w:p>
        </w:tc>
        <w:tc>
          <w:tcPr>
            <w:tcW w:w="856" w:type="dxa"/>
          </w:tcPr>
          <w:p>
            <w:pPr>
              <w:pStyle w:val="TableParagraph"/>
              <w:spacing w:line="229" w:lineRule="exact"/>
              <w:ind w:right="48"/>
              <w:rPr>
                <w:sz w:val="20"/>
              </w:rPr>
            </w:pPr>
            <w:r>
              <w:rPr>
                <w:color w:val="231F20"/>
                <w:sz w:val="20"/>
              </w:rPr>
              <w:t>(540)</w:t>
            </w:r>
          </w:p>
        </w:tc>
      </w:tr>
      <w:tr>
        <w:trPr>
          <w:trHeight w:val="240" w:hRule="exact"/>
        </w:trPr>
        <w:tc>
          <w:tcPr>
            <w:tcW w:w="6370" w:type="dxa"/>
          </w:tcPr>
          <w:p>
            <w:pPr>
              <w:pStyle w:val="TableParagraph"/>
              <w:spacing w:line="229" w:lineRule="exact"/>
              <w:ind w:right="149"/>
              <w:rPr>
                <w:sz w:val="20"/>
              </w:rPr>
            </w:pPr>
            <w:r>
              <w:rPr>
                <w:color w:val="231F20"/>
                <w:sz w:val="20"/>
              </w:rPr>
              <w:t>Payments of convertible debt   . . . . . . . . . . . . . . . . . . . . . . . . . . . . . . . . . . . . . </w:t>
            </w:r>
          </w:p>
        </w:tc>
        <w:tc>
          <w:tcPr>
            <w:tcW w:w="806" w:type="dxa"/>
          </w:tcPr>
          <w:p>
            <w:pPr>
              <w:pStyle w:val="TableParagraph"/>
              <w:spacing w:line="229" w:lineRule="exact"/>
              <w:ind w:left="440"/>
              <w:jc w:val="left"/>
              <w:rPr>
                <w:sz w:val="20"/>
              </w:rPr>
            </w:pPr>
            <w:r>
              <w:rPr>
                <w:color w:val="231F20"/>
                <w:sz w:val="20"/>
              </w:rPr>
              <w:t>—</w:t>
            </w:r>
          </w:p>
        </w:tc>
        <w:tc>
          <w:tcPr>
            <w:tcW w:w="194" w:type="dxa"/>
          </w:tcPr>
          <w:p>
            <w:pPr/>
          </w:p>
        </w:tc>
        <w:tc>
          <w:tcPr>
            <w:tcW w:w="806" w:type="dxa"/>
          </w:tcPr>
          <w:p>
            <w:pPr>
              <w:pStyle w:val="TableParagraph"/>
              <w:spacing w:line="229" w:lineRule="exact"/>
              <w:ind w:left="440"/>
              <w:jc w:val="left"/>
              <w:rPr>
                <w:sz w:val="20"/>
              </w:rPr>
            </w:pPr>
            <w:r>
              <w:rPr>
                <w:color w:val="231F20"/>
                <w:sz w:val="20"/>
              </w:rPr>
              <w:t>—</w:t>
            </w:r>
          </w:p>
        </w:tc>
        <w:tc>
          <w:tcPr>
            <w:tcW w:w="194" w:type="dxa"/>
          </w:tcPr>
          <w:p>
            <w:pPr/>
          </w:p>
        </w:tc>
        <w:tc>
          <w:tcPr>
            <w:tcW w:w="856" w:type="dxa"/>
          </w:tcPr>
          <w:p>
            <w:pPr>
              <w:pStyle w:val="TableParagraph"/>
              <w:spacing w:line="229" w:lineRule="exact"/>
              <w:ind w:right="48"/>
              <w:rPr>
                <w:sz w:val="20"/>
              </w:rPr>
            </w:pPr>
            <w:r>
              <w:rPr>
                <w:color w:val="231F20"/>
                <w:sz w:val="20"/>
              </w:rPr>
              <w:t>(81)</w:t>
            </w:r>
          </w:p>
        </w:tc>
      </w:tr>
      <w:tr>
        <w:trPr>
          <w:trHeight w:val="240" w:hRule="exact"/>
        </w:trPr>
        <w:tc>
          <w:tcPr>
            <w:tcW w:w="6370" w:type="dxa"/>
          </w:tcPr>
          <w:p>
            <w:pPr>
              <w:pStyle w:val="TableParagraph"/>
              <w:spacing w:line="229" w:lineRule="exact"/>
              <w:ind w:right="149"/>
              <w:rPr>
                <w:sz w:val="20"/>
              </w:rPr>
            </w:pPr>
            <w:r>
              <w:rPr>
                <w:color w:val="231F20"/>
                <w:sz w:val="20"/>
              </w:rPr>
              <w:t>Payments of cash dividends   . . . . . . . . . . . . . . . . . . . . . . . . . . . . . . . . . . . . . . </w:t>
            </w:r>
          </w:p>
        </w:tc>
        <w:tc>
          <w:tcPr>
            <w:tcW w:w="806" w:type="dxa"/>
          </w:tcPr>
          <w:p>
            <w:pPr>
              <w:pStyle w:val="TableParagraph"/>
              <w:spacing w:line="229" w:lineRule="exact"/>
              <w:rPr>
                <w:sz w:val="20"/>
              </w:rPr>
            </w:pPr>
            <w:r>
              <w:rPr>
                <w:color w:val="231F20"/>
                <w:sz w:val="20"/>
              </w:rPr>
              <w:t>(71)</w:t>
            </w:r>
          </w:p>
        </w:tc>
        <w:tc>
          <w:tcPr>
            <w:tcW w:w="194" w:type="dxa"/>
          </w:tcPr>
          <w:p>
            <w:pPr/>
          </w:p>
        </w:tc>
        <w:tc>
          <w:tcPr>
            <w:tcW w:w="806" w:type="dxa"/>
          </w:tcPr>
          <w:p>
            <w:pPr>
              <w:pStyle w:val="TableParagraph"/>
              <w:spacing w:line="229" w:lineRule="exact"/>
              <w:rPr>
                <w:sz w:val="20"/>
              </w:rPr>
            </w:pPr>
            <w:r>
              <w:rPr>
                <w:color w:val="231F20"/>
                <w:sz w:val="20"/>
              </w:rPr>
              <w:t>(22)</w:t>
            </w:r>
          </w:p>
        </w:tc>
        <w:tc>
          <w:tcPr>
            <w:tcW w:w="194" w:type="dxa"/>
          </w:tcPr>
          <w:p>
            <w:pPr/>
          </w:p>
        </w:tc>
        <w:tc>
          <w:tcPr>
            <w:tcW w:w="856" w:type="dxa"/>
          </w:tcPr>
          <w:p>
            <w:pPr>
              <w:pStyle w:val="TableParagraph"/>
              <w:spacing w:line="229" w:lineRule="exact"/>
              <w:ind w:right="48"/>
              <w:rPr>
                <w:sz w:val="20"/>
              </w:rPr>
            </w:pPr>
            <w:r>
              <w:rPr>
                <w:color w:val="231F20"/>
                <w:sz w:val="20"/>
              </w:rPr>
              <w:t>(14)</w:t>
            </w:r>
          </w:p>
        </w:tc>
      </w:tr>
      <w:tr>
        <w:trPr>
          <w:trHeight w:val="240" w:hRule="exact"/>
        </w:trPr>
        <w:tc>
          <w:tcPr>
            <w:tcW w:w="6370" w:type="dxa"/>
          </w:tcPr>
          <w:p>
            <w:pPr>
              <w:pStyle w:val="TableParagraph"/>
              <w:spacing w:line="229" w:lineRule="exact"/>
              <w:ind w:right="149"/>
              <w:rPr>
                <w:sz w:val="20"/>
              </w:rPr>
            </w:pPr>
            <w:r>
              <w:rPr>
                <w:color w:val="231F20"/>
                <w:sz w:val="20"/>
              </w:rPr>
              <w:t>Repayment of construction obligation   . . . . . . . . . . . . . . . . . . . . . . . . . . . . . . </w:t>
            </w:r>
          </w:p>
        </w:tc>
        <w:tc>
          <w:tcPr>
            <w:tcW w:w="806" w:type="dxa"/>
          </w:tcPr>
          <w:p>
            <w:pPr>
              <w:pStyle w:val="TableParagraph"/>
              <w:spacing w:line="229" w:lineRule="exact"/>
              <w:rPr>
                <w:sz w:val="20"/>
              </w:rPr>
            </w:pPr>
            <w:r>
              <w:rPr>
                <w:color w:val="231F20"/>
                <w:sz w:val="20"/>
              </w:rPr>
              <w:t>(5)</w:t>
            </w:r>
          </w:p>
        </w:tc>
        <w:tc>
          <w:tcPr>
            <w:tcW w:w="194" w:type="dxa"/>
          </w:tcPr>
          <w:p>
            <w:pPr/>
          </w:p>
        </w:tc>
        <w:tc>
          <w:tcPr>
            <w:tcW w:w="806" w:type="dxa"/>
          </w:tcPr>
          <w:p>
            <w:pPr>
              <w:pStyle w:val="TableParagraph"/>
              <w:spacing w:line="229" w:lineRule="exact"/>
              <w:ind w:left="440"/>
              <w:jc w:val="left"/>
              <w:rPr>
                <w:sz w:val="20"/>
              </w:rPr>
            </w:pPr>
            <w:r>
              <w:rPr>
                <w:color w:val="231F20"/>
                <w:sz w:val="20"/>
              </w:rPr>
              <w:t>—</w:t>
            </w:r>
          </w:p>
        </w:tc>
        <w:tc>
          <w:tcPr>
            <w:tcW w:w="194" w:type="dxa"/>
          </w:tcPr>
          <w:p>
            <w:pPr/>
          </w:p>
        </w:tc>
        <w:tc>
          <w:tcPr>
            <w:tcW w:w="856" w:type="dxa"/>
          </w:tcPr>
          <w:p>
            <w:pPr>
              <w:pStyle w:val="TableParagraph"/>
              <w:spacing w:line="229" w:lineRule="exact"/>
              <w:ind w:left="440"/>
              <w:jc w:val="left"/>
              <w:rPr>
                <w:sz w:val="20"/>
              </w:rPr>
            </w:pPr>
            <w:r>
              <w:rPr>
                <w:color w:val="231F20"/>
                <w:sz w:val="20"/>
              </w:rPr>
              <w:t>—</w:t>
            </w:r>
          </w:p>
        </w:tc>
      </w:tr>
      <w:tr>
        <w:trPr>
          <w:trHeight w:val="240" w:hRule="exact"/>
        </w:trPr>
        <w:tc>
          <w:tcPr>
            <w:tcW w:w="6370" w:type="dxa"/>
          </w:tcPr>
          <w:p>
            <w:pPr>
              <w:pStyle w:val="TableParagraph"/>
              <w:spacing w:line="229" w:lineRule="exact"/>
              <w:ind w:right="149"/>
              <w:rPr>
                <w:sz w:val="20"/>
              </w:rPr>
            </w:pPr>
            <w:r>
              <w:rPr>
                <w:color w:val="231F20"/>
                <w:sz w:val="20"/>
              </w:rPr>
              <w:t>Repurchase of common stock  . . . . . . . . . . . . . . . . . . . . . . . . . . . . . . . . . . . . . </w:t>
            </w:r>
          </w:p>
        </w:tc>
        <w:tc>
          <w:tcPr>
            <w:tcW w:w="806" w:type="dxa"/>
          </w:tcPr>
          <w:p>
            <w:pPr>
              <w:pStyle w:val="TableParagraph"/>
              <w:spacing w:line="229" w:lineRule="exact"/>
              <w:rPr>
                <w:sz w:val="20"/>
              </w:rPr>
            </w:pPr>
            <w:r>
              <w:rPr>
                <w:color w:val="231F20"/>
                <w:sz w:val="20"/>
              </w:rPr>
              <w:t>(540)</w:t>
            </w:r>
          </w:p>
        </w:tc>
        <w:tc>
          <w:tcPr>
            <w:tcW w:w="194" w:type="dxa"/>
          </w:tcPr>
          <w:p>
            <w:pPr/>
          </w:p>
        </w:tc>
        <w:tc>
          <w:tcPr>
            <w:tcW w:w="806" w:type="dxa"/>
          </w:tcPr>
          <w:p>
            <w:pPr>
              <w:pStyle w:val="TableParagraph"/>
              <w:spacing w:line="229" w:lineRule="exact"/>
              <w:rPr>
                <w:sz w:val="20"/>
              </w:rPr>
            </w:pPr>
            <w:r>
              <w:rPr>
                <w:color w:val="231F20"/>
                <w:sz w:val="20"/>
              </w:rPr>
              <w:t>(400)</w:t>
            </w:r>
          </w:p>
        </w:tc>
        <w:tc>
          <w:tcPr>
            <w:tcW w:w="194" w:type="dxa"/>
          </w:tcPr>
          <w:p>
            <w:pPr/>
          </w:p>
        </w:tc>
        <w:tc>
          <w:tcPr>
            <w:tcW w:w="856" w:type="dxa"/>
          </w:tcPr>
          <w:p>
            <w:pPr>
              <w:pStyle w:val="TableParagraph"/>
              <w:spacing w:line="229" w:lineRule="exact"/>
              <w:ind w:right="48"/>
              <w:rPr>
                <w:sz w:val="20"/>
              </w:rPr>
            </w:pPr>
            <w:r>
              <w:rPr>
                <w:color w:val="231F20"/>
                <w:sz w:val="20"/>
              </w:rPr>
              <w:t>(225)</w:t>
            </w:r>
          </w:p>
        </w:tc>
      </w:tr>
      <w:tr>
        <w:trPr>
          <w:trHeight w:val="261" w:hRule="exact"/>
        </w:trPr>
        <w:tc>
          <w:tcPr>
            <w:tcW w:w="6370" w:type="dxa"/>
          </w:tcPr>
          <w:p>
            <w:pPr>
              <w:pStyle w:val="TableParagraph"/>
              <w:spacing w:line="229" w:lineRule="exact"/>
              <w:ind w:right="149"/>
              <w:rPr>
                <w:sz w:val="20"/>
              </w:rPr>
            </w:pPr>
            <w:r>
              <w:rPr>
                <w:color w:val="231F20"/>
                <w:sz w:val="20"/>
              </w:rPr>
              <w:t>Other, net . . . . . . . . . . . . . . . . . . . . . . . . . . . . . . . . . . . . . . . . . . . . . . . . . . . . . </w:t>
            </w:r>
          </w:p>
        </w:tc>
        <w:tc>
          <w:tcPr>
            <w:tcW w:w="806" w:type="dxa"/>
            <w:tcBorders>
              <w:bottom w:val="single" w:sz="4" w:space="0" w:color="231F20"/>
            </w:tcBorders>
          </w:tcPr>
          <w:p>
            <w:pPr>
              <w:pStyle w:val="TableParagraph"/>
              <w:spacing w:line="229" w:lineRule="exact"/>
              <w:rPr>
                <w:sz w:val="20"/>
              </w:rPr>
            </w:pPr>
            <w:r>
              <w:rPr>
                <w:color w:val="231F20"/>
                <w:sz w:val="20"/>
              </w:rPr>
              <w:t>(18)</w:t>
            </w:r>
          </w:p>
        </w:tc>
        <w:tc>
          <w:tcPr>
            <w:tcW w:w="194" w:type="dxa"/>
          </w:tcPr>
          <w:p>
            <w:pPr/>
          </w:p>
        </w:tc>
        <w:tc>
          <w:tcPr>
            <w:tcW w:w="806" w:type="dxa"/>
            <w:tcBorders>
              <w:bottom w:val="single" w:sz="4" w:space="0" w:color="231F20"/>
            </w:tcBorders>
          </w:tcPr>
          <w:p>
            <w:pPr>
              <w:pStyle w:val="TableParagraph"/>
              <w:spacing w:line="229" w:lineRule="exact"/>
              <w:rPr>
                <w:sz w:val="20"/>
              </w:rPr>
            </w:pPr>
            <w:r>
              <w:rPr>
                <w:color w:val="231F20"/>
                <w:sz w:val="20"/>
              </w:rPr>
              <w:t>(12)</w:t>
            </w:r>
          </w:p>
        </w:tc>
        <w:tc>
          <w:tcPr>
            <w:tcW w:w="194" w:type="dxa"/>
          </w:tcPr>
          <w:p>
            <w:pPr/>
          </w:p>
        </w:tc>
        <w:tc>
          <w:tcPr>
            <w:tcW w:w="856" w:type="dxa"/>
            <w:tcBorders>
              <w:bottom w:val="single" w:sz="4" w:space="0" w:color="231F20"/>
            </w:tcBorders>
          </w:tcPr>
          <w:p>
            <w:pPr>
              <w:pStyle w:val="TableParagraph"/>
              <w:spacing w:line="229" w:lineRule="exact"/>
              <w:ind w:right="48"/>
              <w:rPr>
                <w:sz w:val="20"/>
              </w:rPr>
            </w:pPr>
            <w:r>
              <w:rPr>
                <w:color w:val="231F20"/>
                <w:sz w:val="20"/>
              </w:rPr>
              <w:t>(2)</w:t>
            </w:r>
          </w:p>
        </w:tc>
      </w:tr>
      <w:tr>
        <w:trPr>
          <w:trHeight w:val="352" w:hRule="exact"/>
        </w:trPr>
        <w:tc>
          <w:tcPr>
            <w:tcW w:w="6370" w:type="dxa"/>
          </w:tcPr>
          <w:p>
            <w:pPr>
              <w:pStyle w:val="TableParagraph"/>
              <w:spacing w:before="58"/>
              <w:ind w:right="149"/>
              <w:rPr>
                <w:sz w:val="20"/>
              </w:rPr>
            </w:pPr>
            <w:r>
              <w:rPr>
                <w:color w:val="231F20"/>
                <w:sz w:val="20"/>
              </w:rPr>
              <w:t>Net cash used in financing activities . . . . . . . . . . . . . . . . . . . . . . . . . . . . . . . </w:t>
            </w:r>
          </w:p>
        </w:tc>
        <w:tc>
          <w:tcPr>
            <w:tcW w:w="806" w:type="dxa"/>
            <w:tcBorders>
              <w:top w:val="single" w:sz="4" w:space="0" w:color="231F20"/>
            </w:tcBorders>
          </w:tcPr>
          <w:p>
            <w:pPr>
              <w:pStyle w:val="TableParagraph"/>
              <w:spacing w:before="53"/>
              <w:rPr>
                <w:sz w:val="20"/>
              </w:rPr>
            </w:pPr>
            <w:r>
              <w:rPr>
                <w:color w:val="231F20"/>
                <w:sz w:val="20"/>
              </w:rPr>
              <w:t>(851)</w:t>
            </w:r>
          </w:p>
        </w:tc>
        <w:tc>
          <w:tcPr>
            <w:tcW w:w="194" w:type="dxa"/>
          </w:tcPr>
          <w:p>
            <w:pPr/>
          </w:p>
        </w:tc>
        <w:tc>
          <w:tcPr>
            <w:tcW w:w="806" w:type="dxa"/>
            <w:tcBorders>
              <w:top w:val="single" w:sz="4" w:space="0" w:color="231F20"/>
            </w:tcBorders>
          </w:tcPr>
          <w:p>
            <w:pPr>
              <w:pStyle w:val="TableParagraph"/>
              <w:spacing w:before="53"/>
              <w:rPr>
                <w:sz w:val="20"/>
              </w:rPr>
            </w:pPr>
            <w:r>
              <w:rPr>
                <w:color w:val="231F20"/>
                <w:sz w:val="20"/>
              </w:rPr>
              <w:t>(947)</w:t>
            </w:r>
          </w:p>
        </w:tc>
        <w:tc>
          <w:tcPr>
            <w:tcW w:w="194" w:type="dxa"/>
          </w:tcPr>
          <w:p>
            <w:pPr/>
          </w:p>
        </w:tc>
        <w:tc>
          <w:tcPr>
            <w:tcW w:w="856" w:type="dxa"/>
            <w:tcBorders>
              <w:top w:val="single" w:sz="4" w:space="0" w:color="231F20"/>
            </w:tcBorders>
          </w:tcPr>
          <w:p>
            <w:pPr>
              <w:pStyle w:val="TableParagraph"/>
              <w:spacing w:before="53"/>
              <w:ind w:right="48"/>
              <w:rPr>
                <w:sz w:val="20"/>
              </w:rPr>
            </w:pPr>
            <w:r>
              <w:rPr>
                <w:color w:val="231F20"/>
                <w:sz w:val="20"/>
              </w:rPr>
              <w:t>(766)</w:t>
            </w:r>
          </w:p>
        </w:tc>
      </w:tr>
      <w:tr>
        <w:trPr>
          <w:trHeight w:val="295" w:hRule="exact"/>
        </w:trPr>
        <w:tc>
          <w:tcPr>
            <w:tcW w:w="6370" w:type="dxa"/>
          </w:tcPr>
          <w:p>
            <w:pPr>
              <w:pStyle w:val="TableParagraph"/>
              <w:spacing w:before="54"/>
              <w:ind w:right="149"/>
              <w:rPr>
                <w:sz w:val="20"/>
              </w:rPr>
            </w:pPr>
            <w:r>
              <w:rPr>
                <w:b/>
                <w:color w:val="231F20"/>
                <w:sz w:val="20"/>
              </w:rPr>
              <w:t>NET CHANGE IN CASH AND CASH EQUIVALENTS </w:t>
            </w:r>
            <w:r>
              <w:rPr>
                <w:color w:val="231F20"/>
                <w:sz w:val="20"/>
              </w:rPr>
              <w:t>. . . . . . . . . . . . . </w:t>
            </w:r>
          </w:p>
        </w:tc>
        <w:tc>
          <w:tcPr>
            <w:tcW w:w="806" w:type="dxa"/>
          </w:tcPr>
          <w:p>
            <w:pPr>
              <w:pStyle w:val="TableParagraph"/>
              <w:spacing w:before="54"/>
              <w:ind w:right="64"/>
              <w:rPr>
                <w:sz w:val="20"/>
              </w:rPr>
            </w:pPr>
            <w:r>
              <w:rPr>
                <w:color w:val="231F20"/>
                <w:sz w:val="20"/>
              </w:rPr>
              <w:t>242</w:t>
            </w:r>
          </w:p>
        </w:tc>
        <w:tc>
          <w:tcPr>
            <w:tcW w:w="194" w:type="dxa"/>
          </w:tcPr>
          <w:p>
            <w:pPr/>
          </w:p>
        </w:tc>
        <w:tc>
          <w:tcPr>
            <w:tcW w:w="806" w:type="dxa"/>
          </w:tcPr>
          <w:p>
            <w:pPr>
              <w:pStyle w:val="TableParagraph"/>
              <w:spacing w:before="54"/>
              <w:ind w:right="64"/>
              <w:rPr>
                <w:sz w:val="20"/>
              </w:rPr>
            </w:pPr>
            <w:r>
              <w:rPr>
                <w:color w:val="231F20"/>
                <w:sz w:val="20"/>
              </w:rPr>
              <w:t>284</w:t>
            </w:r>
          </w:p>
        </w:tc>
        <w:tc>
          <w:tcPr>
            <w:tcW w:w="194" w:type="dxa"/>
          </w:tcPr>
          <w:p>
            <w:pPr/>
          </w:p>
        </w:tc>
        <w:tc>
          <w:tcPr>
            <w:tcW w:w="856" w:type="dxa"/>
          </w:tcPr>
          <w:p>
            <w:pPr>
              <w:pStyle w:val="TableParagraph"/>
              <w:spacing w:before="54"/>
              <w:ind w:right="48"/>
              <w:rPr>
                <w:sz w:val="20"/>
              </w:rPr>
            </w:pPr>
            <w:r>
              <w:rPr>
                <w:color w:val="231F20"/>
                <w:sz w:val="20"/>
              </w:rPr>
              <w:t>(432)</w:t>
            </w:r>
          </w:p>
        </w:tc>
      </w:tr>
      <w:tr>
        <w:trPr>
          <w:trHeight w:val="240" w:hRule="exact"/>
        </w:trPr>
        <w:tc>
          <w:tcPr>
            <w:tcW w:w="6370" w:type="dxa"/>
          </w:tcPr>
          <w:p>
            <w:pPr>
              <w:pStyle w:val="TableParagraph"/>
              <w:spacing w:line="230" w:lineRule="exact"/>
              <w:ind w:right="199"/>
              <w:rPr>
                <w:sz w:val="20"/>
              </w:rPr>
            </w:pPr>
            <w:r>
              <w:rPr>
                <w:b/>
                <w:color w:val="231F20"/>
                <w:sz w:val="20"/>
              </w:rPr>
              <w:t>CASH AND CASH EQUIVALENTS AT BEGINNING OF PERIOD   </w:t>
            </w:r>
            <w:r>
              <w:rPr>
                <w:color w:val="231F20"/>
                <w:sz w:val="20"/>
              </w:rPr>
              <w:t>. .</w:t>
            </w:r>
          </w:p>
        </w:tc>
        <w:tc>
          <w:tcPr>
            <w:tcW w:w="806" w:type="dxa"/>
          </w:tcPr>
          <w:p>
            <w:pPr>
              <w:pStyle w:val="TableParagraph"/>
              <w:spacing w:line="230" w:lineRule="exact"/>
              <w:ind w:right="64"/>
              <w:rPr>
                <w:sz w:val="20"/>
              </w:rPr>
            </w:pPr>
            <w:r>
              <w:rPr>
                <w:color w:val="231F20"/>
                <w:sz w:val="20"/>
              </w:rPr>
              <w:t>$  1,113</w:t>
            </w:r>
          </w:p>
        </w:tc>
        <w:tc>
          <w:tcPr>
            <w:tcW w:w="194" w:type="dxa"/>
          </w:tcPr>
          <w:p>
            <w:pPr/>
          </w:p>
        </w:tc>
        <w:tc>
          <w:tcPr>
            <w:tcW w:w="806" w:type="dxa"/>
          </w:tcPr>
          <w:p>
            <w:pPr>
              <w:pStyle w:val="TableParagraph"/>
              <w:tabs>
                <w:tab w:pos="439" w:val="left" w:leader="none"/>
              </w:tabs>
              <w:spacing w:line="230" w:lineRule="exact"/>
              <w:ind w:left="60"/>
              <w:jc w:val="left"/>
              <w:rPr>
                <w:sz w:val="20"/>
              </w:rPr>
            </w:pPr>
            <w:r>
              <w:rPr>
                <w:color w:val="231F20"/>
                <w:sz w:val="20"/>
              </w:rPr>
              <w:t>$</w:t>
              <w:tab/>
              <w:t>829</w:t>
            </w:r>
          </w:p>
        </w:tc>
        <w:tc>
          <w:tcPr>
            <w:tcW w:w="194" w:type="dxa"/>
          </w:tcPr>
          <w:p>
            <w:pPr/>
          </w:p>
        </w:tc>
        <w:tc>
          <w:tcPr>
            <w:tcW w:w="856" w:type="dxa"/>
          </w:tcPr>
          <w:p>
            <w:pPr>
              <w:pStyle w:val="TableParagraph"/>
              <w:spacing w:line="230" w:lineRule="exact"/>
              <w:ind w:right="114"/>
              <w:rPr>
                <w:sz w:val="20"/>
              </w:rPr>
            </w:pPr>
            <w:r>
              <w:rPr>
                <w:color w:val="231F20"/>
                <w:sz w:val="20"/>
              </w:rPr>
              <w:t>$  1,261</w:t>
            </w:r>
          </w:p>
        </w:tc>
      </w:tr>
      <w:tr>
        <w:trPr>
          <w:trHeight w:val="720" w:hRule="exact"/>
        </w:trPr>
        <w:tc>
          <w:tcPr>
            <w:tcW w:w="6370" w:type="dxa"/>
          </w:tcPr>
          <w:p>
            <w:pPr>
              <w:pStyle w:val="TableParagraph"/>
              <w:spacing w:line="230" w:lineRule="exact"/>
              <w:ind w:left="50"/>
              <w:jc w:val="left"/>
              <w:rPr>
                <w:sz w:val="20"/>
              </w:rPr>
            </w:pPr>
            <w:r>
              <w:rPr>
                <w:b/>
                <w:color w:val="231F20"/>
                <w:sz w:val="20"/>
              </w:rPr>
              <w:t>CASH AND CASH EQUIVALENTS AT END OF PERIOD </w:t>
            </w:r>
            <w:r>
              <w:rPr>
                <w:color w:val="231F20"/>
                <w:sz w:val="20"/>
              </w:rPr>
              <w:t>. . . . . . . . . . </w:t>
            </w:r>
          </w:p>
          <w:p>
            <w:pPr>
              <w:pStyle w:val="TableParagraph"/>
              <w:spacing w:before="10"/>
              <w:ind w:left="50"/>
              <w:jc w:val="left"/>
              <w:rPr>
                <w:b/>
                <w:sz w:val="20"/>
              </w:rPr>
            </w:pPr>
            <w:r>
              <w:rPr>
                <w:b/>
                <w:color w:val="231F20"/>
                <w:sz w:val="20"/>
              </w:rPr>
              <w:t>CASH PAYMENTS FOR:</w:t>
            </w:r>
          </w:p>
          <w:p>
            <w:pPr>
              <w:pStyle w:val="TableParagraph"/>
              <w:spacing w:before="10"/>
              <w:ind w:left="50"/>
              <w:jc w:val="left"/>
              <w:rPr>
                <w:sz w:val="20"/>
              </w:rPr>
            </w:pPr>
            <w:r>
              <w:rPr>
                <w:color w:val="231F20"/>
                <w:sz w:val="20"/>
              </w:rPr>
              <w:t>Interest, net of amount capitalized   . . . . . . . . . . . . . . . . . . . . . . . . . . . . . . . . . </w:t>
            </w:r>
          </w:p>
        </w:tc>
        <w:tc>
          <w:tcPr>
            <w:tcW w:w="806" w:type="dxa"/>
          </w:tcPr>
          <w:p>
            <w:pPr>
              <w:pStyle w:val="TableParagraph"/>
              <w:spacing w:line="230" w:lineRule="exact"/>
              <w:ind w:left="289"/>
              <w:jc w:val="left"/>
              <w:rPr>
                <w:sz w:val="20"/>
              </w:rPr>
            </w:pPr>
            <w:r>
              <w:rPr>
                <w:color w:val="231F20"/>
                <w:sz w:val="20"/>
              </w:rPr>
              <w:t>1,355</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133</w:t>
            </w:r>
          </w:p>
        </w:tc>
        <w:tc>
          <w:tcPr>
            <w:tcW w:w="194" w:type="dxa"/>
          </w:tcPr>
          <w:p>
            <w:pPr/>
          </w:p>
        </w:tc>
        <w:tc>
          <w:tcPr>
            <w:tcW w:w="806" w:type="dxa"/>
          </w:tcPr>
          <w:p>
            <w:pPr>
              <w:pStyle w:val="TableParagraph"/>
              <w:spacing w:line="230" w:lineRule="exact"/>
              <w:ind w:left="290"/>
              <w:jc w:val="left"/>
              <w:rPr>
                <w:sz w:val="20"/>
              </w:rPr>
            </w:pPr>
            <w:r>
              <w:rPr>
                <w:color w:val="231F20"/>
                <w:sz w:val="20"/>
              </w:rPr>
              <w:t>1,113</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153</w:t>
            </w:r>
          </w:p>
        </w:tc>
        <w:tc>
          <w:tcPr>
            <w:tcW w:w="194" w:type="dxa"/>
          </w:tcPr>
          <w:p>
            <w:pPr/>
          </w:p>
        </w:tc>
        <w:tc>
          <w:tcPr>
            <w:tcW w:w="856" w:type="dxa"/>
          </w:tcPr>
          <w:p>
            <w:pPr>
              <w:pStyle w:val="TableParagraph"/>
              <w:spacing w:line="230" w:lineRule="exact"/>
              <w:ind w:left="440"/>
              <w:jc w:val="left"/>
              <w:rPr>
                <w:sz w:val="20"/>
              </w:rPr>
            </w:pPr>
            <w:r>
              <w:rPr>
                <w:color w:val="231F20"/>
                <w:sz w:val="20"/>
              </w:rPr>
              <w:t>829</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185</w:t>
            </w:r>
          </w:p>
        </w:tc>
      </w:tr>
      <w:tr>
        <w:trPr>
          <w:trHeight w:val="720" w:hRule="exact"/>
        </w:trPr>
        <w:tc>
          <w:tcPr>
            <w:tcW w:w="6370" w:type="dxa"/>
          </w:tcPr>
          <w:p>
            <w:pPr>
              <w:pStyle w:val="TableParagraph"/>
              <w:spacing w:line="229" w:lineRule="exact"/>
              <w:ind w:left="50"/>
              <w:jc w:val="left"/>
              <w:rPr>
                <w:sz w:val="20"/>
              </w:rPr>
            </w:pPr>
            <w:r>
              <w:rPr>
                <w:color w:val="231F20"/>
                <w:sz w:val="20"/>
              </w:rPr>
              <w:t>Income taxes  . . . . . . . . . . . . . . . . . . . . . . . . . . . . . . . . . . . . . . . . . . . . . . . . . . </w:t>
            </w:r>
          </w:p>
          <w:p>
            <w:pPr>
              <w:pStyle w:val="TableParagraph"/>
              <w:spacing w:before="10"/>
              <w:ind w:left="50"/>
              <w:jc w:val="left"/>
              <w:rPr>
                <w:b/>
                <w:sz w:val="20"/>
              </w:rPr>
            </w:pPr>
            <w:r>
              <w:rPr>
                <w:b/>
                <w:color w:val="231F20"/>
                <w:sz w:val="20"/>
              </w:rPr>
              <w:t>SUPPLEMENTAL DISCLOSURE OF NONCASH TRANSACTIONS:</w:t>
            </w:r>
          </w:p>
          <w:p>
            <w:pPr>
              <w:pStyle w:val="TableParagraph"/>
              <w:spacing w:before="10"/>
              <w:ind w:left="50"/>
              <w:jc w:val="left"/>
              <w:rPr>
                <w:sz w:val="20"/>
              </w:rPr>
            </w:pPr>
            <w:r>
              <w:rPr>
                <w:color w:val="231F20"/>
                <w:sz w:val="20"/>
              </w:rPr>
              <w:t>Assets constructed for others   . . . . . . . . . . . . . . . . . . . . . . . . . . . . . . . . . . . . . </w:t>
            </w:r>
          </w:p>
        </w:tc>
        <w:tc>
          <w:tcPr>
            <w:tcW w:w="806" w:type="dxa"/>
          </w:tcPr>
          <w:p>
            <w:pPr>
              <w:pStyle w:val="TableParagraph"/>
              <w:tabs>
                <w:tab w:pos="439" w:val="left" w:leader="none"/>
              </w:tabs>
              <w:spacing w:line="229" w:lineRule="exact"/>
              <w:ind w:left="60"/>
              <w:jc w:val="left"/>
              <w:rPr>
                <w:sz w:val="20"/>
              </w:rPr>
            </w:pPr>
            <w:r>
              <w:rPr>
                <w:color w:val="231F20"/>
                <w:sz w:val="20"/>
              </w:rPr>
              <w:t>$</w:t>
              <w:tab/>
              <w:t>346</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105</w:t>
            </w:r>
          </w:p>
        </w:tc>
        <w:tc>
          <w:tcPr>
            <w:tcW w:w="194" w:type="dxa"/>
          </w:tcPr>
          <w:p>
            <w:pPr/>
          </w:p>
        </w:tc>
        <w:tc>
          <w:tcPr>
            <w:tcW w:w="806" w:type="dxa"/>
          </w:tcPr>
          <w:p>
            <w:pPr>
              <w:pStyle w:val="TableParagraph"/>
              <w:tabs>
                <w:tab w:pos="439" w:val="left" w:leader="none"/>
              </w:tabs>
              <w:spacing w:line="229" w:lineRule="exact"/>
              <w:ind w:left="60"/>
              <w:jc w:val="left"/>
              <w:rPr>
                <w:sz w:val="20"/>
              </w:rPr>
            </w:pPr>
            <w:r>
              <w:rPr>
                <w:color w:val="231F20"/>
                <w:sz w:val="20"/>
              </w:rPr>
              <w:t>$</w:t>
              <w:tab/>
              <w:t>100</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129</w:t>
            </w:r>
          </w:p>
        </w:tc>
        <w:tc>
          <w:tcPr>
            <w:tcW w:w="194" w:type="dxa"/>
          </w:tcPr>
          <w:p>
            <w:pPr/>
          </w:p>
        </w:tc>
        <w:tc>
          <w:tcPr>
            <w:tcW w:w="856" w:type="dxa"/>
          </w:tcPr>
          <w:p>
            <w:pPr>
              <w:pStyle w:val="TableParagraph"/>
              <w:tabs>
                <w:tab w:pos="539" w:val="left" w:leader="none"/>
              </w:tabs>
              <w:spacing w:line="229" w:lineRule="exact"/>
              <w:ind w:left="60"/>
              <w:jc w:val="left"/>
              <w:rPr>
                <w:sz w:val="20"/>
              </w:rPr>
            </w:pPr>
            <w:r>
              <w:rPr>
                <w:color w:val="231F20"/>
                <w:sz w:val="20"/>
              </w:rPr>
              <w:t>$</w:t>
              <w:tab/>
              <w:t>13</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116</w:t>
            </w:r>
          </w:p>
        </w:tc>
      </w:tr>
      <w:tr>
        <w:trPr>
          <w:trHeight w:val="240" w:hRule="exact"/>
        </w:trPr>
        <w:tc>
          <w:tcPr>
            <w:tcW w:w="6370" w:type="dxa"/>
          </w:tcPr>
          <w:p>
            <w:pPr>
              <w:pStyle w:val="TableParagraph"/>
              <w:spacing w:line="229" w:lineRule="exact"/>
              <w:ind w:right="149"/>
              <w:rPr>
                <w:sz w:val="20"/>
              </w:rPr>
            </w:pPr>
            <w:r>
              <w:rPr>
                <w:color w:val="231F20"/>
                <w:sz w:val="20"/>
              </w:rPr>
              <w:t>Fair value of equity consideration given to acquire AirTran   . . . . . . . . . . . . . </w:t>
            </w:r>
          </w:p>
        </w:tc>
        <w:tc>
          <w:tcPr>
            <w:tcW w:w="806" w:type="dxa"/>
          </w:tcPr>
          <w:p>
            <w:pPr>
              <w:pStyle w:val="TableParagraph"/>
              <w:tabs>
                <w:tab w:pos="439" w:val="left" w:leader="none"/>
              </w:tabs>
              <w:spacing w:line="229" w:lineRule="exact"/>
              <w:ind w:left="60"/>
              <w:jc w:val="left"/>
              <w:rPr>
                <w:sz w:val="20"/>
              </w:rPr>
            </w:pPr>
            <w:r>
              <w:rPr>
                <w:color w:val="231F20"/>
                <w:sz w:val="20"/>
              </w:rPr>
              <w:t>$</w:t>
              <w:tab/>
              <w:t>—</w:t>
            </w:r>
          </w:p>
        </w:tc>
        <w:tc>
          <w:tcPr>
            <w:tcW w:w="194" w:type="dxa"/>
          </w:tcPr>
          <w:p>
            <w:pPr/>
          </w:p>
        </w:tc>
        <w:tc>
          <w:tcPr>
            <w:tcW w:w="806" w:type="dxa"/>
          </w:tcPr>
          <w:p>
            <w:pPr>
              <w:pStyle w:val="TableParagraph"/>
              <w:tabs>
                <w:tab w:pos="439" w:val="left" w:leader="none"/>
              </w:tabs>
              <w:spacing w:line="229" w:lineRule="exact"/>
              <w:ind w:left="60"/>
              <w:jc w:val="left"/>
              <w:rPr>
                <w:sz w:val="20"/>
              </w:rPr>
            </w:pPr>
            <w:r>
              <w:rPr>
                <w:color w:val="231F20"/>
                <w:sz w:val="20"/>
              </w:rPr>
              <w:t>$</w:t>
              <w:tab/>
              <w:t>—</w:t>
            </w:r>
          </w:p>
        </w:tc>
        <w:tc>
          <w:tcPr>
            <w:tcW w:w="194" w:type="dxa"/>
          </w:tcPr>
          <w:p>
            <w:pPr/>
          </w:p>
        </w:tc>
        <w:tc>
          <w:tcPr>
            <w:tcW w:w="856" w:type="dxa"/>
          </w:tcPr>
          <w:p>
            <w:pPr>
              <w:pStyle w:val="TableParagraph"/>
              <w:tabs>
                <w:tab w:pos="379" w:val="left" w:leader="none"/>
              </w:tabs>
              <w:spacing w:line="229" w:lineRule="exact"/>
              <w:ind w:right="114"/>
              <w:rPr>
                <w:sz w:val="20"/>
              </w:rPr>
            </w:pPr>
            <w:r>
              <w:rPr>
                <w:color w:val="231F20"/>
                <w:sz w:val="20"/>
              </w:rPr>
              <w:t>$</w:t>
              <w:tab/>
            </w:r>
            <w:r>
              <w:rPr>
                <w:color w:val="231F20"/>
                <w:spacing w:val="-1"/>
                <w:sz w:val="20"/>
              </w:rPr>
              <w:t>523</w:t>
            </w:r>
          </w:p>
        </w:tc>
      </w:tr>
      <w:tr>
        <w:trPr>
          <w:trHeight w:val="229" w:hRule="exact"/>
        </w:trPr>
        <w:tc>
          <w:tcPr>
            <w:tcW w:w="6370" w:type="dxa"/>
          </w:tcPr>
          <w:p>
            <w:pPr>
              <w:pStyle w:val="TableParagraph"/>
              <w:spacing w:line="229" w:lineRule="exact"/>
              <w:ind w:right="149"/>
              <w:rPr>
                <w:sz w:val="20"/>
              </w:rPr>
            </w:pPr>
            <w:r>
              <w:rPr>
                <w:color w:val="231F20"/>
                <w:sz w:val="20"/>
              </w:rPr>
              <w:t>Fair value of common stock issued for conversion of debt   . . . . . . . . . . . . . . </w:t>
            </w:r>
          </w:p>
        </w:tc>
        <w:tc>
          <w:tcPr>
            <w:tcW w:w="806" w:type="dxa"/>
          </w:tcPr>
          <w:p>
            <w:pPr>
              <w:pStyle w:val="TableParagraph"/>
              <w:tabs>
                <w:tab w:pos="439" w:val="left" w:leader="none"/>
              </w:tabs>
              <w:spacing w:line="229" w:lineRule="exact"/>
              <w:ind w:left="60"/>
              <w:jc w:val="left"/>
              <w:rPr>
                <w:sz w:val="20"/>
              </w:rPr>
            </w:pPr>
            <w:r>
              <w:rPr>
                <w:color w:val="231F20"/>
                <w:sz w:val="20"/>
              </w:rPr>
              <w:t>$</w:t>
              <w:tab/>
              <w:t>—</w:t>
            </w:r>
          </w:p>
        </w:tc>
        <w:tc>
          <w:tcPr>
            <w:tcW w:w="194" w:type="dxa"/>
          </w:tcPr>
          <w:p>
            <w:pPr/>
          </w:p>
        </w:tc>
        <w:tc>
          <w:tcPr>
            <w:tcW w:w="806" w:type="dxa"/>
          </w:tcPr>
          <w:p>
            <w:pPr>
              <w:pStyle w:val="TableParagraph"/>
              <w:tabs>
                <w:tab w:pos="439" w:val="left" w:leader="none"/>
              </w:tabs>
              <w:spacing w:line="229" w:lineRule="exact"/>
              <w:ind w:left="60"/>
              <w:jc w:val="left"/>
              <w:rPr>
                <w:sz w:val="20"/>
              </w:rPr>
            </w:pPr>
            <w:r>
              <w:rPr>
                <w:color w:val="231F20"/>
                <w:sz w:val="20"/>
              </w:rPr>
              <w:t>$</w:t>
              <w:tab/>
              <w:t>—</w:t>
            </w:r>
          </w:p>
        </w:tc>
        <w:tc>
          <w:tcPr>
            <w:tcW w:w="194" w:type="dxa"/>
          </w:tcPr>
          <w:p>
            <w:pPr/>
          </w:p>
        </w:tc>
        <w:tc>
          <w:tcPr>
            <w:tcW w:w="856" w:type="dxa"/>
          </w:tcPr>
          <w:p>
            <w:pPr>
              <w:pStyle w:val="TableParagraph"/>
              <w:tabs>
                <w:tab w:pos="479" w:val="left" w:leader="none"/>
              </w:tabs>
              <w:spacing w:line="229" w:lineRule="exact"/>
              <w:ind w:right="114"/>
              <w:rPr>
                <w:sz w:val="20"/>
              </w:rPr>
            </w:pPr>
            <w:r>
              <w:rPr>
                <w:color w:val="231F20"/>
                <w:sz w:val="20"/>
              </w:rPr>
              <w:t>$</w:t>
              <w:tab/>
            </w:r>
            <w:r>
              <w:rPr>
                <w:color w:val="231F20"/>
                <w:spacing w:val="-1"/>
                <w:sz w:val="20"/>
              </w:rPr>
              <w:t>78</w:t>
            </w:r>
          </w:p>
        </w:tc>
      </w:tr>
    </w:tbl>
    <w:p>
      <w:pPr>
        <w:spacing w:after="0" w:line="229" w:lineRule="exact"/>
        <w:rPr>
          <w:sz w:val="20"/>
        </w:rPr>
        <w:sectPr>
          <w:type w:val="continuous"/>
          <w:pgSz w:w="11880" w:h="15480"/>
          <w:pgMar w:top="1200" w:bottom="280" w:left="1220" w:right="1220"/>
        </w:sectPr>
      </w:pPr>
    </w:p>
    <w:p>
      <w:pPr>
        <w:pStyle w:val="Heading3"/>
        <w:spacing w:before="73"/>
        <w:ind w:left="440" w:right="420"/>
        <w:jc w:val="center"/>
      </w:pPr>
      <w:r>
        <w:rPr>
          <w:color w:val="231F20"/>
        </w:rPr>
        <w:t>SOUTHWEST AIRLINES CO.</w:t>
      </w:r>
    </w:p>
    <w:p>
      <w:pPr>
        <w:pStyle w:val="Heading3"/>
        <w:spacing w:before="9"/>
        <w:ind w:left="440" w:right="418"/>
        <w:jc w:val="center"/>
      </w:pPr>
      <w:bookmarkStart w:name="_TOC_250008" w:id="30"/>
      <w:bookmarkStart w:name="Notes to Consolidated Financial Statemen" w:id="31"/>
      <w:r>
        <w:rPr>
          <w:b w:val="0"/>
        </w:rPr>
      </w:r>
      <w:bookmarkEnd w:id="30"/>
      <w:r>
        <w:rPr>
          <w:color w:val="231F20"/>
        </w:rPr>
        <w:t>NOTES TO CONSOLIDATED FINANCIAL STATEMENTS</w:t>
      </w:r>
    </w:p>
    <w:p>
      <w:pPr>
        <w:pStyle w:val="BodyText"/>
        <w:rPr>
          <w:b/>
          <w:sz w:val="19"/>
        </w:rPr>
      </w:pPr>
    </w:p>
    <w:p>
      <w:pPr>
        <w:pStyle w:val="ListParagraph"/>
        <w:numPr>
          <w:ilvl w:val="0"/>
          <w:numId w:val="11"/>
        </w:numPr>
        <w:tabs>
          <w:tab w:pos="320" w:val="left" w:leader="none"/>
        </w:tabs>
        <w:spacing w:line="240" w:lineRule="auto" w:before="0" w:after="0"/>
        <w:ind w:left="320" w:right="0" w:hanging="200"/>
        <w:jc w:val="left"/>
        <w:rPr>
          <w:b/>
          <w:sz w:val="20"/>
        </w:rPr>
      </w:pPr>
      <w:r>
        <w:rPr>
          <w:b/>
          <w:color w:val="231F20"/>
          <w:sz w:val="20"/>
        </w:rPr>
        <w:t>SUMMARY OF SIGNIFICANT ACCOUNTING</w:t>
      </w:r>
      <w:r>
        <w:rPr>
          <w:b/>
          <w:color w:val="231F20"/>
          <w:spacing w:val="-7"/>
          <w:sz w:val="20"/>
        </w:rPr>
        <w:t> </w:t>
      </w:r>
      <w:r>
        <w:rPr>
          <w:b/>
          <w:color w:val="231F20"/>
          <w:sz w:val="20"/>
        </w:rPr>
        <w:t>POLICIES</w:t>
      </w:r>
    </w:p>
    <w:p>
      <w:pPr>
        <w:pStyle w:val="Heading4"/>
        <w:spacing w:before="114"/>
        <w:ind w:left="369"/>
        <w:rPr>
          <w:i/>
        </w:rPr>
      </w:pPr>
      <w:r>
        <w:rPr>
          <w:i/>
          <w:color w:val="231F20"/>
        </w:rPr>
        <w:t>Basis of Presentation</w:t>
      </w:r>
    </w:p>
    <w:p>
      <w:pPr>
        <w:pStyle w:val="BodyText"/>
        <w:spacing w:line="249" w:lineRule="auto" w:before="114"/>
        <w:ind w:left="119" w:right="101" w:firstLine="490"/>
      </w:pPr>
      <w:r>
        <w:rPr>
          <w:color w:val="231F20"/>
        </w:rPr>
        <w:t>Southwest Airlines Co. (the “Company”) operates Southwest Airlines, a major domestic airline.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Throughout these Notes, the Company makes reference to AirTran, which is meant to be inclusive of the following: (i) for periods prior to the acquisition date, AirTran Holdings and its subsidiaries, including, among others, AirTran Airways; and (ii) for periods on and after the acquisition date, AirTran Holdings, LLC, the successor to AirTran Holdings, and its subsidiaries, including among others, AirTran Airways. The accompanying Consolidated Financial Statements include the results of operations and cash flows for AirTran since May 2, 2011. See Note 2.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w:t>
      </w:r>
      <w:r>
        <w:rPr>
          <w:color w:val="231F20"/>
          <w:spacing w:val="11"/>
        </w:rPr>
        <w:t> </w:t>
      </w:r>
      <w:r>
        <w:rPr>
          <w:color w:val="231F20"/>
        </w:rPr>
        <w:t>estimates.</w:t>
      </w:r>
    </w:p>
    <w:p>
      <w:pPr>
        <w:pStyle w:val="BodyText"/>
        <w:spacing w:before="3"/>
        <w:rPr>
          <w:sz w:val="18"/>
        </w:rPr>
      </w:pPr>
    </w:p>
    <w:p>
      <w:pPr>
        <w:pStyle w:val="BodyText"/>
        <w:spacing w:line="249" w:lineRule="auto"/>
        <w:ind w:left="119" w:right="514" w:firstLine="490"/>
      </w:pPr>
      <w:r>
        <w:rPr>
          <w:color w:val="231F20"/>
        </w:rPr>
        <w:t>Certain prior period amounts have been reclassified to conform to the current presentation. In the Consolidated Statement of Comprehensive Income for the year ended December 31, 2012, the Company has reclassified $17 million from Other to Unrealized losses on defined benefit plan items, net of deferred tax.</w:t>
      </w:r>
    </w:p>
    <w:p>
      <w:pPr>
        <w:pStyle w:val="BodyText"/>
        <w:spacing w:before="5"/>
        <w:rPr>
          <w:sz w:val="27"/>
        </w:rPr>
      </w:pPr>
    </w:p>
    <w:p>
      <w:pPr>
        <w:pStyle w:val="Heading4"/>
        <w:ind w:left="369"/>
        <w:rPr>
          <w:i/>
        </w:rPr>
      </w:pPr>
      <w:r>
        <w:rPr>
          <w:i/>
          <w:color w:val="231F20"/>
        </w:rPr>
        <w:t>Cash and cash equivalents</w:t>
      </w:r>
    </w:p>
    <w:p>
      <w:pPr>
        <w:pStyle w:val="BodyText"/>
        <w:spacing w:line="249" w:lineRule="auto" w:before="114"/>
        <w:ind w:left="119" w:right="223" w:firstLine="490"/>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3"/>
        <w:rPr>
          <w:sz w:val="18"/>
        </w:rPr>
      </w:pPr>
    </w:p>
    <w:p>
      <w:pPr>
        <w:pStyle w:val="BodyText"/>
        <w:spacing w:line="249" w:lineRule="auto"/>
        <w:ind w:left="119" w:right="132" w:firstLine="490"/>
      </w:pPr>
      <w:r>
        <w:rPr>
          <w:color w:val="231F20"/>
        </w:rPr>
        <w:t>As of December 31, 2013, no cash collateral deposits were either held by or provided by the Company to its fuel hedge counterparties and the Company had provided cash collateral deposits totaling $32 million to its interest rate hedge counterparties. As of December 31, 2012, the Company had no cash collateral deposits held by or provided by the Company to its fuel hedge counterparties and cash collateral deposits totaling $89 million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4"/>
        </w:rPr>
        <w:t> </w:t>
      </w:r>
      <w:r>
        <w:rPr>
          <w:color w:val="231F20"/>
        </w:rPr>
        <w:t>instruments.</w:t>
      </w:r>
    </w:p>
    <w:p>
      <w:pPr>
        <w:pStyle w:val="BodyText"/>
        <w:spacing w:before="5"/>
        <w:rPr>
          <w:sz w:val="27"/>
        </w:rPr>
      </w:pPr>
    </w:p>
    <w:p>
      <w:pPr>
        <w:pStyle w:val="Heading4"/>
        <w:ind w:left="369"/>
        <w:rPr>
          <w:i/>
        </w:rPr>
      </w:pPr>
      <w:r>
        <w:rPr>
          <w:i/>
          <w:color w:val="231F20"/>
        </w:rPr>
        <w:t>Short-term and noncurrent investments</w:t>
      </w:r>
    </w:p>
    <w:p>
      <w:pPr>
        <w:pStyle w:val="BodyText"/>
        <w:spacing w:line="249" w:lineRule="auto" w:before="114"/>
        <w:ind w:left="119" w:right="121" w:firstLine="490"/>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w:t>
      </w:r>
    </w:p>
    <w:p>
      <w:pPr>
        <w:spacing w:after="0" w:line="249" w:lineRule="auto"/>
        <w:sectPr>
          <w:footerReference w:type="default" r:id="rId32"/>
          <w:pgSz w:w="11880" w:h="15480"/>
          <w:pgMar w:footer="1677" w:header="0" w:top="1240" w:bottom="1860" w:left="1260" w:right="1280"/>
        </w:sectPr>
      </w:pPr>
    </w:p>
    <w:p>
      <w:pPr>
        <w:pStyle w:val="BodyText"/>
        <w:spacing w:line="249" w:lineRule="auto" w:before="73"/>
        <w:ind w:left="100" w:right="213"/>
      </w:pPr>
      <w:r>
        <w:rPr>
          <w:color w:val="231F20"/>
        </w:rPr>
        <w:t>Balance Sheet. Realized net gains and losses on specific investments, if any, are reflected in Interest income in the accompanying Consolidated Statement of Income. Both unrealized and realized gains and/or losses associated with investments were immaterial for all years presented.</w:t>
      </w:r>
    </w:p>
    <w:p>
      <w:pPr>
        <w:pStyle w:val="BodyText"/>
        <w:spacing w:line="249" w:lineRule="auto" w:before="193"/>
        <w:ind w:left="100" w:right="143" w:firstLine="490"/>
      </w:pPr>
      <w:r>
        <w:rPr>
          <w:color w:val="231F20"/>
        </w:rPr>
        <w:t>Noncurrent investments consist of investments with maturities of greater than twelve months. At December 31, 2013, these primarily consisted of the Company’s auction rate security instruments that it expects will not be redeemed during 2014. See Note 11 for further information. Noncurrent investments are included as a component of Other assets in the Consolidated Balance</w:t>
      </w:r>
      <w:r>
        <w:rPr>
          <w:color w:val="231F20"/>
          <w:spacing w:val="3"/>
        </w:rPr>
        <w:t> </w:t>
      </w:r>
      <w:r>
        <w:rPr>
          <w:color w:val="231F20"/>
        </w:rPr>
        <w:t>Sheet.</w:t>
      </w:r>
    </w:p>
    <w:p>
      <w:pPr>
        <w:pStyle w:val="BodyText"/>
        <w:spacing w:before="1"/>
        <w:rPr>
          <w:sz w:val="25"/>
        </w:rPr>
      </w:pPr>
    </w:p>
    <w:p>
      <w:pPr>
        <w:pStyle w:val="Heading4"/>
        <w:spacing w:before="1"/>
        <w:rPr>
          <w:i/>
        </w:rPr>
      </w:pPr>
      <w:r>
        <w:rPr>
          <w:i/>
          <w:color w:val="231F20"/>
        </w:rPr>
        <w:t>Accounts and other receivables</w:t>
      </w:r>
    </w:p>
    <w:p>
      <w:pPr>
        <w:pStyle w:val="BodyText"/>
        <w:spacing w:line="249" w:lineRule="auto" w:before="106"/>
        <w:ind w:left="100" w:right="175" w:firstLine="490"/>
      </w:pPr>
      <w:r>
        <w:rPr>
          <w:color w:val="231F20"/>
        </w:rPr>
        <w:t>Accounts and other receivables are carried at cost. They primarily consist of amounts due from credit card companies associated with sales of tickets for future travel, amounts due from business partners in the Company’s frequent flyer programs, and amounts due from counterparties associated with fuel derivative instruments that have settled. The allowance for doubtful accounts was immaterial at December 31, 2013, 2012, and 2011. In addition, the provision for doubtful accounts and write-offs for 2013, 2012, and 2011 were each immaterial.</w:t>
      </w:r>
    </w:p>
    <w:p>
      <w:pPr>
        <w:pStyle w:val="BodyText"/>
        <w:spacing w:before="1"/>
        <w:rPr>
          <w:sz w:val="25"/>
        </w:rPr>
      </w:pPr>
    </w:p>
    <w:p>
      <w:pPr>
        <w:pStyle w:val="Heading4"/>
        <w:rPr>
          <w:i/>
        </w:rPr>
      </w:pPr>
      <w:r>
        <w:rPr>
          <w:i/>
          <w:color w:val="231F20"/>
        </w:rPr>
        <w:t>Inventories</w:t>
      </w:r>
    </w:p>
    <w:p>
      <w:pPr>
        <w:pStyle w:val="BodyText"/>
        <w:spacing w:before="105"/>
        <w:ind w:left="590"/>
      </w:pPr>
      <w:r>
        <w:rPr>
          <w:color w:val="231F20"/>
        </w:rPr>
        <w:t>Inventories consist primarily of aircraft fuel, flight equipment expendable parts, materials, and supplies.</w:t>
      </w:r>
    </w:p>
    <w:p>
      <w:pPr>
        <w:pStyle w:val="BodyText"/>
        <w:spacing w:line="249" w:lineRule="auto" w:before="9"/>
        <w:ind w:left="100" w:right="374"/>
      </w:pPr>
      <w:r>
        <w:rPr>
          <w:color w:val="231F20"/>
        </w:rPr>
        <w:t>All of these items are carried at average cost, less an allowance for obsolescence. These items are generally charged to expense when issued for use. The reserve for obsolescence was $36 million and $34 million at December 31, 2013, and 2012, respectively. In addition, the Company’s provision for obsolescence and write- offs for 2013, 2012, and 2011 were each immaterial.</w:t>
      </w:r>
    </w:p>
    <w:p>
      <w:pPr>
        <w:pStyle w:val="BodyText"/>
        <w:spacing w:before="1"/>
        <w:rPr>
          <w:sz w:val="25"/>
        </w:rPr>
      </w:pPr>
    </w:p>
    <w:p>
      <w:pPr>
        <w:pStyle w:val="Heading4"/>
        <w:rPr>
          <w:i/>
        </w:rPr>
      </w:pPr>
      <w:r>
        <w:rPr>
          <w:i/>
          <w:color w:val="231F20"/>
        </w:rPr>
        <w:t>Property and equipment</w:t>
      </w:r>
    </w:p>
    <w:p>
      <w:pPr>
        <w:pStyle w:val="BodyText"/>
        <w:spacing w:line="249" w:lineRule="auto" w:before="106"/>
        <w:ind w:left="100" w:right="108" w:firstLine="490"/>
      </w:pPr>
      <w:r>
        <w:rPr>
          <w:color w:val="231F20"/>
        </w:rPr>
        <w:t>Property and equipment is stated at cost. Depreciation is provided by the straight-line method to estimated residual values over periods generally ranging from 23 to 25 years for flight equipment and 5 to 30 years for ground property and equipment once the asset is placed in service. Residual values estimated for aircraft generally range from 2 to 20 percent and for ground property and equipment generally range from 0 to 10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and such assets are amortized to estimated residual value over the term of the Company’s lease or the expected life of the asset. See Note</w:t>
      </w:r>
      <w:r>
        <w:rPr>
          <w:color w:val="231F20"/>
          <w:spacing w:val="3"/>
        </w:rPr>
        <w:t> </w:t>
      </w:r>
      <w:r>
        <w:rPr>
          <w:color w:val="231F20"/>
        </w:rPr>
        <w:t>4.</w:t>
      </w:r>
    </w:p>
    <w:p>
      <w:pPr>
        <w:pStyle w:val="BodyText"/>
        <w:spacing w:line="249" w:lineRule="auto" w:before="193"/>
        <w:ind w:left="100" w:right="242" w:firstLine="490"/>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BodyText"/>
        <w:spacing w:before="1"/>
        <w:rPr>
          <w:sz w:val="25"/>
        </w:rPr>
      </w:pPr>
    </w:p>
    <w:p>
      <w:pPr>
        <w:pStyle w:val="Heading4"/>
        <w:rPr>
          <w:i/>
        </w:rPr>
      </w:pPr>
      <w:r>
        <w:rPr>
          <w:i/>
          <w:color w:val="231F20"/>
        </w:rPr>
        <w:t>Aircraft and engine maintenance</w:t>
      </w:r>
    </w:p>
    <w:p>
      <w:pPr>
        <w:pStyle w:val="BodyText"/>
        <w:spacing w:line="249" w:lineRule="auto" w:before="105"/>
        <w:ind w:left="100" w:firstLine="490"/>
      </w:pPr>
      <w:r>
        <w:rPr>
          <w:color w:val="231F20"/>
        </w:rPr>
        <w:t>The cost of scheduled inspections and repairs and routine maintenance costs for all aircraft and engines are charged to Maintenance materials and repairs expense as incurred. The Company also has “power-by-the-hour”</w:t>
      </w:r>
    </w:p>
    <w:p>
      <w:pPr>
        <w:spacing w:after="0" w:line="249" w:lineRule="auto"/>
        <w:sectPr>
          <w:footerReference w:type="default" r:id="rId33"/>
          <w:pgSz w:w="11880" w:h="15480"/>
          <w:pgMar w:footer="1253" w:header="0" w:top="1240" w:bottom="1440" w:left="1280" w:right="1280"/>
        </w:sectPr>
      </w:pPr>
    </w:p>
    <w:p>
      <w:pPr>
        <w:pStyle w:val="BodyText"/>
        <w:spacing w:line="249" w:lineRule="auto" w:before="73"/>
        <w:ind w:left="160" w:right="164"/>
      </w:pPr>
      <w:r>
        <w:rPr>
          <w:color w:val="231F20"/>
        </w:rPr>
        <w:t>agreements related to certain of its aircraft engines with external service providers. Under these agreements, which the Company has determined effectively transfers the risk and creates an obligation associated with the maintenance on such engines to the counterparty, expense is recorded commensurate with each hour flown on an engine. In situations where the payments to the counterparty do not sufficiently match the level of services received during the period, expense is recorded on a straight-line basis over the term of the agreement based on our best estimate of expected future aircraft utilization. The Company modified its engine maintenance contract for its Classic fleet (737-300/500s) during fourth quarter 2011 and, although payments made under this contract are made on the basis of flight hours, the risk-transfer concept under this agreement is no longer met, and the Company now records expense on a time and materials basis when an engine repair event takes place. The impact of this change on fourth quarter 2011 was a reduction in Maintenance materials and repairs expense of</w:t>
      </w:r>
    </w:p>
    <w:p>
      <w:pPr>
        <w:pStyle w:val="BodyText"/>
        <w:spacing w:line="249" w:lineRule="auto" w:before="1"/>
        <w:ind w:left="160" w:right="219"/>
      </w:pPr>
      <w:r>
        <w:rPr>
          <w:color w:val="231F20"/>
        </w:rPr>
        <w:t>$30 million, resulting in an increase in net income of $16 million, and an increase in earnings per share (basic and diluted) of $.02 per share. Modifications that significantly enhance the operating performance or extend the useful lives of aircraft or engines are capitalized and amortized over the remaining life of the asset.</w:t>
      </w:r>
    </w:p>
    <w:p>
      <w:pPr>
        <w:pStyle w:val="BodyText"/>
        <w:rPr>
          <w:sz w:val="22"/>
        </w:rPr>
      </w:pPr>
    </w:p>
    <w:p>
      <w:pPr>
        <w:pStyle w:val="Heading4"/>
        <w:spacing w:before="131"/>
        <w:ind w:left="410"/>
        <w:rPr>
          <w:i/>
        </w:rPr>
      </w:pPr>
      <w:r>
        <w:rPr>
          <w:i/>
          <w:color w:val="231F20"/>
        </w:rPr>
        <w:t>Goodwill and intangible assets</w:t>
      </w:r>
    </w:p>
    <w:p>
      <w:pPr>
        <w:pStyle w:val="BodyText"/>
        <w:spacing w:line="249" w:lineRule="auto" w:before="136"/>
        <w:ind w:left="160" w:right="166" w:firstLine="490"/>
      </w:pPr>
      <w:r>
        <w:rPr>
          <w:color w:val="231F20"/>
        </w:rPr>
        <w:t>Goodwill represents the excess of the consideration transferred over the fair value of AirTran’s assets and liabilities on the acquisition date. Goodwill is not amortized, but it is evaluated for impairment at least annually, or more frequently if events or circumstances indicate impairment may exist. A fair value-based methodology is utilized in testing the carrying value to Goodwill, utilizing assumptions including: (i) a long-term projection of revenues and expenses; (ii) estimated discounted future cash flows; (iii) observable earnings multiples of publicly- traded airlines; (iv) weighted-average cost of capital; and (v) expected tax rate. Factors used in the valuation of goodwill include, but are not limited to, management’s plans for future operations, recent operating results and discounted projected future cash flows. These factors are considered Level 3 inputs within the fair value hierarchy. As a result of the annual impairment test performed as of October 1, 2013, no impairment was determined to exist for Goodwill. In the Goodwill impairment analysis performed, the excess fair value of the enterprise over carrying value was estimated to be in excess of 50 percent.</w:t>
      </w:r>
    </w:p>
    <w:p>
      <w:pPr>
        <w:pStyle w:val="BodyText"/>
        <w:spacing w:before="2"/>
        <w:rPr>
          <w:sz w:val="22"/>
        </w:rPr>
      </w:pPr>
    </w:p>
    <w:p>
      <w:pPr>
        <w:pStyle w:val="BodyText"/>
        <w:spacing w:line="249" w:lineRule="auto"/>
        <w:ind w:left="160" w:right="234" w:firstLine="490"/>
      </w:pPr>
      <w:r>
        <w:rPr>
          <w:color w:val="231F20"/>
        </w:rPr>
        <w:t>Intangible assets primarily consist of acquired leasehold rights to certain airport owned gates at Chicago’s Midway International Airport, take-off and landing slots at certain domestic slot-controlled airports, and certain intangible assets recognized from the AirTran acquisition. See Note 2 for further information on acquired identifiable intangible assets. The following table is a summary of the Company’s intangible assets as of December 31, 2013:</w:t>
      </w:r>
    </w:p>
    <w:p>
      <w:pPr>
        <w:pStyle w:val="BodyText"/>
        <w:rPr>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3"/>
        <w:gridCol w:w="1640"/>
        <w:gridCol w:w="100"/>
        <w:gridCol w:w="1557"/>
        <w:gridCol w:w="100"/>
        <w:gridCol w:w="1640"/>
      </w:tblGrid>
      <w:tr>
        <w:trPr>
          <w:trHeight w:val="968" w:hRule="exact"/>
        </w:trPr>
        <w:tc>
          <w:tcPr>
            <w:tcW w:w="4133" w:type="dxa"/>
          </w:tcPr>
          <w:p>
            <w:pPr/>
          </w:p>
        </w:tc>
        <w:tc>
          <w:tcPr>
            <w:tcW w:w="1640" w:type="dxa"/>
            <w:tcBorders>
              <w:bottom w:val="single" w:sz="8" w:space="0" w:color="231F20"/>
            </w:tcBorders>
          </w:tcPr>
          <w:p>
            <w:pPr>
              <w:pStyle w:val="TableParagraph"/>
              <w:spacing w:line="249" w:lineRule="auto"/>
              <w:ind w:left="453" w:right="451" w:hanging="2"/>
              <w:jc w:val="center"/>
              <w:rPr>
                <w:b/>
                <w:sz w:val="20"/>
              </w:rPr>
            </w:pPr>
            <w:r>
              <w:rPr>
                <w:b/>
                <w:color w:val="231F20"/>
                <w:sz w:val="20"/>
              </w:rPr>
              <w:t>Gross carrying</w:t>
            </w:r>
            <w:r>
              <w:rPr>
                <w:b/>
                <w:color w:val="231F20"/>
                <w:w w:val="100"/>
                <w:sz w:val="20"/>
              </w:rPr>
              <w:t> </w:t>
            </w:r>
            <w:r>
              <w:rPr>
                <w:b/>
                <w:color w:val="231F20"/>
                <w:sz w:val="20"/>
              </w:rPr>
              <w:t>amount</w:t>
            </w:r>
          </w:p>
          <w:p>
            <w:pPr>
              <w:pStyle w:val="TableParagraph"/>
              <w:spacing w:before="10"/>
              <w:ind w:left="285" w:right="286"/>
              <w:jc w:val="center"/>
              <w:rPr>
                <w:b/>
                <w:sz w:val="20"/>
              </w:rPr>
            </w:pPr>
            <w:r>
              <w:rPr>
                <w:b/>
                <w:color w:val="231F20"/>
                <w:sz w:val="20"/>
              </w:rPr>
              <w:t>(in millions)</w:t>
            </w:r>
          </w:p>
        </w:tc>
        <w:tc>
          <w:tcPr>
            <w:tcW w:w="100" w:type="dxa"/>
          </w:tcPr>
          <w:p>
            <w:pPr/>
          </w:p>
        </w:tc>
        <w:tc>
          <w:tcPr>
            <w:tcW w:w="1557" w:type="dxa"/>
            <w:tcBorders>
              <w:bottom w:val="single" w:sz="8" w:space="0" w:color="231F20"/>
            </w:tcBorders>
          </w:tcPr>
          <w:p>
            <w:pPr>
              <w:pStyle w:val="TableParagraph"/>
              <w:spacing w:before="1"/>
              <w:jc w:val="left"/>
              <w:rPr>
                <w:sz w:val="20"/>
              </w:rPr>
            </w:pPr>
          </w:p>
          <w:p>
            <w:pPr>
              <w:pStyle w:val="TableParagraph"/>
              <w:spacing w:line="249" w:lineRule="auto"/>
              <w:ind w:right="1"/>
              <w:jc w:val="center"/>
              <w:rPr>
                <w:b/>
                <w:sz w:val="20"/>
              </w:rPr>
            </w:pPr>
            <w:r>
              <w:rPr>
                <w:b/>
                <w:color w:val="231F20"/>
                <w:sz w:val="20"/>
              </w:rPr>
              <w:t>Weighted-average</w:t>
            </w:r>
            <w:r>
              <w:rPr>
                <w:b/>
                <w:color w:val="231F20"/>
                <w:w w:val="100"/>
                <w:sz w:val="20"/>
              </w:rPr>
              <w:t> </w:t>
            </w:r>
            <w:r>
              <w:rPr>
                <w:b/>
                <w:color w:val="231F20"/>
                <w:sz w:val="20"/>
              </w:rPr>
              <w:t>useful life</w:t>
            </w:r>
          </w:p>
          <w:p>
            <w:pPr>
              <w:pStyle w:val="TableParagraph"/>
              <w:spacing w:before="1"/>
              <w:jc w:val="center"/>
              <w:rPr>
                <w:b/>
                <w:sz w:val="20"/>
              </w:rPr>
            </w:pPr>
            <w:r>
              <w:rPr>
                <w:b/>
                <w:color w:val="231F20"/>
                <w:sz w:val="20"/>
              </w:rPr>
              <w:t>(in years)</w:t>
            </w:r>
          </w:p>
        </w:tc>
        <w:tc>
          <w:tcPr>
            <w:tcW w:w="100" w:type="dxa"/>
          </w:tcPr>
          <w:p>
            <w:pPr/>
          </w:p>
        </w:tc>
        <w:tc>
          <w:tcPr>
            <w:tcW w:w="1640" w:type="dxa"/>
            <w:tcBorders>
              <w:bottom w:val="single" w:sz="8" w:space="0" w:color="231F20"/>
            </w:tcBorders>
          </w:tcPr>
          <w:p>
            <w:pPr>
              <w:pStyle w:val="TableParagraph"/>
              <w:spacing w:before="1"/>
              <w:jc w:val="left"/>
              <w:rPr>
                <w:sz w:val="20"/>
              </w:rPr>
            </w:pPr>
          </w:p>
          <w:p>
            <w:pPr>
              <w:pStyle w:val="TableParagraph"/>
              <w:spacing w:line="249" w:lineRule="auto"/>
              <w:ind w:left="268" w:right="251" w:hanging="16"/>
              <w:jc w:val="both"/>
              <w:rPr>
                <w:b/>
                <w:sz w:val="20"/>
              </w:rPr>
            </w:pPr>
            <w:r>
              <w:rPr>
                <w:b/>
                <w:color w:val="231F20"/>
                <w:sz w:val="20"/>
              </w:rPr>
              <w:t>Accumulated amortization (in millions)</w:t>
            </w:r>
          </w:p>
        </w:tc>
      </w:tr>
      <w:tr>
        <w:trPr>
          <w:trHeight w:val="304" w:hRule="exact"/>
        </w:trPr>
        <w:tc>
          <w:tcPr>
            <w:tcW w:w="4133" w:type="dxa"/>
          </w:tcPr>
          <w:p>
            <w:pPr>
              <w:pStyle w:val="TableParagraph"/>
              <w:spacing w:before="63"/>
              <w:ind w:right="99"/>
              <w:rPr>
                <w:sz w:val="20"/>
              </w:rPr>
            </w:pPr>
            <w:r>
              <w:rPr>
                <w:color w:val="231F20"/>
                <w:sz w:val="20"/>
              </w:rPr>
              <w:t>Customer relationships/marketing agreements   . .</w:t>
            </w:r>
          </w:p>
        </w:tc>
        <w:tc>
          <w:tcPr>
            <w:tcW w:w="1640" w:type="dxa"/>
            <w:tcBorders>
              <w:top w:val="single" w:sz="8" w:space="0" w:color="231F20"/>
            </w:tcBorders>
          </w:tcPr>
          <w:p>
            <w:pPr>
              <w:pStyle w:val="TableParagraph"/>
              <w:tabs>
                <w:tab w:pos="1319" w:val="left" w:leader="none"/>
              </w:tabs>
              <w:spacing w:before="53"/>
              <w:ind w:right="39"/>
              <w:rPr>
                <w:sz w:val="20"/>
              </w:rPr>
            </w:pPr>
            <w:r>
              <w:rPr>
                <w:color w:val="231F20"/>
                <w:sz w:val="20"/>
              </w:rPr>
              <w:t>$</w:t>
              <w:tab/>
              <w:t>39</w:t>
            </w:r>
          </w:p>
        </w:tc>
        <w:tc>
          <w:tcPr>
            <w:tcW w:w="100" w:type="dxa"/>
          </w:tcPr>
          <w:p>
            <w:pPr/>
          </w:p>
        </w:tc>
        <w:tc>
          <w:tcPr>
            <w:tcW w:w="1557" w:type="dxa"/>
            <w:tcBorders>
              <w:top w:val="single" w:sz="8" w:space="0" w:color="231F20"/>
            </w:tcBorders>
          </w:tcPr>
          <w:p>
            <w:pPr>
              <w:pStyle w:val="TableParagraph"/>
              <w:spacing w:before="53"/>
              <w:ind w:right="39"/>
              <w:rPr>
                <w:sz w:val="20"/>
              </w:rPr>
            </w:pPr>
            <w:r>
              <w:rPr>
                <w:color w:val="231F20"/>
                <w:sz w:val="20"/>
              </w:rPr>
              <w:t>9</w:t>
            </w:r>
          </w:p>
        </w:tc>
        <w:tc>
          <w:tcPr>
            <w:tcW w:w="100" w:type="dxa"/>
          </w:tcPr>
          <w:p>
            <w:pPr/>
          </w:p>
        </w:tc>
        <w:tc>
          <w:tcPr>
            <w:tcW w:w="1640" w:type="dxa"/>
            <w:tcBorders>
              <w:top w:val="single" w:sz="8" w:space="0" w:color="231F20"/>
            </w:tcBorders>
          </w:tcPr>
          <w:p>
            <w:pPr>
              <w:pStyle w:val="TableParagraph"/>
              <w:tabs>
                <w:tab w:pos="1319" w:val="left" w:leader="none"/>
              </w:tabs>
              <w:spacing w:before="53"/>
              <w:ind w:right="39"/>
              <w:rPr>
                <w:sz w:val="20"/>
              </w:rPr>
            </w:pPr>
            <w:r>
              <w:rPr>
                <w:color w:val="231F20"/>
                <w:sz w:val="20"/>
              </w:rPr>
              <w:t>$</w:t>
              <w:tab/>
              <w:t>23</w:t>
            </w:r>
          </w:p>
        </w:tc>
      </w:tr>
      <w:tr>
        <w:trPr>
          <w:trHeight w:val="240" w:hRule="exact"/>
        </w:trPr>
        <w:tc>
          <w:tcPr>
            <w:tcW w:w="4133" w:type="dxa"/>
          </w:tcPr>
          <w:p>
            <w:pPr>
              <w:pStyle w:val="TableParagraph"/>
              <w:spacing w:line="229" w:lineRule="exact"/>
              <w:ind w:right="49"/>
              <w:rPr>
                <w:sz w:val="20"/>
              </w:rPr>
            </w:pPr>
            <w:r>
              <w:rPr>
                <w:color w:val="231F20"/>
                <w:sz w:val="20"/>
              </w:rPr>
              <w:t>Trademarks/trade names . . . . . . . . . . . . . . . . . . . . </w:t>
            </w:r>
          </w:p>
        </w:tc>
        <w:tc>
          <w:tcPr>
            <w:tcW w:w="1640" w:type="dxa"/>
          </w:tcPr>
          <w:p>
            <w:pPr>
              <w:pStyle w:val="TableParagraph"/>
              <w:spacing w:line="229" w:lineRule="exact"/>
              <w:ind w:right="39"/>
              <w:rPr>
                <w:sz w:val="20"/>
              </w:rPr>
            </w:pPr>
            <w:r>
              <w:rPr>
                <w:color w:val="231F20"/>
                <w:sz w:val="20"/>
              </w:rPr>
              <w:t>36</w:t>
            </w:r>
          </w:p>
        </w:tc>
        <w:tc>
          <w:tcPr>
            <w:tcW w:w="100" w:type="dxa"/>
          </w:tcPr>
          <w:p>
            <w:pPr/>
          </w:p>
        </w:tc>
        <w:tc>
          <w:tcPr>
            <w:tcW w:w="1557" w:type="dxa"/>
          </w:tcPr>
          <w:p>
            <w:pPr>
              <w:pStyle w:val="TableParagraph"/>
              <w:spacing w:line="229" w:lineRule="exact"/>
              <w:ind w:right="39"/>
              <w:rPr>
                <w:sz w:val="20"/>
              </w:rPr>
            </w:pPr>
            <w:r>
              <w:rPr>
                <w:color w:val="231F20"/>
                <w:sz w:val="20"/>
              </w:rPr>
              <w:t>6</w:t>
            </w:r>
          </w:p>
        </w:tc>
        <w:tc>
          <w:tcPr>
            <w:tcW w:w="100" w:type="dxa"/>
          </w:tcPr>
          <w:p>
            <w:pPr/>
          </w:p>
        </w:tc>
        <w:tc>
          <w:tcPr>
            <w:tcW w:w="1640" w:type="dxa"/>
          </w:tcPr>
          <w:p>
            <w:pPr>
              <w:pStyle w:val="TableParagraph"/>
              <w:spacing w:line="229" w:lineRule="exact"/>
              <w:ind w:right="39"/>
              <w:rPr>
                <w:sz w:val="20"/>
              </w:rPr>
            </w:pPr>
            <w:r>
              <w:rPr>
                <w:color w:val="231F20"/>
                <w:sz w:val="20"/>
              </w:rPr>
              <w:t>25</w:t>
            </w:r>
          </w:p>
        </w:tc>
      </w:tr>
      <w:tr>
        <w:trPr>
          <w:trHeight w:val="240" w:hRule="exact"/>
        </w:trPr>
        <w:tc>
          <w:tcPr>
            <w:tcW w:w="4133" w:type="dxa"/>
          </w:tcPr>
          <w:p>
            <w:pPr>
              <w:pStyle w:val="TableParagraph"/>
              <w:spacing w:line="229" w:lineRule="exact"/>
              <w:ind w:right="49"/>
              <w:rPr>
                <w:sz w:val="20"/>
              </w:rPr>
            </w:pPr>
            <w:r>
              <w:rPr>
                <w:color w:val="231F20"/>
                <w:sz w:val="20"/>
              </w:rPr>
              <w:t>Owned domestic slots . . . . . . . . . . . . . . . . . . . . . . </w:t>
            </w:r>
          </w:p>
        </w:tc>
        <w:tc>
          <w:tcPr>
            <w:tcW w:w="1640" w:type="dxa"/>
          </w:tcPr>
          <w:p>
            <w:pPr>
              <w:pStyle w:val="TableParagraph"/>
              <w:spacing w:line="229" w:lineRule="exact"/>
              <w:ind w:right="39"/>
              <w:rPr>
                <w:sz w:val="20"/>
              </w:rPr>
            </w:pPr>
            <w:r>
              <w:rPr>
                <w:color w:val="231F20"/>
                <w:sz w:val="20"/>
              </w:rPr>
              <w:t>93</w:t>
            </w:r>
          </w:p>
        </w:tc>
        <w:tc>
          <w:tcPr>
            <w:tcW w:w="100" w:type="dxa"/>
          </w:tcPr>
          <w:p>
            <w:pPr/>
          </w:p>
        </w:tc>
        <w:tc>
          <w:tcPr>
            <w:tcW w:w="1557" w:type="dxa"/>
          </w:tcPr>
          <w:p>
            <w:pPr>
              <w:pStyle w:val="TableParagraph"/>
              <w:spacing w:line="229" w:lineRule="exact"/>
              <w:ind w:right="40"/>
              <w:rPr>
                <w:sz w:val="20"/>
              </w:rPr>
            </w:pPr>
            <w:r>
              <w:rPr>
                <w:color w:val="231F20"/>
                <w:sz w:val="20"/>
              </w:rPr>
              <w:t>Indefinite</w:t>
            </w:r>
          </w:p>
        </w:tc>
        <w:tc>
          <w:tcPr>
            <w:tcW w:w="100" w:type="dxa"/>
          </w:tcPr>
          <w:p>
            <w:pPr/>
          </w:p>
        </w:tc>
        <w:tc>
          <w:tcPr>
            <w:tcW w:w="1640" w:type="dxa"/>
          </w:tcPr>
          <w:p>
            <w:pPr>
              <w:pStyle w:val="TableParagraph"/>
              <w:spacing w:line="229" w:lineRule="exact"/>
              <w:ind w:right="38"/>
              <w:rPr>
                <w:sz w:val="20"/>
              </w:rPr>
            </w:pPr>
            <w:r>
              <w:rPr>
                <w:color w:val="231F20"/>
                <w:sz w:val="20"/>
              </w:rPr>
              <w:t>n/a</w:t>
            </w:r>
          </w:p>
        </w:tc>
      </w:tr>
      <w:tr>
        <w:trPr>
          <w:trHeight w:val="240" w:hRule="exact"/>
        </w:trPr>
        <w:tc>
          <w:tcPr>
            <w:tcW w:w="4133" w:type="dxa"/>
          </w:tcPr>
          <w:p>
            <w:pPr>
              <w:pStyle w:val="TableParagraph"/>
              <w:spacing w:line="229" w:lineRule="exact"/>
              <w:ind w:right="49"/>
              <w:rPr>
                <w:sz w:val="20"/>
              </w:rPr>
            </w:pPr>
            <w:r>
              <w:rPr>
                <w:color w:val="231F20"/>
                <w:sz w:val="20"/>
              </w:rPr>
              <w:t>Leased domestic slots (1)  . . . . . . . . . . . . . . . . . . . </w:t>
            </w:r>
          </w:p>
        </w:tc>
        <w:tc>
          <w:tcPr>
            <w:tcW w:w="1640" w:type="dxa"/>
          </w:tcPr>
          <w:p>
            <w:pPr>
              <w:pStyle w:val="TableParagraph"/>
              <w:spacing w:line="229" w:lineRule="exact"/>
              <w:ind w:right="39"/>
              <w:rPr>
                <w:sz w:val="20"/>
              </w:rPr>
            </w:pPr>
            <w:r>
              <w:rPr>
                <w:color w:val="231F20"/>
                <w:sz w:val="20"/>
              </w:rPr>
              <w:t>19</w:t>
            </w:r>
          </w:p>
        </w:tc>
        <w:tc>
          <w:tcPr>
            <w:tcW w:w="100" w:type="dxa"/>
          </w:tcPr>
          <w:p>
            <w:pPr/>
          </w:p>
        </w:tc>
        <w:tc>
          <w:tcPr>
            <w:tcW w:w="1557" w:type="dxa"/>
          </w:tcPr>
          <w:p>
            <w:pPr>
              <w:pStyle w:val="TableParagraph"/>
              <w:spacing w:line="229" w:lineRule="exact"/>
              <w:ind w:right="39"/>
              <w:rPr>
                <w:sz w:val="20"/>
              </w:rPr>
            </w:pPr>
            <w:r>
              <w:rPr>
                <w:color w:val="231F20"/>
                <w:sz w:val="20"/>
              </w:rPr>
              <w:t>39</w:t>
            </w:r>
          </w:p>
        </w:tc>
        <w:tc>
          <w:tcPr>
            <w:tcW w:w="100" w:type="dxa"/>
          </w:tcPr>
          <w:p>
            <w:pPr/>
          </w:p>
        </w:tc>
        <w:tc>
          <w:tcPr>
            <w:tcW w:w="1640" w:type="dxa"/>
          </w:tcPr>
          <w:p>
            <w:pPr>
              <w:pStyle w:val="TableParagraph"/>
              <w:spacing w:line="229" w:lineRule="exact"/>
              <w:ind w:right="39"/>
              <w:rPr>
                <w:sz w:val="20"/>
              </w:rPr>
            </w:pPr>
            <w:r>
              <w:rPr>
                <w:color w:val="231F20"/>
                <w:sz w:val="20"/>
              </w:rPr>
              <w:t>4</w:t>
            </w:r>
          </w:p>
        </w:tc>
      </w:tr>
      <w:tr>
        <w:trPr>
          <w:trHeight w:val="240" w:hRule="exact"/>
        </w:trPr>
        <w:tc>
          <w:tcPr>
            <w:tcW w:w="4133" w:type="dxa"/>
          </w:tcPr>
          <w:p>
            <w:pPr>
              <w:pStyle w:val="TableParagraph"/>
              <w:spacing w:line="229" w:lineRule="exact"/>
              <w:ind w:right="49"/>
              <w:rPr>
                <w:sz w:val="20"/>
              </w:rPr>
            </w:pPr>
            <w:r>
              <w:rPr>
                <w:color w:val="231F20"/>
                <w:sz w:val="20"/>
              </w:rPr>
              <w:t>Noncompete agreements   . . . . . . . . . . . . . . . . . . . </w:t>
            </w:r>
          </w:p>
        </w:tc>
        <w:tc>
          <w:tcPr>
            <w:tcW w:w="1640" w:type="dxa"/>
          </w:tcPr>
          <w:p>
            <w:pPr>
              <w:pStyle w:val="TableParagraph"/>
              <w:spacing w:line="229" w:lineRule="exact"/>
              <w:ind w:right="39"/>
              <w:rPr>
                <w:sz w:val="20"/>
              </w:rPr>
            </w:pPr>
            <w:r>
              <w:rPr>
                <w:color w:val="231F20"/>
                <w:sz w:val="20"/>
              </w:rPr>
              <w:t>5</w:t>
            </w:r>
          </w:p>
        </w:tc>
        <w:tc>
          <w:tcPr>
            <w:tcW w:w="100" w:type="dxa"/>
          </w:tcPr>
          <w:p>
            <w:pPr/>
          </w:p>
        </w:tc>
        <w:tc>
          <w:tcPr>
            <w:tcW w:w="1557" w:type="dxa"/>
          </w:tcPr>
          <w:p>
            <w:pPr>
              <w:pStyle w:val="TableParagraph"/>
              <w:spacing w:line="229" w:lineRule="exact"/>
              <w:ind w:right="39"/>
              <w:rPr>
                <w:sz w:val="20"/>
              </w:rPr>
            </w:pPr>
            <w:r>
              <w:rPr>
                <w:color w:val="231F20"/>
                <w:sz w:val="20"/>
              </w:rPr>
              <w:t>2</w:t>
            </w:r>
          </w:p>
        </w:tc>
        <w:tc>
          <w:tcPr>
            <w:tcW w:w="100" w:type="dxa"/>
          </w:tcPr>
          <w:p>
            <w:pPr/>
          </w:p>
        </w:tc>
        <w:tc>
          <w:tcPr>
            <w:tcW w:w="1640" w:type="dxa"/>
          </w:tcPr>
          <w:p>
            <w:pPr>
              <w:pStyle w:val="TableParagraph"/>
              <w:spacing w:line="229" w:lineRule="exact"/>
              <w:ind w:right="39"/>
              <w:rPr>
                <w:sz w:val="20"/>
              </w:rPr>
            </w:pPr>
            <w:r>
              <w:rPr>
                <w:color w:val="231F20"/>
                <w:sz w:val="20"/>
              </w:rPr>
              <w:t>5</w:t>
            </w:r>
          </w:p>
        </w:tc>
      </w:tr>
      <w:tr>
        <w:trPr>
          <w:trHeight w:val="261" w:hRule="exact"/>
        </w:trPr>
        <w:tc>
          <w:tcPr>
            <w:tcW w:w="4133" w:type="dxa"/>
          </w:tcPr>
          <w:p>
            <w:pPr>
              <w:pStyle w:val="TableParagraph"/>
              <w:spacing w:line="229" w:lineRule="exact"/>
              <w:ind w:right="49"/>
              <w:rPr>
                <w:sz w:val="20"/>
              </w:rPr>
            </w:pPr>
            <w:r>
              <w:rPr>
                <w:color w:val="231F20"/>
                <w:sz w:val="20"/>
              </w:rPr>
              <w:t>Gate leasehold rights   . . . . . . . . . . . . . . . . . . . . . . </w:t>
            </w:r>
          </w:p>
        </w:tc>
        <w:tc>
          <w:tcPr>
            <w:tcW w:w="1640" w:type="dxa"/>
            <w:tcBorders>
              <w:bottom w:val="single" w:sz="4" w:space="0" w:color="231F20"/>
            </w:tcBorders>
          </w:tcPr>
          <w:p>
            <w:pPr>
              <w:pStyle w:val="TableParagraph"/>
              <w:spacing w:line="229" w:lineRule="exact"/>
              <w:ind w:right="39"/>
              <w:rPr>
                <w:sz w:val="20"/>
              </w:rPr>
            </w:pPr>
            <w:r>
              <w:rPr>
                <w:color w:val="231F20"/>
                <w:sz w:val="20"/>
              </w:rPr>
              <w:t>60</w:t>
            </w:r>
          </w:p>
        </w:tc>
        <w:tc>
          <w:tcPr>
            <w:tcW w:w="100" w:type="dxa"/>
          </w:tcPr>
          <w:p>
            <w:pPr/>
          </w:p>
        </w:tc>
        <w:tc>
          <w:tcPr>
            <w:tcW w:w="1557" w:type="dxa"/>
            <w:tcBorders>
              <w:bottom w:val="single" w:sz="4" w:space="0" w:color="231F20"/>
            </w:tcBorders>
          </w:tcPr>
          <w:p>
            <w:pPr>
              <w:pStyle w:val="TableParagraph"/>
              <w:spacing w:line="229" w:lineRule="exact"/>
              <w:ind w:right="39"/>
              <w:rPr>
                <w:sz w:val="20"/>
              </w:rPr>
            </w:pPr>
            <w:r>
              <w:rPr>
                <w:color w:val="231F20"/>
                <w:sz w:val="20"/>
              </w:rPr>
              <w:t>19</w:t>
            </w:r>
          </w:p>
        </w:tc>
        <w:tc>
          <w:tcPr>
            <w:tcW w:w="100" w:type="dxa"/>
          </w:tcPr>
          <w:p>
            <w:pPr/>
          </w:p>
        </w:tc>
        <w:tc>
          <w:tcPr>
            <w:tcW w:w="1640" w:type="dxa"/>
            <w:tcBorders>
              <w:bottom w:val="single" w:sz="4" w:space="0" w:color="231F20"/>
            </w:tcBorders>
          </w:tcPr>
          <w:p>
            <w:pPr>
              <w:pStyle w:val="TableParagraph"/>
              <w:spacing w:line="229" w:lineRule="exact"/>
              <w:ind w:right="39"/>
              <w:rPr>
                <w:sz w:val="20"/>
              </w:rPr>
            </w:pPr>
            <w:r>
              <w:rPr>
                <w:color w:val="231F20"/>
                <w:sz w:val="20"/>
              </w:rPr>
              <w:t>29</w:t>
            </w:r>
          </w:p>
        </w:tc>
      </w:tr>
      <w:tr>
        <w:trPr>
          <w:trHeight w:val="320" w:hRule="exact"/>
        </w:trPr>
        <w:tc>
          <w:tcPr>
            <w:tcW w:w="4133" w:type="dxa"/>
          </w:tcPr>
          <w:p>
            <w:pPr>
              <w:pStyle w:val="TableParagraph"/>
              <w:spacing w:before="58"/>
              <w:ind w:right="49"/>
              <w:rPr>
                <w:sz w:val="20"/>
              </w:rPr>
            </w:pPr>
            <w:r>
              <w:rPr>
                <w:color w:val="231F20"/>
                <w:sz w:val="20"/>
              </w:rPr>
              <w:t>Total  . . . . . . . . . . . . . . . . . . . . . . . . . . . . . . . . . </w:t>
            </w:r>
          </w:p>
        </w:tc>
        <w:tc>
          <w:tcPr>
            <w:tcW w:w="1640" w:type="dxa"/>
            <w:tcBorders>
              <w:top w:val="single" w:sz="4" w:space="0" w:color="231F20"/>
            </w:tcBorders>
          </w:tcPr>
          <w:p>
            <w:pPr>
              <w:pStyle w:val="TableParagraph"/>
              <w:tabs>
                <w:tab w:pos="1219" w:val="left" w:leader="none"/>
              </w:tabs>
              <w:spacing w:before="53"/>
              <w:ind w:right="39"/>
              <w:rPr>
                <w:sz w:val="20"/>
              </w:rPr>
            </w:pPr>
            <w:r>
              <w:rPr>
                <w:color w:val="231F20"/>
                <w:sz w:val="20"/>
              </w:rPr>
              <w:t>$</w:t>
              <w:tab/>
              <w:t>252</w:t>
            </w:r>
          </w:p>
        </w:tc>
        <w:tc>
          <w:tcPr>
            <w:tcW w:w="100" w:type="dxa"/>
          </w:tcPr>
          <w:p>
            <w:pPr/>
          </w:p>
        </w:tc>
        <w:tc>
          <w:tcPr>
            <w:tcW w:w="1557" w:type="dxa"/>
            <w:tcBorders>
              <w:top w:val="single" w:sz="4" w:space="0" w:color="231F20"/>
            </w:tcBorders>
          </w:tcPr>
          <w:p>
            <w:pPr>
              <w:pStyle w:val="TableParagraph"/>
              <w:spacing w:before="53"/>
              <w:ind w:right="39"/>
              <w:rPr>
                <w:sz w:val="20"/>
              </w:rPr>
            </w:pPr>
            <w:r>
              <w:rPr>
                <w:color w:val="231F20"/>
                <w:sz w:val="20"/>
              </w:rPr>
              <w:t>15</w:t>
            </w:r>
          </w:p>
        </w:tc>
        <w:tc>
          <w:tcPr>
            <w:tcW w:w="100" w:type="dxa"/>
          </w:tcPr>
          <w:p>
            <w:pPr/>
          </w:p>
        </w:tc>
        <w:tc>
          <w:tcPr>
            <w:tcW w:w="1640" w:type="dxa"/>
            <w:tcBorders>
              <w:top w:val="single" w:sz="4" w:space="0" w:color="231F20"/>
              <w:bottom w:val="single" w:sz="4" w:space="0" w:color="231F20"/>
            </w:tcBorders>
          </w:tcPr>
          <w:p>
            <w:pPr>
              <w:pStyle w:val="TableParagraph"/>
              <w:tabs>
                <w:tab w:pos="1319" w:val="left" w:leader="none"/>
              </w:tabs>
              <w:spacing w:before="53"/>
              <w:ind w:right="39"/>
              <w:rPr>
                <w:sz w:val="20"/>
              </w:rPr>
            </w:pPr>
            <w:r>
              <w:rPr>
                <w:color w:val="231F20"/>
                <w:sz w:val="20"/>
              </w:rPr>
              <w:t>$</w:t>
              <w:tab/>
              <w:t>86</w:t>
            </w:r>
          </w:p>
        </w:tc>
      </w:tr>
      <w:tr>
        <w:trPr>
          <w:trHeight w:val="160" w:hRule="exact"/>
        </w:trPr>
        <w:tc>
          <w:tcPr>
            <w:tcW w:w="4133" w:type="dxa"/>
            <w:tcBorders>
              <w:bottom w:val="single" w:sz="4" w:space="0" w:color="231F20"/>
            </w:tcBorders>
          </w:tcPr>
          <w:p>
            <w:pPr/>
          </w:p>
        </w:tc>
        <w:tc>
          <w:tcPr>
            <w:tcW w:w="1640" w:type="dxa"/>
          </w:tcPr>
          <w:p>
            <w:pPr/>
          </w:p>
        </w:tc>
        <w:tc>
          <w:tcPr>
            <w:tcW w:w="100" w:type="dxa"/>
          </w:tcPr>
          <w:p>
            <w:pPr/>
          </w:p>
        </w:tc>
        <w:tc>
          <w:tcPr>
            <w:tcW w:w="1557" w:type="dxa"/>
          </w:tcPr>
          <w:p>
            <w:pPr/>
          </w:p>
        </w:tc>
        <w:tc>
          <w:tcPr>
            <w:tcW w:w="100" w:type="dxa"/>
          </w:tcPr>
          <w:p>
            <w:pPr/>
          </w:p>
        </w:tc>
        <w:tc>
          <w:tcPr>
            <w:tcW w:w="1640" w:type="dxa"/>
            <w:tcBorders>
              <w:top w:val="single" w:sz="4" w:space="0" w:color="231F20"/>
            </w:tcBorders>
          </w:tcPr>
          <w:p>
            <w:pPr/>
          </w:p>
        </w:tc>
      </w:tr>
    </w:tbl>
    <w:p>
      <w:pPr>
        <w:pStyle w:val="BodyText"/>
        <w:spacing w:before="48"/>
        <w:ind w:left="160"/>
      </w:pPr>
      <w:r>
        <w:rPr/>
        <w:pict>
          <v:line style="position:absolute;mso-position-horizontal-relative:page;mso-position-vertical-relative:paragraph;z-index:-331888" from="273.149994pt,-8.514063pt" to="355.149994pt,-8.514063pt" stroked="true" strokeweight=".5pt" strokecolor="#231f20">
            <v:stroke dashstyle="solid"/>
            <w10:wrap type="none"/>
          </v:line>
        </w:pict>
      </w:r>
      <w:r>
        <w:rPr/>
        <w:pict>
          <v:line style="position:absolute;mso-position-horizontal-relative:page;mso-position-vertical-relative:paragraph;z-index:-331864" from="360.149994pt,-8.514063pt" to="437.999994pt,-8.514063pt" stroked="true" strokeweight=".5pt" strokecolor="#231f20">
            <v:stroke dashstyle="solid"/>
            <w10:wrap type="none"/>
          </v:line>
        </w:pict>
      </w:r>
      <w:r>
        <w:rPr>
          <w:color w:val="231F20"/>
        </w:rPr>
        <w:t>(1)   Useful life of leased slots is based on the stated lease term.</w:t>
      </w:r>
    </w:p>
    <w:p>
      <w:pPr>
        <w:pStyle w:val="BodyText"/>
        <w:rPr>
          <w:sz w:val="23"/>
        </w:rPr>
      </w:pPr>
    </w:p>
    <w:p>
      <w:pPr>
        <w:pStyle w:val="BodyText"/>
        <w:spacing w:line="249" w:lineRule="auto"/>
        <w:ind w:left="160" w:right="174" w:firstLine="490"/>
      </w:pPr>
      <w:r>
        <w:rPr>
          <w:color w:val="231F20"/>
        </w:rPr>
        <w:t>During fourth quarter 2013, following the Company’s acquisition of additional slots at New York’s LaGuardia Airport, the Company made the determination that all of its owned domestic slots should be assigned an indefinite life and would thus not be subject to further amortization, including those that are owned but leased</w:t>
      </w:r>
    </w:p>
    <w:p>
      <w:pPr>
        <w:spacing w:after="0" w:line="249" w:lineRule="auto"/>
        <w:sectPr>
          <w:footerReference w:type="default" r:id="rId34"/>
          <w:pgSz w:w="11880" w:h="15480"/>
          <w:pgMar w:footer="1253" w:header="0" w:top="1240" w:bottom="1440" w:left="1220" w:right="1280"/>
          <w:pgNumType w:start="83"/>
        </w:sectPr>
      </w:pPr>
    </w:p>
    <w:p>
      <w:pPr>
        <w:pStyle w:val="BodyText"/>
        <w:spacing w:line="249" w:lineRule="auto" w:before="73"/>
        <w:ind w:left="100" w:right="188"/>
      </w:pPr>
      <w:r>
        <w:rPr>
          <w:color w:val="231F20"/>
        </w:rPr>
        <w:t>to other carriers. Among other factors, this was due to the Company’s reassessment of the current size and importance of its operations at New York’s LaGuardia Airport and Washington’s Ronald Reagan National Airport versus when the Company first began service to these airports in recent years. The impact of this prospective change in accounting estimate is immaterial. Also, as part of this change, the Company evaluated its previously owned domestic slots for impairment, but none was noted.</w:t>
      </w:r>
    </w:p>
    <w:p>
      <w:pPr>
        <w:pStyle w:val="BodyText"/>
        <w:spacing w:before="10"/>
      </w:pPr>
    </w:p>
    <w:p>
      <w:pPr>
        <w:pStyle w:val="BodyText"/>
        <w:spacing w:line="249" w:lineRule="auto" w:before="1"/>
        <w:ind w:left="100" w:right="109" w:firstLine="490"/>
      </w:pPr>
      <w:r>
        <w:rPr>
          <w:color w:val="231F20"/>
        </w:rPr>
        <w:t>The aggregate amortization expense for 2013, 2012, and 2011 was $19 million, $25 million, and $50 million, respectively. Estimated aggregate amortization expense for the five succeeding years and thereafter is as follows: 2014 – $13 million, 2015 – $11 million, 2016 – $8 million, 2017 – $5 million, 2018 – $5 million, and thereafter – $31 million.</w:t>
      </w:r>
    </w:p>
    <w:p>
      <w:pPr>
        <w:pStyle w:val="BodyText"/>
        <w:spacing w:before="4"/>
        <w:rPr>
          <w:sz w:val="31"/>
        </w:rPr>
      </w:pPr>
    </w:p>
    <w:p>
      <w:pPr>
        <w:pStyle w:val="Heading4"/>
        <w:rPr>
          <w:i/>
        </w:rPr>
      </w:pPr>
      <w:r>
        <w:rPr>
          <w:i/>
          <w:color w:val="231F20"/>
        </w:rPr>
        <w:t>Revenue recognition</w:t>
      </w:r>
    </w:p>
    <w:p>
      <w:pPr>
        <w:pStyle w:val="BodyText"/>
        <w:spacing w:line="249" w:lineRule="auto" w:before="129"/>
        <w:ind w:left="100" w:right="97" w:firstLine="490"/>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once the scheduled flight date has passed. Prior to September 13, 2013, funds associated with tickets in which a passenger did not show up for a flight without canceling were able to be reused on another flight for up to twelve months. On September 13, 2013, Southwest implemented a No Show policy that applies to nonrefundable fares that are not canceled or changed by a Customer at least ten minutes prior to a flight’s scheduled departure. Based on the Company’s revenue recognition policy, revenue is now recorded at the flight date for a Customer who does not change his/her itinerary and loses his/her funds. This change in Company policy did not have a significant impact on the amount of spoilage revenue recorded during 2013 or the Company’s estimate of the amount of spoilage it expects to record in future periods. Amounts collected from passengers for ancillary services such as baggage and other fees are generally recognized as Other revenue when the service is provided, which is typically the flight date.</w:t>
      </w:r>
    </w:p>
    <w:p>
      <w:pPr>
        <w:pStyle w:val="BodyText"/>
        <w:spacing w:before="10"/>
      </w:pPr>
    </w:p>
    <w:p>
      <w:pPr>
        <w:pStyle w:val="BodyText"/>
        <w:spacing w:line="249" w:lineRule="auto" w:before="1"/>
        <w:ind w:left="100" w:firstLine="490"/>
      </w:pPr>
      <w:r>
        <w:rPr>
          <w:color w:val="231F20"/>
        </w:rPr>
        <w:t>The Company is also required to collect certain taxes and fees from Customers on behalf of government agencies and remit these back to the applicable governmental entity on a periodic basis. These taxes and fees include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4"/>
        <w:rPr>
          <w:sz w:val="31"/>
        </w:rPr>
      </w:pPr>
    </w:p>
    <w:p>
      <w:pPr>
        <w:pStyle w:val="Heading4"/>
        <w:rPr>
          <w:i/>
        </w:rPr>
      </w:pPr>
      <w:r>
        <w:rPr>
          <w:i/>
          <w:color w:val="231F20"/>
        </w:rPr>
        <w:t>Frequent flyer programs</w:t>
      </w:r>
    </w:p>
    <w:p>
      <w:pPr>
        <w:pStyle w:val="BodyText"/>
        <w:spacing w:line="249" w:lineRule="auto" w:before="129"/>
        <w:ind w:left="100" w:right="360" w:firstLine="490"/>
      </w:pPr>
      <w:r>
        <w:rPr>
          <w:color w:val="231F20"/>
        </w:rPr>
        <w:t>The Company records a liability for the estimated incremental cost of providing free travel under its frequent flyer programs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spacing w:before="10"/>
      </w:pPr>
    </w:p>
    <w:p>
      <w:pPr>
        <w:pStyle w:val="BodyText"/>
        <w:spacing w:line="249" w:lineRule="auto" w:before="1"/>
        <w:ind w:left="100" w:right="99" w:firstLine="490"/>
      </w:pPr>
      <w:r>
        <w:rPr>
          <w:color w:val="231F20"/>
        </w:rPr>
        <w:t>Southwest and AirTran also sell frequent flyer points and related services to companies participating in their respective frequent flyer programs. Funds received from the sale of these points are accounted for using the residual method. Under this method, the Company determined the portion of funds received that relate to free travel were currently estimated to be 100 percent of the amount received under both Southwest’s Rapid Reward program and under AirTran’s A+ Reward program as of December 31, 2013. These amounts are deferred and recognized as Passenger revenue when the ultimate free travel awards are flown. In periods in which less than 100 percent of funds received are apportioned to free travel, the remainder of the amount received per point sold (the residual), which is not associated with future travel, includes items such as access to the Company’s</w:t>
      </w:r>
      <w:r>
        <w:rPr>
          <w:color w:val="231F20"/>
          <w:spacing w:val="10"/>
        </w:rPr>
        <w:t> </w:t>
      </w:r>
      <w:r>
        <w:rPr>
          <w:color w:val="231F20"/>
        </w:rPr>
        <w:t>frequent</w:t>
      </w:r>
    </w:p>
    <w:p>
      <w:pPr>
        <w:spacing w:after="0" w:line="249" w:lineRule="auto"/>
        <w:sectPr>
          <w:pgSz w:w="11880" w:h="15480"/>
          <w:pgMar w:header="0" w:footer="1253" w:top="1240" w:bottom="1440" w:left="1280" w:right="1300"/>
        </w:sectPr>
      </w:pPr>
    </w:p>
    <w:p>
      <w:pPr>
        <w:pStyle w:val="BodyText"/>
        <w:spacing w:line="249" w:lineRule="auto" w:before="73"/>
        <w:ind w:left="100" w:right="146"/>
      </w:pPr>
      <w:r>
        <w:rPr>
          <w:color w:val="231F20"/>
        </w:rPr>
        <w:t>flyer program population for marketing/solicitation purposes on a monthly or quarterly basis, use of the Company’s logo on co-branded credit cards, and other trademarks, designs, images, etc. of the Company for use in marketing materials. This residual portion is recognized in Other revenue in the period earned, which the Company has determined is the period in which it has fulfilled its obligation under the executed contract with the particular business partner, which is on a monthly or quarterly basis, upon sale, as the related marketing services are performed or provided. For all points sold to business partners that are expected to expire unused, the Company recognizes spoilage in accordance with the redemption method. Southwest and AirTran’s consolidated liability associated with the sale of frequent flyer points and/or flight credits, was approximately $1.1 billion as of December 31, 2013. This liability is included as part of Air Traffic liability in the Company’s Consolidated Balance Sheet, based on current expectations of redemption patterns over the next twelve</w:t>
      </w:r>
      <w:r>
        <w:rPr>
          <w:color w:val="231F20"/>
          <w:spacing w:val="6"/>
        </w:rPr>
        <w:t> </w:t>
      </w:r>
      <w:r>
        <w:rPr>
          <w:color w:val="231F20"/>
        </w:rPr>
        <w:t>months.</w:t>
      </w:r>
    </w:p>
    <w:p>
      <w:pPr>
        <w:pStyle w:val="BodyText"/>
        <w:spacing w:before="6"/>
        <w:rPr>
          <w:sz w:val="23"/>
        </w:rPr>
      </w:pPr>
    </w:p>
    <w:p>
      <w:pPr>
        <w:pStyle w:val="BodyText"/>
        <w:spacing w:line="249" w:lineRule="auto"/>
        <w:ind w:left="100" w:right="114" w:firstLine="490"/>
      </w:pPr>
      <w:r>
        <w:rPr>
          <w:color w:val="231F20"/>
        </w:rPr>
        <w:t>In March 2011, Southwest re-launched its Rapid Rewards frequent flyer program. As part of Southwest’s transition to the current program, the Company did not convert members’ account balances under the previous program, but allowed members to continue to redeem those balances for award travel under the prior program rules for a period of time. The transition method used by the Company in moving members to the current program resulted in no material changes in the Company’s estimation of its existing frequent flyer liabilities as of the launch date. Although the current program is still relatively new and the Company does expect a reduction in the amount of spoilage associated with points earned within the program compared to its previous program; thus far, the impact of this expected reduction has not been</w:t>
      </w:r>
      <w:r>
        <w:rPr>
          <w:color w:val="231F20"/>
          <w:spacing w:val="5"/>
        </w:rPr>
        <w:t> </w:t>
      </w:r>
      <w:r>
        <w:rPr>
          <w:color w:val="231F20"/>
        </w:rPr>
        <w:t>material.</w:t>
      </w:r>
    </w:p>
    <w:p>
      <w:pPr>
        <w:pStyle w:val="BodyText"/>
        <w:rPr>
          <w:sz w:val="22"/>
        </w:rPr>
      </w:pPr>
    </w:p>
    <w:p>
      <w:pPr>
        <w:pStyle w:val="Heading4"/>
        <w:spacing w:before="152"/>
        <w:rPr>
          <w:i/>
        </w:rPr>
      </w:pPr>
      <w:r>
        <w:rPr>
          <w:i/>
          <w:color w:val="231F20"/>
        </w:rPr>
        <w:t>Advertising</w:t>
      </w:r>
    </w:p>
    <w:p>
      <w:pPr>
        <w:pStyle w:val="BodyText"/>
        <w:spacing w:line="249" w:lineRule="auto" w:before="144"/>
        <w:ind w:left="100" w:right="224" w:firstLine="490"/>
      </w:pPr>
      <w:r>
        <w:rPr>
          <w:color w:val="231F20"/>
        </w:rPr>
        <w:t>Advertising costs are charged to expense as incurred. Advertising and promotions expense for the years ended December 31, 2013, 2012, and 2011 was $208 million, $223 million, and $237 million, respectively, and is included as a component of Other operating expense in the accompanying Consolidated Statement of Income.</w:t>
      </w:r>
    </w:p>
    <w:p>
      <w:pPr>
        <w:pStyle w:val="BodyText"/>
        <w:rPr>
          <w:sz w:val="22"/>
        </w:rPr>
      </w:pPr>
    </w:p>
    <w:p>
      <w:pPr>
        <w:pStyle w:val="Heading4"/>
        <w:spacing w:before="153"/>
        <w:rPr>
          <w:i/>
        </w:rPr>
      </w:pPr>
      <w:r>
        <w:rPr>
          <w:i/>
          <w:color w:val="231F20"/>
        </w:rPr>
        <w:t>Share-based Employee compensation</w:t>
      </w:r>
    </w:p>
    <w:p>
      <w:pPr>
        <w:pStyle w:val="BodyText"/>
        <w:spacing w:line="249" w:lineRule="auto" w:before="145"/>
        <w:ind w:left="100" w:right="280" w:firstLine="490"/>
      </w:pPr>
      <w:r>
        <w:rPr>
          <w:color w:val="231F20"/>
        </w:rPr>
        <w:t>The Company has share-based compensation plans covering several of its Employee groups, including plans covering the Company’s Board of Directors. The Company accounts for share-based compensation based on its grant date fair value. See Note 14.</w:t>
      </w:r>
    </w:p>
    <w:p>
      <w:pPr>
        <w:pStyle w:val="BodyText"/>
        <w:rPr>
          <w:sz w:val="22"/>
        </w:rPr>
      </w:pPr>
    </w:p>
    <w:p>
      <w:pPr>
        <w:pStyle w:val="Heading4"/>
        <w:spacing w:before="153"/>
        <w:rPr>
          <w:i/>
        </w:rPr>
      </w:pPr>
      <w:r>
        <w:rPr>
          <w:i/>
          <w:color w:val="231F20"/>
        </w:rPr>
        <w:t>Financial derivative instruments</w:t>
      </w:r>
    </w:p>
    <w:p>
      <w:pPr>
        <w:pStyle w:val="BodyText"/>
        <w:spacing w:line="249" w:lineRule="auto" w:before="145"/>
        <w:ind w:left="100" w:right="103" w:firstLine="490"/>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and fixed-price  swap agreements, and upon proper qualification are accounted for as cash-flow hedges. The Company also has interest rate swap agreements to convert a portion of its fixed-rate debt to floating rates and, including instruments acquired from AirTran, has swap agreements that convert certain floating-rate debt to a</w:t>
      </w:r>
      <w:r>
        <w:rPr>
          <w:color w:val="231F20"/>
          <w:spacing w:val="13"/>
        </w:rPr>
        <w:t> </w:t>
      </w:r>
      <w:r>
        <w:rPr>
          <w:color w:val="231F20"/>
        </w:rPr>
        <w:t>fixed-rate.</w:t>
      </w:r>
    </w:p>
    <w:p>
      <w:pPr>
        <w:pStyle w:val="BodyText"/>
        <w:spacing w:before="1"/>
        <w:ind w:left="100"/>
      </w:pPr>
      <w:r>
        <w:rPr>
          <w:color w:val="231F20"/>
        </w:rPr>
        <w:t>These interest rate hedges are appropriately designated as either fair value hedges or as cash flow hedges.</w:t>
      </w:r>
    </w:p>
    <w:p>
      <w:pPr>
        <w:pStyle w:val="BodyText"/>
        <w:spacing w:before="3"/>
        <w:rPr>
          <w:sz w:val="24"/>
        </w:rPr>
      </w:pPr>
    </w:p>
    <w:p>
      <w:pPr>
        <w:pStyle w:val="BodyText"/>
        <w:spacing w:line="249" w:lineRule="auto"/>
        <w:ind w:left="100" w:right="129" w:firstLine="490"/>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spacing w:after="0" w:line="249" w:lineRule="auto"/>
        <w:sectPr>
          <w:pgSz w:w="11880" w:h="15480"/>
          <w:pgMar w:header="0" w:footer="1253" w:top="1240" w:bottom="1440" w:left="1280" w:right="1280"/>
        </w:sectPr>
      </w:pPr>
    </w:p>
    <w:p>
      <w:pPr>
        <w:pStyle w:val="BodyText"/>
        <w:spacing w:line="249" w:lineRule="auto" w:before="73"/>
        <w:ind w:left="100" w:right="96" w:firstLine="490"/>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line="249" w:lineRule="auto" w:before="187"/>
        <w:ind w:left="100" w:right="108" w:firstLine="490"/>
      </w:pPr>
      <w:r>
        <w:rPr>
          <w:color w:val="231F20"/>
        </w:rPr>
        <w:t>The Company classifies its cash collateral provided to or held from counterparties in a “net” presentation on the Consolidated Balance Sheet against the fair value of the derivative positions with those counterparties. See Note 10 for further</w:t>
      </w:r>
      <w:r>
        <w:rPr>
          <w:color w:val="231F20"/>
          <w:spacing w:val="1"/>
        </w:rPr>
        <w:t> </w:t>
      </w:r>
      <w:r>
        <w:rPr>
          <w:color w:val="231F20"/>
        </w:rPr>
        <w:t>information.</w:t>
      </w:r>
    </w:p>
    <w:p>
      <w:pPr>
        <w:pStyle w:val="BodyText"/>
        <w:spacing w:before="4"/>
        <w:rPr>
          <w:sz w:val="24"/>
        </w:rPr>
      </w:pPr>
    </w:p>
    <w:p>
      <w:pPr>
        <w:pStyle w:val="Heading4"/>
        <w:rPr>
          <w:i/>
        </w:rPr>
      </w:pPr>
      <w:r>
        <w:rPr>
          <w:i/>
          <w:color w:val="231F20"/>
        </w:rPr>
        <w:t>Software capitalization</w:t>
      </w:r>
    </w:p>
    <w:p>
      <w:pPr>
        <w:pStyle w:val="BodyText"/>
        <w:spacing w:line="249" w:lineRule="auto" w:before="102"/>
        <w:ind w:left="100" w:right="113" w:firstLine="490"/>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typically ranges from five to fifteen years. Costs incurred during the preliminary project or the post-implementation/operation stages of the project are expensed as incurred. Capitalized computer software, included as a component of Ground property and equipment in the accompanying Consolidated Balance Sheet, net of accumulated depreciation, was $357 million and $256 million at December 31, 2013, and 2012, respectively. Computer software depreciation expense was $90 million, $59 million, and $55 million for the years ended December 31, 2013, 2012, and 2011, respectively, and is included as a component of Depreciation and amortization expense in the accompanying Consolidated Statement of Income.</w:t>
      </w:r>
    </w:p>
    <w:p>
      <w:pPr>
        <w:pStyle w:val="BodyText"/>
        <w:spacing w:before="3"/>
        <w:rPr>
          <w:sz w:val="24"/>
        </w:rPr>
      </w:pPr>
    </w:p>
    <w:p>
      <w:pPr>
        <w:pStyle w:val="Heading4"/>
        <w:rPr>
          <w:i/>
        </w:rPr>
      </w:pPr>
      <w:r>
        <w:rPr>
          <w:i/>
          <w:color w:val="231F20"/>
        </w:rPr>
        <w:t>Income taxes</w:t>
      </w:r>
    </w:p>
    <w:p>
      <w:pPr>
        <w:pStyle w:val="BodyText"/>
        <w:spacing w:line="249" w:lineRule="auto" w:before="102"/>
        <w:ind w:left="100" w:right="163" w:firstLine="490"/>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line="249" w:lineRule="auto" w:before="186"/>
        <w:ind w:left="100" w:right="162" w:firstLine="490"/>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spacing w:before="3"/>
        <w:rPr>
          <w:sz w:val="24"/>
        </w:rPr>
      </w:pPr>
    </w:p>
    <w:p>
      <w:pPr>
        <w:pStyle w:val="Heading4"/>
        <w:rPr>
          <w:i/>
        </w:rPr>
      </w:pPr>
      <w:r>
        <w:rPr>
          <w:i/>
          <w:color w:val="231F20"/>
        </w:rPr>
        <w:t>Concentration risk</w:t>
      </w:r>
    </w:p>
    <w:p>
      <w:pPr>
        <w:pStyle w:val="BodyText"/>
        <w:spacing w:line="249" w:lineRule="auto" w:before="102"/>
        <w:ind w:left="100" w:right="107" w:firstLine="490"/>
      </w:pPr>
      <w:r>
        <w:rPr>
          <w:color w:val="231F20"/>
        </w:rPr>
        <w:t>Approximately 83 percent of the Company’s full-time equivalent Employees are unionized and are covered by collective bargaining agreements. The Company manages this risk by maintaining positive relationships with its Employees and its Employees’ Representatives. Substantially all of the Company’s unionized Employees, including its Pilots, Mechanics, Customer Service Agents and Customer Representatives, Ramp, Operations, Provisioning, and Freight Agents, Flight Attendants, Materials Specialists, Flight Simulator Technicians, and Facilities Maintenance Technicians are in discussions on labor agreements. These Employee groups represent approximately 82 percent of the Company’s full-time equivalent Employees as of December 31, 2013.</w:t>
      </w:r>
    </w:p>
    <w:p>
      <w:pPr>
        <w:pStyle w:val="BodyText"/>
        <w:spacing w:line="249" w:lineRule="auto" w:before="186"/>
        <w:ind w:left="100" w:right="169" w:firstLine="49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spacing w:after="0" w:line="249" w:lineRule="auto"/>
        <w:jc w:val="both"/>
        <w:sectPr>
          <w:pgSz w:w="11880" w:h="15480"/>
          <w:pgMar w:header="0" w:footer="1253" w:top="1240" w:bottom="1440" w:left="1280" w:right="1280"/>
        </w:sectPr>
      </w:pPr>
    </w:p>
    <w:p>
      <w:pPr>
        <w:pStyle w:val="BodyText"/>
        <w:spacing w:line="249" w:lineRule="auto" w:before="73"/>
        <w:ind w:left="100" w:right="113" w:firstLine="490"/>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 information.</w:t>
      </w:r>
    </w:p>
    <w:p>
      <w:pPr>
        <w:pStyle w:val="BodyText"/>
        <w:spacing w:before="10"/>
      </w:pPr>
    </w:p>
    <w:p>
      <w:pPr>
        <w:pStyle w:val="BodyText"/>
        <w:spacing w:line="249" w:lineRule="auto" w:before="1"/>
        <w:ind w:left="100" w:right="133" w:firstLine="490"/>
      </w:pPr>
      <w:r>
        <w:rPr>
          <w:color w:val="231F20"/>
        </w:rPr>
        <w:t>The Company currently operates an all-Boeing fleet, the majority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or Boeing 717 aircraft type, whether as a result of downtime for part or all of the Company’s fleet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12"/>
        </w:rPr>
        <w:t> </w:t>
      </w:r>
      <w:r>
        <w:rPr>
          <w:color w:val="231F20"/>
        </w:rPr>
        <w:t>parts.</w:t>
      </w:r>
    </w:p>
    <w:p>
      <w:pPr>
        <w:pStyle w:val="BodyText"/>
        <w:spacing w:before="11"/>
      </w:pPr>
    </w:p>
    <w:p>
      <w:pPr>
        <w:pStyle w:val="BodyText"/>
        <w:spacing w:line="249" w:lineRule="auto"/>
        <w:ind w:left="100" w:right="129" w:firstLine="490"/>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 agreements.</w:t>
      </w:r>
    </w:p>
    <w:p>
      <w:pPr>
        <w:pStyle w:val="BodyText"/>
        <w:spacing w:before="4"/>
        <w:rPr>
          <w:sz w:val="31"/>
        </w:rPr>
      </w:pPr>
    </w:p>
    <w:p>
      <w:pPr>
        <w:pStyle w:val="ListParagraph"/>
        <w:numPr>
          <w:ilvl w:val="0"/>
          <w:numId w:val="11"/>
        </w:numPr>
        <w:tabs>
          <w:tab w:pos="300" w:val="left" w:leader="none"/>
        </w:tabs>
        <w:spacing w:line="240" w:lineRule="auto" w:before="0" w:after="0"/>
        <w:ind w:left="300" w:right="0" w:hanging="200"/>
        <w:jc w:val="left"/>
        <w:rPr>
          <w:b/>
          <w:sz w:val="20"/>
        </w:rPr>
      </w:pPr>
      <w:r>
        <w:rPr>
          <w:b/>
          <w:color w:val="231F20"/>
          <w:sz w:val="20"/>
        </w:rPr>
        <w:t>AIRTRAN ACQUISITION AND RELATED</w:t>
      </w:r>
      <w:r>
        <w:rPr>
          <w:b/>
          <w:color w:val="231F20"/>
          <w:spacing w:val="-10"/>
          <w:sz w:val="20"/>
        </w:rPr>
        <w:t> </w:t>
      </w:r>
      <w:r>
        <w:rPr>
          <w:b/>
          <w:color w:val="231F20"/>
          <w:sz w:val="20"/>
        </w:rPr>
        <w:t>MATTERS</w:t>
      </w:r>
    </w:p>
    <w:p>
      <w:pPr>
        <w:pStyle w:val="Heading4"/>
        <w:spacing w:before="129"/>
        <w:rPr>
          <w:i/>
        </w:rPr>
      </w:pPr>
      <w:r>
        <w:rPr>
          <w:i/>
          <w:color w:val="231F20"/>
        </w:rPr>
        <w:t>Expenses related to the AirTran acquisition and integration</w:t>
      </w:r>
    </w:p>
    <w:p>
      <w:pPr>
        <w:pStyle w:val="BodyText"/>
        <w:spacing w:line="249" w:lineRule="auto" w:before="129"/>
        <w:ind w:left="100" w:right="108" w:firstLine="490"/>
      </w:pPr>
      <w:r>
        <w:rPr>
          <w:color w:val="231F20"/>
        </w:rPr>
        <w:t>The Company has incurred and expects to continue to incur substantial Acquisition and integration expenses in connection with the AirTran acquisition, including the necessary costs associated with integrating the operations of the two companies. While the Company has assumed that a certain level of expenses will be incurred, there are many factors that could affect the total amount or the timing of these expenses, and many of the expenses that will be incurred are, by their nature, difficult to estimate. In some periods, these expenses have exceeded the estimated financial benefits that the Company achieved from the AirTran acquisition and the remaining integration of the companies could continue to result in the Company taking significant charges against earnings. The Company incurred acquisition and integration-related costs for the years</w:t>
      </w:r>
      <w:r>
        <w:rPr>
          <w:color w:val="231F20"/>
          <w:spacing w:val="11"/>
        </w:rPr>
        <w:t> </w:t>
      </w:r>
      <w:r>
        <w:rPr>
          <w:color w:val="231F20"/>
        </w:rPr>
        <w:t>ended</w:t>
      </w:r>
    </w:p>
    <w:p>
      <w:pPr>
        <w:pStyle w:val="BodyText"/>
        <w:spacing w:line="249" w:lineRule="auto"/>
        <w:ind w:left="100" w:right="213"/>
      </w:pPr>
      <w:r>
        <w:rPr>
          <w:color w:val="231F20"/>
        </w:rPr>
        <w:t>December 31, 2013, 2012, and 2011, of $86 million, $183 million, and $134 million, respectively, primarily consisting of costs associated with the lease and sublease of AirTran’s Boeing 717-200 fleet, consulting, Employee training, seniority integration, financial advisory fees, severance, technology integration projects, and facility integration expenses. In the Consolidated Statement of Income, these costs are classified as Acquisition and integration expenses.</w:t>
      </w:r>
    </w:p>
    <w:p>
      <w:pPr>
        <w:spacing w:after="0" w:line="249" w:lineRule="auto"/>
        <w:sectPr>
          <w:pgSz w:w="11880" w:h="15480"/>
          <w:pgMar w:header="0" w:footer="1253" w:top="1240" w:bottom="1440" w:left="1280" w:right="1280"/>
        </w:sectPr>
      </w:pPr>
    </w:p>
    <w:p>
      <w:pPr>
        <w:pStyle w:val="Heading4"/>
        <w:spacing w:before="73"/>
        <w:ind w:left="410"/>
        <w:rPr>
          <w:i/>
        </w:rPr>
      </w:pPr>
      <w:r>
        <w:rPr>
          <w:i/>
          <w:color w:val="231F20"/>
        </w:rPr>
        <w:t>Pro forma impact of the acquisition</w:t>
      </w:r>
    </w:p>
    <w:p>
      <w:pPr>
        <w:pStyle w:val="BodyText"/>
        <w:spacing w:line="249" w:lineRule="auto" w:before="107"/>
        <w:ind w:left="160" w:right="148" w:firstLine="490"/>
      </w:pPr>
      <w:r>
        <w:rPr>
          <w:color w:val="231F20"/>
        </w:rPr>
        <w:t>The unaudited pro forma results presented below include the effects of the AirTran acquisition as if it had been consummated as of January 1, 2011. The pro forma results include the amortization associated with estimates for the acquired intangible assets, fair value adjustments for deferred revenue, favorable/unfavorable leasehold interests, property and equipment, and long-term debt. In addition, the pro forma results do not include any anticipated synergies, or the assumption of hedge accounting for AirTran’s derivative instruments, or other expected benefits of the acquisition. Accordingly, the unaudited pro forma financial information below is not necessarily indicative of either future results of operations or results that might have been achieved had the acquisition been consummated as of January 1, 2011.</w:t>
      </w:r>
    </w:p>
    <w:p>
      <w:pPr>
        <w:pStyle w:val="BodyText"/>
        <w:spacing w:before="9" w:after="1"/>
        <w:rPr>
          <w:sz w:val="1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70"/>
        <w:gridCol w:w="1350"/>
      </w:tblGrid>
      <w:tr>
        <w:trPr>
          <w:trHeight w:val="488" w:hRule="exact"/>
        </w:trPr>
        <w:tc>
          <w:tcPr>
            <w:tcW w:w="5470" w:type="dxa"/>
          </w:tcPr>
          <w:p>
            <w:pPr/>
          </w:p>
        </w:tc>
        <w:tc>
          <w:tcPr>
            <w:tcW w:w="1350" w:type="dxa"/>
            <w:tcBorders>
              <w:bottom w:val="single" w:sz="8" w:space="0" w:color="231F20"/>
            </w:tcBorders>
          </w:tcPr>
          <w:p>
            <w:pPr>
              <w:pStyle w:val="TableParagraph"/>
              <w:spacing w:line="249" w:lineRule="auto"/>
              <w:ind w:left="65" w:right="98" w:firstLine="92"/>
              <w:jc w:val="left"/>
              <w:rPr>
                <w:b/>
                <w:sz w:val="20"/>
              </w:rPr>
            </w:pPr>
            <w:r>
              <w:rPr>
                <w:b/>
                <w:color w:val="231F20"/>
                <w:sz w:val="20"/>
              </w:rPr>
              <w:t>Year ended December 31,</w:t>
            </w:r>
          </w:p>
        </w:tc>
      </w:tr>
      <w:tr>
        <w:trPr>
          <w:trHeight w:val="280" w:hRule="exact"/>
        </w:trPr>
        <w:tc>
          <w:tcPr>
            <w:tcW w:w="5470" w:type="dxa"/>
            <w:tcBorders>
              <w:bottom w:val="single" w:sz="8" w:space="0" w:color="231F20"/>
            </w:tcBorders>
          </w:tcPr>
          <w:p>
            <w:pPr>
              <w:pStyle w:val="TableParagraph"/>
              <w:spacing w:before="23"/>
              <w:ind w:left="50"/>
              <w:jc w:val="left"/>
              <w:rPr>
                <w:sz w:val="20"/>
              </w:rPr>
            </w:pPr>
            <w:r>
              <w:rPr>
                <w:color w:val="231F20"/>
                <w:sz w:val="20"/>
              </w:rPr>
              <w:t>(in millions, except per share data)</w:t>
            </w:r>
          </w:p>
        </w:tc>
        <w:tc>
          <w:tcPr>
            <w:tcW w:w="1350" w:type="dxa"/>
            <w:tcBorders>
              <w:top w:val="single" w:sz="8" w:space="0" w:color="231F20"/>
              <w:bottom w:val="single" w:sz="8" w:space="0" w:color="231F20"/>
            </w:tcBorders>
          </w:tcPr>
          <w:p>
            <w:pPr>
              <w:pStyle w:val="TableParagraph"/>
              <w:spacing w:before="13"/>
              <w:ind w:left="450"/>
              <w:jc w:val="left"/>
              <w:rPr>
                <w:b/>
                <w:sz w:val="20"/>
              </w:rPr>
            </w:pPr>
            <w:r>
              <w:rPr>
                <w:b/>
                <w:color w:val="231F20"/>
                <w:sz w:val="20"/>
              </w:rPr>
              <w:t>2011</w:t>
            </w:r>
          </w:p>
        </w:tc>
      </w:tr>
      <w:tr>
        <w:trPr>
          <w:trHeight w:val="304" w:hRule="exact"/>
        </w:trPr>
        <w:tc>
          <w:tcPr>
            <w:tcW w:w="5470" w:type="dxa"/>
            <w:tcBorders>
              <w:top w:val="single" w:sz="8" w:space="0" w:color="231F20"/>
            </w:tcBorders>
          </w:tcPr>
          <w:p>
            <w:pPr>
              <w:pStyle w:val="TableParagraph"/>
              <w:spacing w:before="53"/>
              <w:ind w:left="50"/>
              <w:jc w:val="left"/>
              <w:rPr>
                <w:sz w:val="20"/>
              </w:rPr>
            </w:pPr>
            <w:r>
              <w:rPr>
                <w:color w:val="231F20"/>
                <w:sz w:val="20"/>
              </w:rPr>
              <w:t>Total operating revenues  . . . . . . . . . . . . . . . . . . . . . . . . . . . . . . . </w:t>
            </w:r>
          </w:p>
        </w:tc>
        <w:tc>
          <w:tcPr>
            <w:tcW w:w="1350" w:type="dxa"/>
            <w:tcBorders>
              <w:top w:val="single" w:sz="8" w:space="0" w:color="231F20"/>
            </w:tcBorders>
          </w:tcPr>
          <w:p>
            <w:pPr>
              <w:pStyle w:val="TableParagraph"/>
              <w:tabs>
                <w:tab w:pos="749" w:val="left" w:leader="none"/>
              </w:tabs>
              <w:spacing w:before="53"/>
              <w:ind w:right="48"/>
              <w:rPr>
                <w:sz w:val="20"/>
              </w:rPr>
            </w:pPr>
            <w:r>
              <w:rPr>
                <w:color w:val="231F20"/>
                <w:sz w:val="20"/>
              </w:rPr>
              <w:t>$</w:t>
              <w:tab/>
              <w:t>16,601</w:t>
            </w:r>
          </w:p>
        </w:tc>
      </w:tr>
      <w:tr>
        <w:trPr>
          <w:trHeight w:val="240" w:hRule="exact"/>
        </w:trPr>
        <w:tc>
          <w:tcPr>
            <w:tcW w:w="5470" w:type="dxa"/>
          </w:tcPr>
          <w:p>
            <w:pPr>
              <w:pStyle w:val="TableParagraph"/>
              <w:spacing w:line="229" w:lineRule="exact"/>
              <w:ind w:left="50"/>
              <w:jc w:val="left"/>
              <w:rPr>
                <w:sz w:val="20"/>
              </w:rPr>
            </w:pPr>
            <w:r>
              <w:rPr>
                <w:color w:val="231F20"/>
                <w:sz w:val="20"/>
              </w:rPr>
              <w:t>Net income   . . . . . . . . . . . . . . . . . . . . . . . . . . . . . . . . . . . . . . . . . </w:t>
            </w:r>
          </w:p>
        </w:tc>
        <w:tc>
          <w:tcPr>
            <w:tcW w:w="1350" w:type="dxa"/>
          </w:tcPr>
          <w:p>
            <w:pPr>
              <w:pStyle w:val="TableParagraph"/>
              <w:spacing w:line="229" w:lineRule="exact"/>
              <w:ind w:right="48"/>
              <w:rPr>
                <w:sz w:val="20"/>
              </w:rPr>
            </w:pPr>
            <w:r>
              <w:rPr>
                <w:color w:val="231F20"/>
                <w:sz w:val="20"/>
              </w:rPr>
              <w:t>160</w:t>
            </w:r>
          </w:p>
        </w:tc>
      </w:tr>
      <w:tr>
        <w:trPr>
          <w:trHeight w:val="240" w:hRule="exact"/>
        </w:trPr>
        <w:tc>
          <w:tcPr>
            <w:tcW w:w="5470" w:type="dxa"/>
          </w:tcPr>
          <w:p>
            <w:pPr>
              <w:pStyle w:val="TableParagraph"/>
              <w:spacing w:line="229" w:lineRule="exact"/>
              <w:ind w:left="50"/>
              <w:jc w:val="left"/>
              <w:rPr>
                <w:sz w:val="20"/>
              </w:rPr>
            </w:pPr>
            <w:r>
              <w:rPr>
                <w:color w:val="231F20"/>
                <w:sz w:val="20"/>
              </w:rPr>
              <w:t>Net income per share, basic . . . . . . . . . . . . . . . . . . . . . . . . . . . . . </w:t>
            </w:r>
          </w:p>
        </w:tc>
        <w:tc>
          <w:tcPr>
            <w:tcW w:w="1350" w:type="dxa"/>
          </w:tcPr>
          <w:p>
            <w:pPr>
              <w:pStyle w:val="TableParagraph"/>
              <w:spacing w:line="229" w:lineRule="exact"/>
              <w:ind w:right="48"/>
              <w:rPr>
                <w:sz w:val="20"/>
              </w:rPr>
            </w:pPr>
            <w:r>
              <w:rPr>
                <w:color w:val="231F20"/>
                <w:sz w:val="20"/>
              </w:rPr>
              <w:t>0.21</w:t>
            </w:r>
          </w:p>
        </w:tc>
      </w:tr>
      <w:tr>
        <w:trPr>
          <w:trHeight w:val="229" w:hRule="exact"/>
        </w:trPr>
        <w:tc>
          <w:tcPr>
            <w:tcW w:w="5470" w:type="dxa"/>
          </w:tcPr>
          <w:p>
            <w:pPr>
              <w:pStyle w:val="TableParagraph"/>
              <w:spacing w:line="229" w:lineRule="exact"/>
              <w:ind w:left="50"/>
              <w:jc w:val="left"/>
              <w:rPr>
                <w:sz w:val="20"/>
              </w:rPr>
            </w:pPr>
            <w:r>
              <w:rPr>
                <w:color w:val="231F20"/>
                <w:sz w:val="20"/>
              </w:rPr>
              <w:t>Net income per share, diluted  . . . . . . . . . . . . . . . . . . . . . . . . . . . </w:t>
            </w:r>
          </w:p>
        </w:tc>
        <w:tc>
          <w:tcPr>
            <w:tcW w:w="1350" w:type="dxa"/>
          </w:tcPr>
          <w:p>
            <w:pPr>
              <w:pStyle w:val="TableParagraph"/>
              <w:spacing w:line="229" w:lineRule="exact"/>
              <w:ind w:right="48"/>
              <w:rPr>
                <w:sz w:val="20"/>
              </w:rPr>
            </w:pPr>
            <w:r>
              <w:rPr>
                <w:color w:val="231F20"/>
                <w:sz w:val="20"/>
              </w:rPr>
              <w:t>0.21</w:t>
            </w:r>
          </w:p>
        </w:tc>
      </w:tr>
    </w:tbl>
    <w:p>
      <w:pPr>
        <w:pStyle w:val="BodyText"/>
        <w:spacing w:before="5"/>
        <w:rPr>
          <w:sz w:val="26"/>
        </w:rPr>
      </w:pPr>
    </w:p>
    <w:p>
      <w:pPr>
        <w:pStyle w:val="Heading3"/>
        <w:numPr>
          <w:ilvl w:val="0"/>
          <w:numId w:val="11"/>
        </w:numPr>
        <w:tabs>
          <w:tab w:pos="360" w:val="left" w:leader="none"/>
        </w:tabs>
        <w:spacing w:line="240" w:lineRule="auto" w:before="0" w:after="0"/>
        <w:ind w:left="360" w:right="0" w:hanging="200"/>
        <w:jc w:val="left"/>
      </w:pPr>
      <w:r>
        <w:rPr>
          <w:color w:val="231F20"/>
        </w:rPr>
        <w:t>ACCOUNTING CHANGES AND NEW ACCOUNTING</w:t>
      </w:r>
      <w:r>
        <w:rPr>
          <w:color w:val="231F20"/>
          <w:spacing w:val="-9"/>
        </w:rPr>
        <w:t> </w:t>
      </w:r>
      <w:r>
        <w:rPr>
          <w:color w:val="231F20"/>
        </w:rPr>
        <w:t>PRONOUNCEMENTS</w:t>
      </w:r>
    </w:p>
    <w:p>
      <w:pPr>
        <w:pStyle w:val="BodyText"/>
        <w:spacing w:line="249" w:lineRule="auto" w:before="108"/>
        <w:ind w:left="160" w:right="100" w:firstLine="490"/>
      </w:pPr>
      <w:r>
        <w:rPr>
          <w:color w:val="231F20"/>
        </w:rPr>
        <w:t>During first quarter 2012 the Company changed the estimated retirement dates of several 737-300 and 737- 500 aircraft based on revisions in the Company’s fleet plan. This change, which was accounted for on a prospective basis, resulted in an acceleration of depreciation expense, since the majority of these aircraft had previously been expected to retire in periods beyond 2012, but were subsequently expected to be retired during 2012. For the year ended December 31, 2012, the impact of this change was an increase in depreciation expense of approximately $12 million, excluding the impact of profitsharing and income taxes ($6 million after the impact of profitsharing and taxes, with a $.01 decrease in both basic and diluted net income per share). The impact of this change on 2013 was not</w:t>
      </w:r>
      <w:r>
        <w:rPr>
          <w:color w:val="231F20"/>
          <w:spacing w:val="2"/>
        </w:rPr>
        <w:t> </w:t>
      </w:r>
      <w:r>
        <w:rPr>
          <w:color w:val="231F20"/>
        </w:rPr>
        <w:t>material.</w:t>
      </w:r>
    </w:p>
    <w:p>
      <w:pPr>
        <w:pStyle w:val="BodyText"/>
        <w:spacing w:line="249" w:lineRule="auto" w:before="197"/>
        <w:ind w:left="160" w:right="103" w:firstLine="490"/>
      </w:pPr>
      <w:r>
        <w:rPr>
          <w:color w:val="231F20"/>
        </w:rPr>
        <w:t>During third quarter 2012 the Company changed the estimated residual values of its entire fleet of owned 737-300 and 737-500 aircraft. This change was based on an agreement entered into during July 2012, pursuant to which the Company will lease or sublease certain aircraft to Delta Air Lines, Inc., and the resulting impact this transaction will have on how the Company manages the ultimate retirement of its owned 737-300 and 737-500 aircraft. See Note 8 for further information on the lease/sublease transaction. Based on the expected retirement dates and current and expected future market conditions related to its owned 737-300 and 737-500 aircraft, the Company reduced the residual values of these aircraft from approximately ten percent of original cost to approximately two percent of original cost. As this reduction in residual value is considered a change in estimate, it has been accounted for on a prospective basis, and thus the Company will record additional depreciation expense over the remainder of the useful lives for each aircraft. The impact of this change on the year ended December 31, 2012, was an increase in depreciation expense of approximately $34 million, excluding the impact of profitsharing and income taxes ($18 million after the impact of profitsharing and taxes, with a $.02 decrease in both basic and diluted net income per share). The impact of this change on the year ended December 31, 2013, was an increase in depreciation expense of approximately $26 million, excluding profitsharing and income taxes ($14 million after profitsharing and taxes, with a $.02 decrease in both basic and diluted net income per share).</w:t>
      </w:r>
    </w:p>
    <w:p>
      <w:pPr>
        <w:pStyle w:val="BodyText"/>
        <w:spacing w:line="249" w:lineRule="auto" w:before="197"/>
        <w:ind w:left="160" w:right="247" w:firstLine="490"/>
      </w:pPr>
      <w:r>
        <w:rPr>
          <w:color w:val="231F20"/>
        </w:rPr>
        <w:t>On December 16, 2011, the Financial Accounting Standards Board ratified Accounting Standards Update (“ASU”) No. 2011-11, “Disclosures about Offsetting Assets and Liabilities.” The new disclosure requirements mandate that entities disclose both gross and net information about instruments and transactions eligible for offset in the statement of financial position, as well as instruments and transactions subject to an agreement similar to a master netting arrangement. In addition, the standard requires disclosure of collateral received and posted in connection with master netting agreements or similar arrangements. This ASU is effective for fiscal years, and interim periods within those years, beginning on or after January 1, 2013, and the Company adopted</w:t>
      </w:r>
    </w:p>
    <w:p>
      <w:pPr>
        <w:spacing w:after="0" w:line="249" w:lineRule="auto"/>
        <w:sectPr>
          <w:pgSz w:w="11880" w:h="15480"/>
          <w:pgMar w:header="0" w:footer="1253" w:top="1240" w:bottom="1440" w:left="1220" w:right="1300"/>
        </w:sectPr>
      </w:pPr>
    </w:p>
    <w:p>
      <w:pPr>
        <w:pStyle w:val="BodyText"/>
        <w:spacing w:line="249" w:lineRule="auto" w:before="73"/>
        <w:ind w:left="160" w:right="256"/>
      </w:pPr>
      <w:r>
        <w:rPr>
          <w:color w:val="231F20"/>
        </w:rPr>
        <w:t>this ASU during first quarter 2013. This ASU did not have a material effect on the Company’s financial position or results of operations, but did change the Company’s disclosure policies for financial derivative instruments. See Note 10.</w:t>
      </w:r>
    </w:p>
    <w:p>
      <w:pPr>
        <w:pStyle w:val="BodyText"/>
        <w:spacing w:before="3"/>
        <w:rPr>
          <w:sz w:val="26"/>
        </w:rPr>
      </w:pPr>
    </w:p>
    <w:p>
      <w:pPr>
        <w:pStyle w:val="Heading3"/>
        <w:numPr>
          <w:ilvl w:val="0"/>
          <w:numId w:val="11"/>
        </w:numPr>
        <w:tabs>
          <w:tab w:pos="360" w:val="left" w:leader="none"/>
        </w:tabs>
        <w:spacing w:line="240" w:lineRule="auto" w:before="1" w:after="0"/>
        <w:ind w:left="360" w:right="0" w:hanging="200"/>
        <w:jc w:val="left"/>
      </w:pPr>
      <w:r>
        <w:rPr>
          <w:color w:val="231F20"/>
        </w:rPr>
        <w:t>COMMITMENTS AND</w:t>
      </w:r>
      <w:r>
        <w:rPr>
          <w:color w:val="231F20"/>
          <w:spacing w:val="-4"/>
        </w:rPr>
        <w:t> </w:t>
      </w:r>
      <w:r>
        <w:rPr>
          <w:color w:val="231F20"/>
        </w:rPr>
        <w:t>CONTINGENCIES</w:t>
      </w:r>
    </w:p>
    <w:p>
      <w:pPr>
        <w:pStyle w:val="Heading4"/>
        <w:spacing w:before="110"/>
        <w:ind w:left="410"/>
        <w:rPr>
          <w:i/>
        </w:rPr>
      </w:pPr>
      <w:r>
        <w:rPr>
          <w:i/>
          <w:color w:val="231F20"/>
        </w:rPr>
        <w:t>Commitments</w:t>
      </w:r>
    </w:p>
    <w:p>
      <w:pPr>
        <w:pStyle w:val="BodyText"/>
        <w:spacing w:line="249" w:lineRule="auto" w:before="110"/>
        <w:ind w:left="160" w:right="196" w:firstLine="490"/>
      </w:pPr>
      <w:r>
        <w:rPr>
          <w:color w:val="231F20"/>
        </w:rPr>
        <w:t>The Company has contractual obligations and commitments primarily with regard to future purchases of aircraft, repayment of debt, and lease arrangements. During the year ended December 31, 2013, the Company purchased 16 new 737-800 aircraft from Boeing, leased two new 737-800 aircraft from a third party, retired from service 11 of its older 737-300 and 737-500 aircraft and one of its 737-700 aircraft, and removed 22 of its 717- 200 aircraft from active service. In addition, the Company also leased two 737-700 aircraft from a third party which were placed into service during third quarter 2013. As of December 31, 2013, the Company had scheduled deliveries for Boeing 737-700, 737-800, 737 MAX 7, and 737 MAX 8 aircraft as follows:</w:t>
      </w:r>
    </w:p>
    <w:p>
      <w:pPr>
        <w:spacing w:after="0" w:line="249" w:lineRule="auto"/>
        <w:sectPr>
          <w:pgSz w:w="11880" w:h="15480"/>
          <w:pgMar w:header="0" w:footer="1253" w:top="1240" w:bottom="1440" w:left="1220" w:right="1220"/>
        </w:sectPr>
      </w:pPr>
    </w:p>
    <w:p>
      <w:pPr>
        <w:pStyle w:val="Heading3"/>
        <w:spacing w:line="220" w:lineRule="exact" w:before="193"/>
        <w:ind w:left="2815" w:right="-20" w:hanging="603"/>
      </w:pPr>
      <w:r>
        <w:rPr/>
        <w:pict>
          <v:line style="position:absolute;mso-position-horizontal-relative:page;mso-position-vertical-relative:paragraph;z-index:5056" from="151pt,32.94997pt" to="285pt,32.94997pt" stroked="true" strokeweight="1pt" strokecolor="#231f20">
            <v:stroke dashstyle="solid"/>
            <w10:wrap type="none"/>
          </v:line>
        </w:pict>
      </w:r>
      <w:r>
        <w:rPr/>
        <w:pict>
          <v:line style="position:absolute;mso-position-horizontal-relative:page;mso-position-vertical-relative:paragraph;z-index:5080" from="343pt,32.94997pt" to="477pt,32.94997pt" stroked="true" strokeweight="1pt" strokecolor="#231f20">
            <v:stroke dashstyle="solid"/>
            <w10:wrap type="none"/>
          </v:line>
        </w:pict>
      </w:r>
      <w:r>
        <w:rPr>
          <w:color w:val="231F20"/>
        </w:rPr>
        <w:t>The Boeing Company</w:t>
      </w:r>
      <w:r>
        <w:rPr>
          <w:color w:val="231F20"/>
          <w:w w:val="99"/>
        </w:rPr>
        <w:t> </w:t>
      </w:r>
      <w:r>
        <w:rPr>
          <w:color w:val="231F20"/>
        </w:rPr>
        <w:t>737 NG</w:t>
      </w:r>
    </w:p>
    <w:p>
      <w:pPr>
        <w:spacing w:line="220" w:lineRule="exact" w:before="193"/>
        <w:ind w:left="2458" w:right="1512" w:hanging="514"/>
        <w:jc w:val="left"/>
        <w:rPr>
          <w:b/>
          <w:sz w:val="20"/>
        </w:rPr>
      </w:pPr>
      <w:r>
        <w:rPr/>
        <w:br w:type="column"/>
      </w:r>
      <w:r>
        <w:rPr>
          <w:b/>
          <w:color w:val="231F20"/>
          <w:sz w:val="20"/>
        </w:rPr>
        <w:t>The Boeing Company 737 MAX</w:t>
      </w:r>
    </w:p>
    <w:p>
      <w:pPr>
        <w:spacing w:after="0" w:line="220" w:lineRule="exact"/>
        <w:jc w:val="left"/>
        <w:rPr>
          <w:sz w:val="20"/>
        </w:rPr>
        <w:sectPr>
          <w:type w:val="continuous"/>
          <w:pgSz w:w="11880" w:h="15480"/>
          <w:pgMar w:top="1200" w:bottom="280" w:left="1220" w:right="1220"/>
          <w:cols w:num="2" w:equalWidth="0">
            <w:col w:w="4068" w:space="40"/>
            <w:col w:w="5332"/>
          </w:cols>
        </w:sectPr>
      </w:pPr>
    </w:p>
    <w:p>
      <w:pPr>
        <w:spacing w:line="225" w:lineRule="exact" w:before="69"/>
        <w:ind w:left="0" w:right="120" w:firstLine="0"/>
        <w:jc w:val="right"/>
        <w:rPr>
          <w:b/>
          <w:sz w:val="20"/>
        </w:rPr>
      </w:pPr>
      <w:r>
        <w:rPr>
          <w:b/>
          <w:color w:val="231F20"/>
          <w:sz w:val="20"/>
        </w:rPr>
        <w:t>-700</w:t>
      </w:r>
    </w:p>
    <w:p>
      <w:pPr>
        <w:spacing w:line="220" w:lineRule="exact" w:before="5"/>
        <w:ind w:left="1874" w:right="-19" w:firstLine="89"/>
        <w:jc w:val="left"/>
        <w:rPr>
          <w:b/>
          <w:sz w:val="20"/>
        </w:rPr>
      </w:pPr>
      <w:r>
        <w:rPr>
          <w:b/>
          <w:color w:val="231F20"/>
          <w:sz w:val="20"/>
        </w:rPr>
        <w:t>Firm Orders</w:t>
      </w:r>
    </w:p>
    <w:p>
      <w:pPr>
        <w:spacing w:line="225" w:lineRule="exact" w:before="69"/>
        <w:ind w:left="430" w:right="0" w:firstLine="0"/>
        <w:jc w:val="left"/>
        <w:rPr>
          <w:b/>
          <w:sz w:val="20"/>
        </w:rPr>
      </w:pPr>
      <w:r>
        <w:rPr/>
        <w:br w:type="column"/>
      </w:r>
      <w:r>
        <w:rPr>
          <w:b/>
          <w:color w:val="231F20"/>
          <w:sz w:val="20"/>
        </w:rPr>
        <w:t>-800</w:t>
      </w:r>
    </w:p>
    <w:p>
      <w:pPr>
        <w:spacing w:line="220" w:lineRule="exact" w:before="0"/>
        <w:ind w:left="397" w:right="0" w:firstLine="0"/>
        <w:jc w:val="left"/>
        <w:rPr>
          <w:b/>
          <w:sz w:val="20"/>
        </w:rPr>
      </w:pPr>
      <w:r>
        <w:rPr>
          <w:b/>
          <w:color w:val="231F20"/>
          <w:sz w:val="20"/>
        </w:rPr>
        <w:t>Firm</w:t>
      </w:r>
    </w:p>
    <w:p>
      <w:pPr>
        <w:tabs>
          <w:tab w:pos="1234" w:val="left" w:leader="none"/>
        </w:tabs>
        <w:spacing w:line="225" w:lineRule="exact" w:before="0"/>
        <w:ind w:left="308" w:right="0" w:firstLine="0"/>
        <w:jc w:val="left"/>
        <w:rPr>
          <w:b/>
          <w:sz w:val="20"/>
        </w:rPr>
      </w:pPr>
      <w:r>
        <w:rPr>
          <w:b/>
          <w:color w:val="231F20"/>
          <w:sz w:val="20"/>
        </w:rPr>
        <w:t>Orders</w:t>
        <w:tab/>
        <w:t>Options</w:t>
      </w:r>
    </w:p>
    <w:p>
      <w:pPr>
        <w:pStyle w:val="BodyText"/>
        <w:spacing w:before="1"/>
        <w:rPr>
          <w:b/>
          <w:sz w:val="25"/>
        </w:rPr>
      </w:pPr>
      <w:r>
        <w:rPr/>
        <w:br w:type="column"/>
      </w:r>
      <w:r>
        <w:rPr>
          <w:b/>
          <w:sz w:val="25"/>
        </w:rPr>
      </w:r>
    </w:p>
    <w:p>
      <w:pPr>
        <w:spacing w:line="225" w:lineRule="exact" w:before="1"/>
        <w:ind w:left="125" w:right="0" w:firstLine="0"/>
        <w:jc w:val="left"/>
        <w:rPr>
          <w:b/>
          <w:sz w:val="20"/>
        </w:rPr>
      </w:pPr>
      <w:r>
        <w:rPr>
          <w:b/>
          <w:color w:val="231F20"/>
          <w:sz w:val="20"/>
        </w:rPr>
        <w:t>Additional</w:t>
      </w:r>
    </w:p>
    <w:p>
      <w:pPr>
        <w:spacing w:line="225" w:lineRule="exact" w:before="0"/>
        <w:ind w:left="201" w:right="0" w:firstLine="0"/>
        <w:jc w:val="left"/>
        <w:rPr>
          <w:b/>
          <w:sz w:val="20"/>
        </w:rPr>
      </w:pPr>
      <w:r>
        <w:rPr>
          <w:b/>
          <w:color w:val="231F20"/>
          <w:sz w:val="20"/>
        </w:rPr>
        <w:t>-700 A/C</w:t>
      </w:r>
    </w:p>
    <w:p>
      <w:pPr>
        <w:spacing w:line="225" w:lineRule="exact" w:before="69"/>
        <w:ind w:left="158" w:right="0" w:firstLine="0"/>
        <w:jc w:val="center"/>
        <w:rPr>
          <w:b/>
          <w:sz w:val="20"/>
        </w:rPr>
      </w:pPr>
      <w:r>
        <w:rPr/>
        <w:br w:type="column"/>
      </w:r>
      <w:r>
        <w:rPr>
          <w:b/>
          <w:color w:val="231F20"/>
          <w:sz w:val="20"/>
        </w:rPr>
        <w:t>-7</w:t>
      </w:r>
    </w:p>
    <w:p>
      <w:pPr>
        <w:pStyle w:val="Heading3"/>
        <w:spacing w:line="220" w:lineRule="exact" w:before="5"/>
        <w:ind w:left="158"/>
        <w:jc w:val="center"/>
      </w:pPr>
      <w:r>
        <w:rPr>
          <w:color w:val="231F20"/>
        </w:rPr>
        <w:t>Firm Orders</w:t>
      </w:r>
    </w:p>
    <w:p>
      <w:pPr>
        <w:spacing w:line="225" w:lineRule="exact" w:before="69"/>
        <w:ind w:left="510" w:right="2354" w:firstLine="0"/>
        <w:jc w:val="center"/>
        <w:rPr>
          <w:b/>
          <w:sz w:val="20"/>
        </w:rPr>
      </w:pPr>
      <w:r>
        <w:rPr/>
        <w:br w:type="column"/>
      </w:r>
      <w:r>
        <w:rPr>
          <w:b/>
          <w:color w:val="231F20"/>
          <w:sz w:val="20"/>
        </w:rPr>
        <w:t>-8</w:t>
      </w:r>
    </w:p>
    <w:p>
      <w:pPr>
        <w:pStyle w:val="Heading3"/>
        <w:spacing w:line="220" w:lineRule="exact"/>
        <w:ind w:left="397"/>
      </w:pPr>
      <w:r>
        <w:rPr>
          <w:color w:val="231F20"/>
        </w:rPr>
        <w:t>Firm</w:t>
      </w:r>
    </w:p>
    <w:p>
      <w:pPr>
        <w:tabs>
          <w:tab w:pos="1234" w:val="left" w:leader="none"/>
          <w:tab w:pos="2306" w:val="left" w:leader="none"/>
        </w:tabs>
        <w:spacing w:line="225" w:lineRule="exact" w:before="0"/>
        <w:ind w:left="308" w:right="0" w:firstLine="0"/>
        <w:jc w:val="left"/>
        <w:rPr>
          <w:b/>
          <w:sz w:val="20"/>
        </w:rPr>
      </w:pPr>
      <w:r>
        <w:rPr>
          <w:b/>
          <w:color w:val="231F20"/>
          <w:sz w:val="20"/>
        </w:rPr>
        <w:t>Orders</w:t>
        <w:tab/>
        <w:t>Options</w:t>
        <w:tab/>
        <w:t>Total</w:t>
      </w:r>
    </w:p>
    <w:p>
      <w:pPr>
        <w:spacing w:after="0" w:line="225" w:lineRule="exact"/>
        <w:jc w:val="left"/>
        <w:rPr>
          <w:sz w:val="20"/>
        </w:rPr>
        <w:sectPr>
          <w:type w:val="continuous"/>
          <w:pgSz w:w="11880" w:h="15480"/>
          <w:pgMar w:top="1200" w:bottom="280" w:left="1220" w:right="1220"/>
          <w:cols w:num="5" w:equalWidth="0">
            <w:col w:w="2486" w:space="40"/>
            <w:col w:w="1914" w:space="40"/>
            <w:col w:w="1038" w:space="40"/>
            <w:col w:w="770" w:space="40"/>
            <w:col w:w="3072"/>
          </w:cols>
        </w:sectPr>
      </w:pPr>
    </w:p>
    <w:p>
      <w:pPr>
        <w:pStyle w:val="BodyText"/>
        <w:spacing w:before="7"/>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5"/>
        <w:gridCol w:w="1195"/>
        <w:gridCol w:w="7530"/>
      </w:tblGrid>
      <w:tr>
        <w:trPr>
          <w:trHeight w:val="284" w:hRule="exact"/>
        </w:trPr>
        <w:tc>
          <w:tcPr>
            <w:tcW w:w="495" w:type="dxa"/>
          </w:tcPr>
          <w:p>
            <w:pPr>
              <w:pStyle w:val="TableParagraph"/>
              <w:spacing w:before="48"/>
              <w:ind w:left="50"/>
              <w:jc w:val="left"/>
              <w:rPr>
                <w:sz w:val="20"/>
              </w:rPr>
            </w:pPr>
            <w:r>
              <w:rPr>
                <w:color w:val="231F20"/>
                <w:sz w:val="20"/>
              </w:rPr>
              <w:t>2014</w:t>
            </w:r>
          </w:p>
        </w:tc>
        <w:tc>
          <w:tcPr>
            <w:tcW w:w="1195" w:type="dxa"/>
          </w:tcPr>
          <w:p>
            <w:pPr>
              <w:pStyle w:val="TableParagraph"/>
              <w:spacing w:before="48"/>
              <w:ind w:left="44"/>
              <w:jc w:val="left"/>
              <w:rPr>
                <w:sz w:val="20"/>
              </w:rPr>
            </w:pPr>
            <w:r>
              <w:rPr>
                <w:color w:val="231F20"/>
                <w:sz w:val="20"/>
              </w:rPr>
              <w:t>. . . . . . . . . . </w:t>
            </w:r>
          </w:p>
        </w:tc>
        <w:tc>
          <w:tcPr>
            <w:tcW w:w="7530" w:type="dxa"/>
            <w:tcBorders>
              <w:top w:val="single" w:sz="4" w:space="0" w:color="231F20"/>
            </w:tcBorders>
          </w:tcPr>
          <w:p>
            <w:pPr>
              <w:pStyle w:val="TableParagraph"/>
              <w:tabs>
                <w:tab w:pos="1059" w:val="left" w:leader="none"/>
                <w:tab w:pos="1919" w:val="left" w:leader="none"/>
                <w:tab w:pos="3079" w:val="left" w:leader="none"/>
                <w:tab w:pos="3839" w:val="left" w:leader="none"/>
                <w:tab w:pos="4799" w:val="left" w:leader="none"/>
                <w:tab w:pos="5759" w:val="left" w:leader="none"/>
                <w:tab w:pos="6819" w:val="left" w:leader="none"/>
              </w:tabs>
              <w:spacing w:before="43"/>
              <w:ind w:right="48"/>
              <w:rPr>
                <w:sz w:val="20"/>
              </w:rPr>
            </w:pPr>
            <w:r>
              <w:rPr>
                <w:color w:val="231F20"/>
                <w:sz w:val="20"/>
              </w:rPr>
              <w:t>—</w:t>
              <w:tab/>
              <w:t>33</w:t>
              <w:tab/>
              <w:t>—</w:t>
              <w:tab/>
              <w:t>7(2)</w:t>
              <w:tab/>
              <w:t>—</w:t>
              <w:tab/>
              <w:t>—</w:t>
              <w:tab/>
              <w:t>—</w:t>
              <w:tab/>
              <w:t>40</w:t>
            </w:r>
          </w:p>
        </w:tc>
      </w:tr>
      <w:tr>
        <w:trPr>
          <w:trHeight w:val="230" w:hRule="exact"/>
        </w:trPr>
        <w:tc>
          <w:tcPr>
            <w:tcW w:w="495" w:type="dxa"/>
          </w:tcPr>
          <w:p>
            <w:pPr>
              <w:pStyle w:val="TableParagraph"/>
              <w:spacing w:line="224" w:lineRule="exact"/>
              <w:ind w:left="50"/>
              <w:jc w:val="left"/>
              <w:rPr>
                <w:sz w:val="20"/>
              </w:rPr>
            </w:pPr>
            <w:r>
              <w:rPr>
                <w:color w:val="231F20"/>
                <w:sz w:val="20"/>
              </w:rPr>
              <w:t>2015</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1059" w:val="left" w:leader="none"/>
                <w:tab w:pos="1919" w:val="left" w:leader="none"/>
                <w:tab w:pos="3079" w:val="left" w:leader="none"/>
                <w:tab w:pos="3839" w:val="left" w:leader="none"/>
                <w:tab w:pos="4799" w:val="left" w:leader="none"/>
                <w:tab w:pos="5759" w:val="left" w:leader="none"/>
                <w:tab w:pos="6819" w:val="left" w:leader="none"/>
              </w:tabs>
              <w:spacing w:line="224" w:lineRule="exact"/>
              <w:ind w:right="48"/>
              <w:rPr>
                <w:sz w:val="20"/>
              </w:rPr>
            </w:pPr>
            <w:r>
              <w:rPr>
                <w:color w:val="231F20"/>
                <w:sz w:val="20"/>
              </w:rPr>
              <w:t>—</w:t>
              <w:tab/>
              <w:t>19</w:t>
              <w:tab/>
              <w:t>—</w:t>
              <w:tab/>
              <w:t>5</w:t>
              <w:tab/>
              <w:t>—</w:t>
              <w:tab/>
              <w:t>—</w:t>
              <w:tab/>
              <w:t>—</w:t>
              <w:tab/>
              <w:t>24</w:t>
            </w:r>
          </w:p>
        </w:tc>
      </w:tr>
      <w:tr>
        <w:trPr>
          <w:trHeight w:val="230" w:hRule="exact"/>
        </w:trPr>
        <w:tc>
          <w:tcPr>
            <w:tcW w:w="495" w:type="dxa"/>
          </w:tcPr>
          <w:p>
            <w:pPr>
              <w:pStyle w:val="TableParagraph"/>
              <w:spacing w:line="224" w:lineRule="exact"/>
              <w:ind w:left="50"/>
              <w:jc w:val="left"/>
              <w:rPr>
                <w:sz w:val="20"/>
              </w:rPr>
            </w:pPr>
            <w:r>
              <w:rPr>
                <w:color w:val="231F20"/>
                <w:sz w:val="20"/>
              </w:rPr>
              <w:t>2016</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859" w:val="left" w:leader="none"/>
                <w:tab w:pos="1919" w:val="left" w:leader="none"/>
                <w:tab w:pos="2779" w:val="left" w:leader="none"/>
                <w:tab w:pos="3739" w:val="left" w:leader="none"/>
                <w:tab w:pos="4699" w:val="left" w:leader="none"/>
                <w:tab w:pos="5659" w:val="left" w:leader="none"/>
                <w:tab w:pos="6719" w:val="left" w:leader="none"/>
              </w:tabs>
              <w:spacing w:line="224" w:lineRule="exact"/>
              <w:ind w:right="48"/>
              <w:rPr>
                <w:sz w:val="20"/>
              </w:rPr>
            </w:pPr>
            <w:r>
              <w:rPr>
                <w:color w:val="231F20"/>
                <w:sz w:val="20"/>
              </w:rPr>
              <w:t>31</w:t>
              <w:tab/>
              <w:t>—</w:t>
              <w:tab/>
              <w:t>12</w:t>
              <w:tab/>
              <w:t>—</w:t>
              <w:tab/>
              <w:t>—</w:t>
              <w:tab/>
              <w:t>—</w:t>
              <w:tab/>
              <w:t>—</w:t>
              <w:tab/>
              <w:t>43</w:t>
            </w:r>
          </w:p>
        </w:tc>
      </w:tr>
      <w:tr>
        <w:trPr>
          <w:trHeight w:val="230" w:hRule="exact"/>
        </w:trPr>
        <w:tc>
          <w:tcPr>
            <w:tcW w:w="495" w:type="dxa"/>
          </w:tcPr>
          <w:p>
            <w:pPr>
              <w:pStyle w:val="TableParagraph"/>
              <w:spacing w:line="224" w:lineRule="exact"/>
              <w:ind w:left="50"/>
              <w:jc w:val="left"/>
              <w:rPr>
                <w:sz w:val="20"/>
              </w:rPr>
            </w:pPr>
            <w:r>
              <w:rPr>
                <w:color w:val="231F20"/>
                <w:sz w:val="20"/>
              </w:rPr>
              <w:t>2017</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859" w:val="left" w:leader="none"/>
                <w:tab w:pos="1919" w:val="left" w:leader="none"/>
                <w:tab w:pos="2779" w:val="left" w:leader="none"/>
                <w:tab w:pos="3739" w:val="left" w:leader="none"/>
                <w:tab w:pos="4799" w:val="left" w:leader="none"/>
                <w:tab w:pos="5659" w:val="left" w:leader="none"/>
                <w:tab w:pos="6719" w:val="left" w:leader="none"/>
              </w:tabs>
              <w:spacing w:line="224" w:lineRule="exact"/>
              <w:ind w:right="48"/>
              <w:rPr>
                <w:sz w:val="20"/>
              </w:rPr>
            </w:pPr>
            <w:r>
              <w:rPr>
                <w:color w:val="231F20"/>
                <w:sz w:val="20"/>
              </w:rPr>
              <w:t>15</w:t>
              <w:tab/>
              <w:t>—</w:t>
              <w:tab/>
              <w:t>12</w:t>
              <w:tab/>
              <w:t>—</w:t>
              <w:tab/>
              <w:t>—</w:t>
              <w:tab/>
              <w:t>14</w:t>
              <w:tab/>
              <w:t>—</w:t>
              <w:tab/>
              <w:t>41</w:t>
            </w:r>
          </w:p>
        </w:tc>
      </w:tr>
      <w:tr>
        <w:trPr>
          <w:trHeight w:val="230" w:hRule="exact"/>
        </w:trPr>
        <w:tc>
          <w:tcPr>
            <w:tcW w:w="495" w:type="dxa"/>
          </w:tcPr>
          <w:p>
            <w:pPr>
              <w:pStyle w:val="TableParagraph"/>
              <w:spacing w:line="224" w:lineRule="exact"/>
              <w:ind w:left="50"/>
              <w:jc w:val="left"/>
              <w:rPr>
                <w:sz w:val="20"/>
              </w:rPr>
            </w:pPr>
            <w:r>
              <w:rPr>
                <w:color w:val="231F20"/>
                <w:sz w:val="20"/>
              </w:rPr>
              <w:t>2018</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859" w:val="left" w:leader="none"/>
                <w:tab w:pos="1919" w:val="left" w:leader="none"/>
                <w:tab w:pos="2779" w:val="left" w:leader="none"/>
                <w:tab w:pos="3739" w:val="left" w:leader="none"/>
                <w:tab w:pos="4799" w:val="left" w:leader="none"/>
                <w:tab w:pos="5659" w:val="left" w:leader="none"/>
                <w:tab w:pos="6719" w:val="left" w:leader="none"/>
              </w:tabs>
              <w:spacing w:line="224" w:lineRule="exact"/>
              <w:ind w:right="48"/>
              <w:rPr>
                <w:sz w:val="20"/>
              </w:rPr>
            </w:pPr>
            <w:r>
              <w:rPr>
                <w:color w:val="231F20"/>
                <w:sz w:val="20"/>
              </w:rPr>
              <w:t>10</w:t>
              <w:tab/>
              <w:t>—</w:t>
              <w:tab/>
              <w:t>12</w:t>
              <w:tab/>
              <w:t>—</w:t>
              <w:tab/>
              <w:t>—</w:t>
              <w:tab/>
              <w:t>13</w:t>
              <w:tab/>
              <w:t>—</w:t>
              <w:tab/>
              <w:t>35</w:t>
            </w:r>
          </w:p>
        </w:tc>
      </w:tr>
      <w:tr>
        <w:trPr>
          <w:trHeight w:val="230" w:hRule="exact"/>
        </w:trPr>
        <w:tc>
          <w:tcPr>
            <w:tcW w:w="495" w:type="dxa"/>
          </w:tcPr>
          <w:p>
            <w:pPr>
              <w:pStyle w:val="TableParagraph"/>
              <w:spacing w:line="224" w:lineRule="exact"/>
              <w:ind w:left="50"/>
              <w:jc w:val="left"/>
              <w:rPr>
                <w:sz w:val="20"/>
              </w:rPr>
            </w:pPr>
            <w:r>
              <w:rPr>
                <w:color w:val="231F20"/>
                <w:sz w:val="20"/>
              </w:rPr>
              <w:t>2019</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939" w:val="left" w:leader="none"/>
                <w:tab w:pos="4899" w:val="left" w:leader="none"/>
                <w:tab w:pos="5759" w:val="left" w:leader="none"/>
                <w:tab w:pos="6819" w:val="left" w:leader="none"/>
              </w:tabs>
              <w:spacing w:line="224" w:lineRule="exact"/>
              <w:ind w:right="48"/>
              <w:rPr>
                <w:sz w:val="20"/>
              </w:rPr>
            </w:pPr>
            <w:r>
              <w:rPr>
                <w:color w:val="231F20"/>
                <w:sz w:val="20"/>
              </w:rPr>
              <w:t>—</w:t>
              <w:tab/>
              <w:t>—</w:t>
              <w:tab/>
              <w:t>—</w:t>
              <w:tab/>
              <w:t>—</w:t>
              <w:tab/>
              <w:t>15</w:t>
              <w:tab/>
              <w:t>10</w:t>
              <w:tab/>
              <w:t>—</w:t>
              <w:tab/>
              <w:t>25</w:t>
            </w:r>
          </w:p>
        </w:tc>
      </w:tr>
      <w:tr>
        <w:trPr>
          <w:trHeight w:val="230" w:hRule="exact"/>
        </w:trPr>
        <w:tc>
          <w:tcPr>
            <w:tcW w:w="495" w:type="dxa"/>
          </w:tcPr>
          <w:p>
            <w:pPr>
              <w:pStyle w:val="TableParagraph"/>
              <w:spacing w:line="224" w:lineRule="exact"/>
              <w:ind w:left="50"/>
              <w:jc w:val="left"/>
              <w:rPr>
                <w:sz w:val="20"/>
              </w:rPr>
            </w:pPr>
            <w:r>
              <w:rPr>
                <w:color w:val="231F20"/>
                <w:sz w:val="20"/>
              </w:rPr>
              <w:t>2020</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939" w:val="left" w:leader="none"/>
                <w:tab w:pos="4899" w:val="left" w:leader="none"/>
                <w:tab w:pos="5759" w:val="left" w:leader="none"/>
                <w:tab w:pos="6819" w:val="left" w:leader="none"/>
              </w:tabs>
              <w:spacing w:line="224" w:lineRule="exact"/>
              <w:ind w:right="48"/>
              <w:rPr>
                <w:sz w:val="20"/>
              </w:rPr>
            </w:pPr>
            <w:r>
              <w:rPr>
                <w:color w:val="231F20"/>
                <w:sz w:val="20"/>
              </w:rPr>
              <w:t>—</w:t>
              <w:tab/>
              <w:t>—</w:t>
              <w:tab/>
              <w:t>—</w:t>
              <w:tab/>
              <w:t>—</w:t>
              <w:tab/>
              <w:t>14</w:t>
              <w:tab/>
              <w:t>22</w:t>
              <w:tab/>
              <w:t>—</w:t>
              <w:tab/>
              <w:t>36</w:t>
            </w:r>
          </w:p>
        </w:tc>
      </w:tr>
      <w:tr>
        <w:trPr>
          <w:trHeight w:val="230" w:hRule="exact"/>
        </w:trPr>
        <w:tc>
          <w:tcPr>
            <w:tcW w:w="495" w:type="dxa"/>
          </w:tcPr>
          <w:p>
            <w:pPr>
              <w:pStyle w:val="TableParagraph"/>
              <w:spacing w:line="224" w:lineRule="exact"/>
              <w:ind w:left="50"/>
              <w:jc w:val="left"/>
              <w:rPr>
                <w:sz w:val="20"/>
              </w:rPr>
            </w:pPr>
            <w:r>
              <w:rPr>
                <w:color w:val="231F20"/>
                <w:sz w:val="20"/>
              </w:rPr>
              <w:t>2021</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4039" w:val="left" w:leader="none"/>
                <w:tab w:pos="4899" w:val="left" w:leader="none"/>
                <w:tab w:pos="5859" w:val="left" w:leader="none"/>
                <w:tab w:pos="6819" w:val="left" w:leader="none"/>
              </w:tabs>
              <w:spacing w:line="224" w:lineRule="exact"/>
              <w:ind w:right="48"/>
              <w:rPr>
                <w:sz w:val="20"/>
              </w:rPr>
            </w:pPr>
            <w:r>
              <w:rPr>
                <w:color w:val="231F20"/>
                <w:sz w:val="20"/>
              </w:rPr>
              <w:t>—</w:t>
              <w:tab/>
              <w:t>—</w:t>
              <w:tab/>
              <w:t>—</w:t>
              <w:tab/>
              <w:t>—</w:t>
              <w:tab/>
              <w:t>1</w:t>
              <w:tab/>
              <w:t>33</w:t>
              <w:tab/>
              <w:t>18</w:t>
              <w:tab/>
              <w:t>52</w:t>
            </w:r>
          </w:p>
        </w:tc>
      </w:tr>
      <w:tr>
        <w:trPr>
          <w:trHeight w:val="235" w:hRule="exact"/>
        </w:trPr>
        <w:tc>
          <w:tcPr>
            <w:tcW w:w="495" w:type="dxa"/>
          </w:tcPr>
          <w:p>
            <w:pPr>
              <w:pStyle w:val="TableParagraph"/>
              <w:spacing w:line="224" w:lineRule="exact"/>
              <w:ind w:left="50"/>
              <w:jc w:val="left"/>
              <w:rPr>
                <w:sz w:val="20"/>
              </w:rPr>
            </w:pPr>
            <w:r>
              <w:rPr>
                <w:color w:val="231F20"/>
                <w:sz w:val="20"/>
              </w:rPr>
              <w:t>2022</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899" w:val="left" w:leader="none"/>
                <w:tab w:pos="5859" w:val="left" w:leader="none"/>
                <w:tab w:pos="6819" w:val="left" w:leader="none"/>
              </w:tabs>
              <w:spacing w:line="224" w:lineRule="exact"/>
              <w:ind w:right="48"/>
              <w:rPr>
                <w:sz w:val="20"/>
              </w:rPr>
            </w:pPr>
            <w:r>
              <w:rPr>
                <w:color w:val="231F20"/>
                <w:sz w:val="20"/>
              </w:rPr>
              <w:t>—</w:t>
              <w:tab/>
              <w:t>—</w:t>
              <w:tab/>
              <w:t>—</w:t>
              <w:tab/>
              <w:t>—</w:t>
              <w:tab/>
              <w:t>—</w:t>
              <w:tab/>
              <w:t>30</w:t>
              <w:tab/>
              <w:t>19</w:t>
              <w:tab/>
              <w:t>49</w:t>
            </w:r>
          </w:p>
        </w:tc>
      </w:tr>
      <w:tr>
        <w:trPr>
          <w:trHeight w:val="240" w:hRule="exact"/>
        </w:trPr>
        <w:tc>
          <w:tcPr>
            <w:tcW w:w="495" w:type="dxa"/>
          </w:tcPr>
          <w:p>
            <w:pPr>
              <w:pStyle w:val="TableParagraph"/>
              <w:spacing w:line="229" w:lineRule="exact"/>
              <w:ind w:left="50"/>
              <w:jc w:val="left"/>
              <w:rPr>
                <w:sz w:val="20"/>
              </w:rPr>
            </w:pPr>
            <w:r>
              <w:rPr>
                <w:color w:val="231F20"/>
                <w:sz w:val="20"/>
              </w:rPr>
              <w:t>2023</w:t>
            </w:r>
          </w:p>
        </w:tc>
        <w:tc>
          <w:tcPr>
            <w:tcW w:w="1195" w:type="dxa"/>
          </w:tcPr>
          <w:p>
            <w:pPr>
              <w:pStyle w:val="TableParagraph"/>
              <w:spacing w:line="229"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899" w:val="left" w:leader="none"/>
                <w:tab w:pos="5859" w:val="left" w:leader="none"/>
                <w:tab w:pos="6819" w:val="left" w:leader="none"/>
              </w:tabs>
              <w:spacing w:line="229" w:lineRule="exact"/>
              <w:ind w:right="48"/>
              <w:rPr>
                <w:sz w:val="20"/>
              </w:rPr>
            </w:pPr>
            <w:r>
              <w:rPr>
                <w:color w:val="231F20"/>
                <w:sz w:val="20"/>
              </w:rPr>
              <w:t>—</w:t>
              <w:tab/>
              <w:t>—</w:t>
              <w:tab/>
              <w:t>—</w:t>
              <w:tab/>
              <w:t>—</w:t>
              <w:tab/>
              <w:t>—</w:t>
              <w:tab/>
              <w:t>24</w:t>
              <w:tab/>
              <w:t>23</w:t>
              <w:tab/>
              <w:t>47</w:t>
            </w:r>
          </w:p>
        </w:tc>
      </w:tr>
      <w:tr>
        <w:trPr>
          <w:trHeight w:val="240" w:hRule="exact"/>
        </w:trPr>
        <w:tc>
          <w:tcPr>
            <w:tcW w:w="495" w:type="dxa"/>
          </w:tcPr>
          <w:p>
            <w:pPr>
              <w:pStyle w:val="TableParagraph"/>
              <w:spacing w:line="229" w:lineRule="exact"/>
              <w:ind w:left="50"/>
              <w:jc w:val="left"/>
              <w:rPr>
                <w:sz w:val="20"/>
              </w:rPr>
            </w:pPr>
            <w:r>
              <w:rPr>
                <w:color w:val="231F20"/>
                <w:sz w:val="20"/>
              </w:rPr>
              <w:t>2024</w:t>
            </w:r>
          </w:p>
        </w:tc>
        <w:tc>
          <w:tcPr>
            <w:tcW w:w="1195" w:type="dxa"/>
          </w:tcPr>
          <w:p>
            <w:pPr>
              <w:pStyle w:val="TableParagraph"/>
              <w:spacing w:line="229"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899" w:val="left" w:leader="none"/>
                <w:tab w:pos="5859" w:val="left" w:leader="none"/>
                <w:tab w:pos="6819" w:val="left" w:leader="none"/>
              </w:tabs>
              <w:spacing w:line="229" w:lineRule="exact"/>
              <w:ind w:right="48"/>
              <w:rPr>
                <w:sz w:val="20"/>
              </w:rPr>
            </w:pPr>
            <w:r>
              <w:rPr>
                <w:color w:val="231F20"/>
                <w:sz w:val="20"/>
              </w:rPr>
              <w:t>—</w:t>
              <w:tab/>
              <w:t>—</w:t>
              <w:tab/>
              <w:t>—</w:t>
              <w:tab/>
              <w:t>—</w:t>
              <w:tab/>
              <w:t>—</w:t>
              <w:tab/>
              <w:t>24</w:t>
              <w:tab/>
              <w:t>23</w:t>
              <w:tab/>
              <w:t>47</w:t>
            </w:r>
          </w:p>
        </w:tc>
      </w:tr>
      <w:tr>
        <w:trPr>
          <w:trHeight w:val="240" w:hRule="exact"/>
        </w:trPr>
        <w:tc>
          <w:tcPr>
            <w:tcW w:w="495" w:type="dxa"/>
          </w:tcPr>
          <w:p>
            <w:pPr>
              <w:pStyle w:val="TableParagraph"/>
              <w:spacing w:line="229" w:lineRule="exact"/>
              <w:ind w:left="50"/>
              <w:jc w:val="left"/>
              <w:rPr>
                <w:sz w:val="20"/>
              </w:rPr>
            </w:pPr>
            <w:r>
              <w:rPr>
                <w:color w:val="231F20"/>
                <w:sz w:val="20"/>
              </w:rPr>
              <w:t>2025</w:t>
            </w:r>
          </w:p>
        </w:tc>
        <w:tc>
          <w:tcPr>
            <w:tcW w:w="1195" w:type="dxa"/>
          </w:tcPr>
          <w:p>
            <w:pPr>
              <w:pStyle w:val="TableParagraph"/>
              <w:spacing w:line="229"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799" w:val="left" w:leader="none"/>
                <w:tab w:pos="5859" w:val="left" w:leader="none"/>
                <w:tab w:pos="6819" w:val="left" w:leader="none"/>
              </w:tabs>
              <w:spacing w:line="229" w:lineRule="exact"/>
              <w:ind w:right="48"/>
              <w:rPr>
                <w:sz w:val="20"/>
              </w:rPr>
            </w:pPr>
            <w:r>
              <w:rPr>
                <w:color w:val="231F20"/>
                <w:sz w:val="20"/>
              </w:rPr>
              <w:t>—</w:t>
              <w:tab/>
              <w:t>—</w:t>
              <w:tab/>
              <w:t>—</w:t>
              <w:tab/>
              <w:t>—</w:t>
              <w:tab/>
              <w:t>—</w:t>
              <w:tab/>
              <w:t>—</w:t>
              <w:tab/>
              <w:t>36</w:t>
              <w:tab/>
              <w:t>36</w:t>
            </w:r>
          </w:p>
        </w:tc>
      </w:tr>
      <w:tr>
        <w:trPr>
          <w:trHeight w:val="240" w:hRule="exact"/>
        </w:trPr>
        <w:tc>
          <w:tcPr>
            <w:tcW w:w="495" w:type="dxa"/>
          </w:tcPr>
          <w:p>
            <w:pPr>
              <w:pStyle w:val="TableParagraph"/>
              <w:spacing w:line="229" w:lineRule="exact"/>
              <w:ind w:left="50"/>
              <w:jc w:val="left"/>
              <w:rPr>
                <w:sz w:val="20"/>
              </w:rPr>
            </w:pPr>
            <w:r>
              <w:rPr>
                <w:color w:val="231F20"/>
                <w:sz w:val="20"/>
              </w:rPr>
              <w:t>2026</w:t>
            </w:r>
          </w:p>
        </w:tc>
        <w:tc>
          <w:tcPr>
            <w:tcW w:w="1195" w:type="dxa"/>
          </w:tcPr>
          <w:p>
            <w:pPr>
              <w:pStyle w:val="TableParagraph"/>
              <w:spacing w:line="229"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799" w:val="left" w:leader="none"/>
                <w:tab w:pos="5859" w:val="left" w:leader="none"/>
                <w:tab w:pos="6819" w:val="left" w:leader="none"/>
              </w:tabs>
              <w:spacing w:line="229" w:lineRule="exact"/>
              <w:ind w:right="48"/>
              <w:rPr>
                <w:sz w:val="20"/>
              </w:rPr>
            </w:pPr>
            <w:r>
              <w:rPr>
                <w:color w:val="231F20"/>
                <w:sz w:val="20"/>
              </w:rPr>
              <w:t>—</w:t>
              <w:tab/>
              <w:t>—</w:t>
              <w:tab/>
              <w:t>—</w:t>
              <w:tab/>
              <w:t>—</w:t>
              <w:tab/>
              <w:t>—</w:t>
              <w:tab/>
              <w:t>—</w:t>
              <w:tab/>
              <w:t>36</w:t>
              <w:tab/>
              <w:t>36</w:t>
            </w:r>
          </w:p>
        </w:tc>
      </w:tr>
      <w:tr>
        <w:trPr>
          <w:trHeight w:val="261" w:hRule="exact"/>
        </w:trPr>
        <w:tc>
          <w:tcPr>
            <w:tcW w:w="495" w:type="dxa"/>
          </w:tcPr>
          <w:p>
            <w:pPr>
              <w:pStyle w:val="TableParagraph"/>
              <w:spacing w:line="229" w:lineRule="exact"/>
              <w:ind w:left="50"/>
              <w:jc w:val="left"/>
              <w:rPr>
                <w:sz w:val="20"/>
              </w:rPr>
            </w:pPr>
            <w:r>
              <w:rPr>
                <w:color w:val="231F20"/>
                <w:sz w:val="20"/>
              </w:rPr>
              <w:t>2027</w:t>
            </w:r>
          </w:p>
        </w:tc>
        <w:tc>
          <w:tcPr>
            <w:tcW w:w="1195" w:type="dxa"/>
          </w:tcPr>
          <w:p>
            <w:pPr>
              <w:pStyle w:val="TableParagraph"/>
              <w:spacing w:line="229" w:lineRule="exact"/>
              <w:ind w:left="44"/>
              <w:jc w:val="left"/>
              <w:rPr>
                <w:sz w:val="20"/>
              </w:rPr>
            </w:pPr>
            <w:r>
              <w:rPr>
                <w:color w:val="231F20"/>
                <w:sz w:val="20"/>
              </w:rPr>
              <w:t>. . . . . . . . . . </w:t>
            </w:r>
          </w:p>
        </w:tc>
        <w:tc>
          <w:tcPr>
            <w:tcW w:w="7530" w:type="dxa"/>
            <w:tcBorders>
              <w:bottom w:val="single" w:sz="4" w:space="0" w:color="231F20"/>
            </w:tcBorders>
          </w:tcPr>
          <w:p>
            <w:pPr>
              <w:pStyle w:val="TableParagraph"/>
              <w:tabs>
                <w:tab w:pos="959" w:val="left" w:leader="none"/>
                <w:tab w:pos="1919" w:val="left" w:leader="none"/>
                <w:tab w:pos="2879" w:val="left" w:leader="none"/>
                <w:tab w:pos="3839" w:val="left" w:leader="none"/>
                <w:tab w:pos="4799" w:val="left" w:leader="none"/>
                <w:tab w:pos="5859" w:val="left" w:leader="none"/>
                <w:tab w:pos="6819" w:val="left" w:leader="none"/>
              </w:tabs>
              <w:spacing w:line="229" w:lineRule="exact"/>
              <w:ind w:right="48"/>
              <w:rPr>
                <w:sz w:val="20"/>
              </w:rPr>
            </w:pPr>
            <w:r>
              <w:rPr>
                <w:color w:val="231F20"/>
                <w:sz w:val="20"/>
              </w:rPr>
              <w:t>—</w:t>
              <w:tab/>
              <w:t>—</w:t>
              <w:tab/>
              <w:t>—</w:t>
              <w:tab/>
              <w:t>—</w:t>
              <w:tab/>
              <w:t>—</w:t>
              <w:tab/>
              <w:t>—</w:t>
              <w:tab/>
              <w:t>36</w:t>
              <w:tab/>
              <w:t>36</w:t>
            </w:r>
          </w:p>
        </w:tc>
      </w:tr>
    </w:tbl>
    <w:p>
      <w:pPr>
        <w:pStyle w:val="BodyText"/>
        <w:tabs>
          <w:tab w:pos="2359" w:val="left" w:leader="none"/>
          <w:tab w:pos="3319" w:val="left" w:leader="none"/>
          <w:tab w:pos="4279" w:val="left" w:leader="none"/>
          <w:tab w:pos="5239" w:val="left" w:leader="none"/>
          <w:tab w:pos="6199" w:val="left" w:leader="none"/>
          <w:tab w:pos="7059" w:val="left" w:leader="none"/>
          <w:tab w:pos="8019" w:val="left" w:leader="none"/>
          <w:tab w:pos="9279" w:val="right" w:leader="none"/>
        </w:tabs>
        <w:spacing w:before="49"/>
        <w:ind w:left="360"/>
      </w:pPr>
      <w:r>
        <w:rPr/>
        <w:pict>
          <v:group style="position:absolute;margin-left:150.75pt;margin-top:15.285937pt;width:374.5pt;height:2.5pt;mso-position-horizontal-relative:page;mso-position-vertical-relative:paragraph;z-index:5008;mso-wrap-distance-left:0;mso-wrap-distance-right:0" coordorigin="3015,306" coordsize="7490,50">
            <v:line style="position:absolute" from="3020,311" to="10500,311" stroked="true" strokeweight=".5pt" strokecolor="#231f20">
              <v:stroke dashstyle="solid"/>
            </v:line>
            <v:line style="position:absolute" from="3020,351" to="10500,351" stroked="true" strokeweight=".5pt" strokecolor="#231f20">
              <v:stroke dashstyle="solid"/>
            </v:line>
            <w10:wrap type="topAndBottom"/>
          </v:group>
        </w:pict>
      </w:r>
      <w:r>
        <w:rPr/>
        <w:pict>
          <v:line style="position:absolute;mso-position-horizontal-relative:page;mso-position-vertical-relative:paragraph;z-index:5032;mso-wrap-distance-left:0;mso-wrap-distance-right:0" from="69pt,25.535938pt" to="117pt,25.535938pt" stroked="true" strokeweight=".5pt" strokecolor="#231f20">
            <v:stroke dashstyle="solid"/>
            <w10:wrap type="topAndBottom"/>
          </v:line>
        </w:pict>
      </w:r>
      <w:r>
        <w:rPr>
          <w:color w:val="231F20"/>
        </w:rPr>
        <w:t>Total . . . . . .</w:t>
      </w:r>
      <w:r>
        <w:rPr>
          <w:color w:val="231F20"/>
          <w:spacing w:val="17"/>
        </w:rPr>
        <w:t> </w:t>
      </w:r>
      <w:r>
        <w:rPr>
          <w:color w:val="231F20"/>
        </w:rPr>
        <w:t>. .</w:t>
        <w:tab/>
        <w:t>56(1)</w:t>
        <w:tab/>
        <w:t>52</w:t>
        <w:tab/>
        <w:t>36</w:t>
        <w:tab/>
        <w:t>12</w:t>
        <w:tab/>
        <w:t>30</w:t>
        <w:tab/>
        <w:t>170(3)</w:t>
        <w:tab/>
        <w:t>191</w:t>
        <w:tab/>
        <w:t>547</w:t>
      </w:r>
    </w:p>
    <w:p>
      <w:pPr>
        <w:pStyle w:val="BodyText"/>
        <w:spacing w:before="1"/>
        <w:rPr>
          <w:sz w:val="7"/>
        </w:rPr>
      </w:pPr>
    </w:p>
    <w:p>
      <w:pPr>
        <w:pStyle w:val="ListParagraph"/>
        <w:numPr>
          <w:ilvl w:val="0"/>
          <w:numId w:val="12"/>
        </w:numPr>
        <w:tabs>
          <w:tab w:pos="560" w:val="left" w:leader="none"/>
        </w:tabs>
        <w:spacing w:line="240" w:lineRule="auto" w:before="24" w:after="0"/>
        <w:ind w:left="560" w:right="0" w:hanging="400"/>
        <w:jc w:val="left"/>
        <w:rPr>
          <w:sz w:val="20"/>
        </w:rPr>
      </w:pPr>
      <w:r>
        <w:rPr>
          <w:color w:val="231F20"/>
          <w:sz w:val="20"/>
        </w:rPr>
        <w:t>The Company has flexibility to substitute 737-800s in lieu of 737-700 firm</w:t>
      </w:r>
      <w:r>
        <w:rPr>
          <w:color w:val="231F20"/>
          <w:spacing w:val="7"/>
          <w:sz w:val="20"/>
        </w:rPr>
        <w:t> </w:t>
      </w:r>
      <w:r>
        <w:rPr>
          <w:color w:val="231F20"/>
          <w:sz w:val="20"/>
        </w:rPr>
        <w:t>orders.</w:t>
      </w:r>
    </w:p>
    <w:p>
      <w:pPr>
        <w:pStyle w:val="ListParagraph"/>
        <w:numPr>
          <w:ilvl w:val="0"/>
          <w:numId w:val="12"/>
        </w:numPr>
        <w:tabs>
          <w:tab w:pos="560" w:val="left" w:leader="none"/>
        </w:tabs>
        <w:spacing w:line="249" w:lineRule="auto" w:before="9" w:after="0"/>
        <w:ind w:left="560" w:right="177" w:hanging="400"/>
        <w:jc w:val="left"/>
        <w:rPr>
          <w:sz w:val="20"/>
        </w:rPr>
      </w:pPr>
      <w:r>
        <w:rPr>
          <w:color w:val="231F20"/>
          <w:sz w:val="20"/>
        </w:rPr>
        <w:t>The Company executed an agreement in January 2014 to purchase an additional five 737-700 aircraft from a third</w:t>
      </w:r>
      <w:r>
        <w:rPr>
          <w:color w:val="231F20"/>
          <w:spacing w:val="1"/>
          <w:sz w:val="20"/>
        </w:rPr>
        <w:t> </w:t>
      </w:r>
      <w:r>
        <w:rPr>
          <w:color w:val="231F20"/>
          <w:sz w:val="20"/>
        </w:rPr>
        <w:t>party.</w:t>
      </w:r>
    </w:p>
    <w:p>
      <w:pPr>
        <w:pStyle w:val="ListParagraph"/>
        <w:numPr>
          <w:ilvl w:val="0"/>
          <w:numId w:val="12"/>
        </w:numPr>
        <w:tabs>
          <w:tab w:pos="560" w:val="left" w:leader="none"/>
        </w:tabs>
        <w:spacing w:line="240" w:lineRule="auto" w:before="0" w:after="0"/>
        <w:ind w:left="560" w:right="0" w:hanging="400"/>
        <w:jc w:val="left"/>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pStyle w:val="BodyText"/>
        <w:spacing w:before="3"/>
        <w:rPr>
          <w:sz w:val="18"/>
        </w:rPr>
      </w:pPr>
    </w:p>
    <w:p>
      <w:pPr>
        <w:pStyle w:val="BodyText"/>
        <w:spacing w:line="249" w:lineRule="auto"/>
        <w:ind w:left="160" w:right="477" w:firstLine="490"/>
        <w:jc w:val="both"/>
      </w:pPr>
      <w:r>
        <w:rPr>
          <w:color w:val="231F20"/>
        </w:rPr>
        <w:t>The Company’s financial commitments associated with the firm orders in the above aircraft table are as follows: $876 million in 2014, $824 million in 2015, $1.2 billion in 2016, $1.2 billion in 2017, $1.0 billion in 2018, and $6.8 billion thereafter.</w:t>
      </w:r>
    </w:p>
    <w:p>
      <w:pPr>
        <w:pStyle w:val="BodyText"/>
        <w:spacing w:before="6"/>
        <w:rPr>
          <w:sz w:val="17"/>
        </w:rPr>
      </w:pPr>
    </w:p>
    <w:p>
      <w:pPr>
        <w:pStyle w:val="BodyText"/>
        <w:spacing w:line="249" w:lineRule="auto"/>
        <w:ind w:left="160" w:right="167" w:firstLine="490"/>
      </w:pPr>
      <w:r>
        <w:rPr>
          <w:color w:val="231F20"/>
        </w:rPr>
        <w:t>In </w:t>
      </w:r>
      <w:r>
        <w:rPr>
          <w:color w:val="231F20"/>
          <w:spacing w:val="-4"/>
        </w:rPr>
        <w:t>December 2013, </w:t>
      </w:r>
      <w:r>
        <w:rPr>
          <w:color w:val="231F20"/>
          <w:spacing w:val="-3"/>
        </w:rPr>
        <w:t>the </w:t>
      </w:r>
      <w:r>
        <w:rPr>
          <w:color w:val="231F20"/>
          <w:spacing w:val="-4"/>
        </w:rPr>
        <w:t>Company entered </w:t>
      </w:r>
      <w:r>
        <w:rPr>
          <w:color w:val="231F20"/>
          <w:spacing w:val="-3"/>
        </w:rPr>
        <w:t>into </w:t>
      </w:r>
      <w:r>
        <w:rPr>
          <w:color w:val="231F20"/>
        </w:rPr>
        <w:t>an </w:t>
      </w:r>
      <w:r>
        <w:rPr>
          <w:color w:val="231F20"/>
          <w:spacing w:val="-4"/>
        </w:rPr>
        <w:t>agreement </w:t>
      </w:r>
      <w:r>
        <w:rPr>
          <w:color w:val="231F20"/>
          <w:spacing w:val="-3"/>
        </w:rPr>
        <w:t>with </w:t>
      </w:r>
      <w:r>
        <w:rPr>
          <w:color w:val="231F20"/>
          <w:spacing w:val="-4"/>
        </w:rPr>
        <w:t>Broward County, Florida, which </w:t>
      </w:r>
      <w:r>
        <w:rPr>
          <w:color w:val="231F20"/>
          <w:spacing w:val="-3"/>
        </w:rPr>
        <w:t>owns </w:t>
      </w:r>
      <w:r>
        <w:rPr>
          <w:color w:val="231F20"/>
          <w:spacing w:val="-4"/>
        </w:rPr>
        <w:t>and operates </w:t>
      </w:r>
      <w:r>
        <w:rPr>
          <w:color w:val="231F20"/>
          <w:spacing w:val="-3"/>
        </w:rPr>
        <w:t>Fort </w:t>
      </w:r>
      <w:r>
        <w:rPr>
          <w:color w:val="231F20"/>
          <w:spacing w:val="-4"/>
        </w:rPr>
        <w:t>Lauderdale-Hollywood International Airport, </w:t>
      </w:r>
      <w:r>
        <w:rPr>
          <w:color w:val="231F20"/>
        </w:rPr>
        <w:t>to </w:t>
      </w:r>
      <w:r>
        <w:rPr>
          <w:color w:val="231F20"/>
          <w:spacing w:val="-4"/>
        </w:rPr>
        <w:t>oversee </w:t>
      </w:r>
      <w:r>
        <w:rPr>
          <w:color w:val="231F20"/>
          <w:spacing w:val="-3"/>
        </w:rPr>
        <w:t>and </w:t>
      </w:r>
      <w:r>
        <w:rPr>
          <w:color w:val="231F20"/>
          <w:spacing w:val="-4"/>
        </w:rPr>
        <w:t>manage </w:t>
      </w:r>
      <w:r>
        <w:rPr>
          <w:color w:val="231F20"/>
          <w:spacing w:val="-3"/>
        </w:rPr>
        <w:t>the </w:t>
      </w:r>
      <w:r>
        <w:rPr>
          <w:color w:val="231F20"/>
          <w:spacing w:val="-4"/>
        </w:rPr>
        <w:t>design </w:t>
      </w:r>
      <w:r>
        <w:rPr>
          <w:color w:val="231F20"/>
          <w:spacing w:val="-3"/>
        </w:rPr>
        <w:t>and </w:t>
      </w:r>
      <w:r>
        <w:rPr>
          <w:color w:val="231F20"/>
          <w:spacing w:val="-4"/>
        </w:rPr>
        <w:t>construction </w:t>
      </w:r>
      <w:r>
        <w:rPr>
          <w:color w:val="231F20"/>
        </w:rPr>
        <w:t>of </w:t>
      </w:r>
      <w:r>
        <w:rPr>
          <w:color w:val="231F20"/>
          <w:spacing w:val="-4"/>
        </w:rPr>
        <w:t>the airport’s Terminal </w:t>
      </w:r>
      <w:r>
        <w:rPr>
          <w:color w:val="231F20"/>
        </w:rPr>
        <w:t>1 </w:t>
      </w:r>
      <w:r>
        <w:rPr>
          <w:color w:val="231F20"/>
          <w:spacing w:val="-4"/>
        </w:rPr>
        <w:t>Modernization Project </w:t>
      </w:r>
      <w:r>
        <w:rPr>
          <w:color w:val="231F20"/>
        </w:rPr>
        <w:t>at a </w:t>
      </w:r>
      <w:r>
        <w:rPr>
          <w:color w:val="231F20"/>
          <w:spacing w:val="-3"/>
        </w:rPr>
        <w:t>cost not </w:t>
      </w:r>
      <w:r>
        <w:rPr>
          <w:color w:val="231F20"/>
        </w:rPr>
        <w:t>to </w:t>
      </w:r>
      <w:r>
        <w:rPr>
          <w:color w:val="231F20"/>
          <w:spacing w:val="-4"/>
        </w:rPr>
        <w:t>exceed </w:t>
      </w:r>
      <w:r>
        <w:rPr>
          <w:color w:val="231F20"/>
          <w:spacing w:val="-3"/>
        </w:rPr>
        <w:t>$295 </w:t>
      </w:r>
      <w:r>
        <w:rPr>
          <w:color w:val="231F20"/>
          <w:spacing w:val="-4"/>
        </w:rPr>
        <w:t>million. </w:t>
      </w:r>
      <w:r>
        <w:rPr>
          <w:color w:val="231F20"/>
        </w:rPr>
        <w:t>In </w:t>
      </w:r>
      <w:r>
        <w:rPr>
          <w:color w:val="231F20"/>
          <w:spacing w:val="-4"/>
        </w:rPr>
        <w:t>addition </w:t>
      </w:r>
      <w:r>
        <w:rPr>
          <w:color w:val="231F20"/>
        </w:rPr>
        <w:t>to </w:t>
      </w:r>
      <w:r>
        <w:rPr>
          <w:color w:val="231F20"/>
          <w:spacing w:val="-4"/>
        </w:rPr>
        <w:t>significant improvements </w:t>
      </w:r>
      <w:r>
        <w:rPr>
          <w:color w:val="231F20"/>
        </w:rPr>
        <w:t>to </w:t>
      </w:r>
      <w:r>
        <w:rPr>
          <w:color w:val="231F20"/>
          <w:spacing w:val="-3"/>
        </w:rPr>
        <w:t>the </w:t>
      </w:r>
      <w:r>
        <w:rPr>
          <w:color w:val="231F20"/>
          <w:spacing w:val="-4"/>
        </w:rPr>
        <w:t>existing Terminal </w:t>
      </w:r>
      <w:r>
        <w:rPr>
          <w:color w:val="231F20"/>
        </w:rPr>
        <w:t>1, </w:t>
      </w:r>
      <w:r>
        <w:rPr>
          <w:color w:val="231F20"/>
          <w:spacing w:val="-3"/>
        </w:rPr>
        <w:t>the </w:t>
      </w:r>
      <w:r>
        <w:rPr>
          <w:color w:val="231F20"/>
          <w:spacing w:val="-4"/>
        </w:rPr>
        <w:t>project includes </w:t>
      </w:r>
      <w:r>
        <w:rPr>
          <w:color w:val="231F20"/>
          <w:spacing w:val="-3"/>
        </w:rPr>
        <w:t>the </w:t>
      </w:r>
      <w:r>
        <w:rPr>
          <w:color w:val="231F20"/>
          <w:spacing w:val="-4"/>
        </w:rPr>
        <w:t>design </w:t>
      </w:r>
      <w:r>
        <w:rPr>
          <w:color w:val="231F20"/>
          <w:spacing w:val="-3"/>
        </w:rPr>
        <w:t>and </w:t>
      </w:r>
      <w:r>
        <w:rPr>
          <w:color w:val="231F20"/>
          <w:spacing w:val="-4"/>
        </w:rPr>
        <w:t>construction </w:t>
      </w:r>
      <w:r>
        <w:rPr>
          <w:color w:val="231F20"/>
        </w:rPr>
        <w:t>of a </w:t>
      </w:r>
      <w:r>
        <w:rPr>
          <w:color w:val="231F20"/>
          <w:spacing w:val="-3"/>
        </w:rPr>
        <w:t>new </w:t>
      </w:r>
      <w:r>
        <w:rPr>
          <w:color w:val="231F20"/>
          <w:spacing w:val="-4"/>
        </w:rPr>
        <w:t>five-gate Concourse</w:t>
      </w:r>
      <w:r>
        <w:rPr>
          <w:color w:val="231F20"/>
          <w:spacing w:val="-6"/>
        </w:rPr>
        <w:t> </w:t>
      </w:r>
      <w:r>
        <w:rPr>
          <w:color w:val="231F20"/>
        </w:rPr>
        <w:t>A</w:t>
      </w:r>
      <w:r>
        <w:rPr>
          <w:color w:val="231F20"/>
          <w:spacing w:val="-7"/>
        </w:rPr>
        <w:t> </w:t>
      </w:r>
      <w:r>
        <w:rPr>
          <w:color w:val="231F20"/>
          <w:spacing w:val="-4"/>
        </w:rPr>
        <w:t>with</w:t>
      </w:r>
      <w:r>
        <w:rPr>
          <w:color w:val="231F20"/>
          <w:spacing w:val="-6"/>
        </w:rPr>
        <w:t> </w:t>
      </w:r>
      <w:r>
        <w:rPr>
          <w:color w:val="231F20"/>
        </w:rPr>
        <w:t>an</w:t>
      </w:r>
      <w:r>
        <w:rPr>
          <w:color w:val="231F20"/>
          <w:spacing w:val="-6"/>
        </w:rPr>
        <w:t> </w:t>
      </w:r>
      <w:r>
        <w:rPr>
          <w:color w:val="231F20"/>
          <w:spacing w:val="-4"/>
        </w:rPr>
        <w:t>international</w:t>
      </w:r>
      <w:r>
        <w:rPr>
          <w:color w:val="231F20"/>
          <w:spacing w:val="-6"/>
        </w:rPr>
        <w:t> </w:t>
      </w:r>
      <w:r>
        <w:rPr>
          <w:color w:val="231F20"/>
          <w:spacing w:val="-4"/>
        </w:rPr>
        <w:t>processing</w:t>
      </w:r>
      <w:r>
        <w:rPr>
          <w:color w:val="231F20"/>
          <w:spacing w:val="-6"/>
        </w:rPr>
        <w:t> </w:t>
      </w:r>
      <w:r>
        <w:rPr>
          <w:color w:val="231F20"/>
          <w:spacing w:val="-4"/>
        </w:rPr>
        <w:t>facility.</w:t>
      </w:r>
      <w:r>
        <w:rPr>
          <w:color w:val="231F20"/>
          <w:spacing w:val="-6"/>
        </w:rPr>
        <w:t> </w:t>
      </w:r>
      <w:r>
        <w:rPr>
          <w:color w:val="231F20"/>
          <w:spacing w:val="-4"/>
        </w:rPr>
        <w:t>Funding</w:t>
      </w:r>
      <w:r>
        <w:rPr>
          <w:color w:val="231F20"/>
          <w:spacing w:val="-6"/>
        </w:rPr>
        <w:t> </w:t>
      </w:r>
      <w:r>
        <w:rPr>
          <w:color w:val="231F20"/>
          <w:spacing w:val="-3"/>
        </w:rPr>
        <w:t>for</w:t>
      </w:r>
      <w:r>
        <w:rPr>
          <w:color w:val="231F20"/>
          <w:spacing w:val="-6"/>
        </w:rPr>
        <w:t> </w:t>
      </w:r>
      <w:r>
        <w:rPr>
          <w:color w:val="231F20"/>
          <w:spacing w:val="-3"/>
        </w:rPr>
        <w:t>the</w:t>
      </w:r>
      <w:r>
        <w:rPr>
          <w:color w:val="231F20"/>
          <w:spacing w:val="-6"/>
        </w:rPr>
        <w:t> </w:t>
      </w:r>
      <w:r>
        <w:rPr>
          <w:color w:val="231F20"/>
          <w:spacing w:val="-4"/>
        </w:rPr>
        <w:t>project</w:t>
      </w:r>
      <w:r>
        <w:rPr>
          <w:color w:val="231F20"/>
          <w:spacing w:val="-6"/>
        </w:rPr>
        <w:t> </w:t>
      </w:r>
      <w:r>
        <w:rPr>
          <w:color w:val="231F20"/>
          <w:spacing w:val="-3"/>
        </w:rPr>
        <w:t>will</w:t>
      </w:r>
      <w:r>
        <w:rPr>
          <w:color w:val="231F20"/>
          <w:spacing w:val="-6"/>
        </w:rPr>
        <w:t> </w:t>
      </w:r>
      <w:r>
        <w:rPr>
          <w:color w:val="231F20"/>
          <w:spacing w:val="-3"/>
        </w:rPr>
        <w:t>come</w:t>
      </w:r>
      <w:r>
        <w:rPr>
          <w:color w:val="231F20"/>
          <w:spacing w:val="-6"/>
        </w:rPr>
        <w:t> </w:t>
      </w:r>
      <w:r>
        <w:rPr>
          <w:color w:val="231F20"/>
          <w:spacing w:val="-4"/>
        </w:rPr>
        <w:t>directly</w:t>
      </w:r>
      <w:r>
        <w:rPr>
          <w:color w:val="231F20"/>
          <w:spacing w:val="-6"/>
        </w:rPr>
        <w:t> </w:t>
      </w:r>
      <w:r>
        <w:rPr>
          <w:color w:val="231F20"/>
          <w:spacing w:val="-3"/>
        </w:rPr>
        <w:t>from</w:t>
      </w:r>
      <w:r>
        <w:rPr>
          <w:color w:val="231F20"/>
          <w:spacing w:val="-6"/>
        </w:rPr>
        <w:t> </w:t>
      </w:r>
      <w:r>
        <w:rPr>
          <w:color w:val="231F20"/>
          <w:spacing w:val="-4"/>
        </w:rPr>
        <w:t>Broward</w:t>
      </w:r>
      <w:r>
        <w:rPr>
          <w:color w:val="231F20"/>
          <w:spacing w:val="-6"/>
        </w:rPr>
        <w:t> </w:t>
      </w:r>
      <w:r>
        <w:rPr>
          <w:color w:val="231F20"/>
          <w:spacing w:val="-4"/>
        </w:rPr>
        <w:t>County aviation sources, </w:t>
      </w:r>
      <w:r>
        <w:rPr>
          <w:color w:val="231F20"/>
          <w:spacing w:val="-3"/>
        </w:rPr>
        <w:t>but will flow </w:t>
      </w:r>
      <w:r>
        <w:rPr>
          <w:color w:val="231F20"/>
          <w:spacing w:val="-4"/>
        </w:rPr>
        <w:t>through </w:t>
      </w:r>
      <w:r>
        <w:rPr>
          <w:color w:val="231F20"/>
          <w:spacing w:val="-3"/>
        </w:rPr>
        <w:t>the </w:t>
      </w:r>
      <w:r>
        <w:rPr>
          <w:color w:val="231F20"/>
          <w:spacing w:val="-4"/>
        </w:rPr>
        <w:t>Company </w:t>
      </w:r>
      <w:r>
        <w:rPr>
          <w:color w:val="231F20"/>
        </w:rPr>
        <w:t>in </w:t>
      </w:r>
      <w:r>
        <w:rPr>
          <w:color w:val="231F20"/>
          <w:spacing w:val="-3"/>
        </w:rPr>
        <w:t>its </w:t>
      </w:r>
      <w:r>
        <w:rPr>
          <w:color w:val="231F20"/>
          <w:spacing w:val="-4"/>
        </w:rPr>
        <w:t>capacity </w:t>
      </w:r>
      <w:r>
        <w:rPr>
          <w:color w:val="231F20"/>
        </w:rPr>
        <w:t>as </w:t>
      </w:r>
      <w:r>
        <w:rPr>
          <w:color w:val="231F20"/>
          <w:spacing w:val="-4"/>
        </w:rPr>
        <w:t>manager </w:t>
      </w:r>
      <w:r>
        <w:rPr>
          <w:color w:val="231F20"/>
        </w:rPr>
        <w:t>of </w:t>
      </w:r>
      <w:r>
        <w:rPr>
          <w:color w:val="231F20"/>
          <w:spacing w:val="-3"/>
        </w:rPr>
        <w:t>the </w:t>
      </w:r>
      <w:r>
        <w:rPr>
          <w:color w:val="231F20"/>
          <w:spacing w:val="-4"/>
        </w:rPr>
        <w:t>project. Although construction </w:t>
      </w:r>
      <w:r>
        <w:rPr>
          <w:color w:val="231F20"/>
        </w:rPr>
        <w:t>on</w:t>
      </w:r>
      <w:r>
        <w:rPr>
          <w:color w:val="231F20"/>
          <w:spacing w:val="-8"/>
        </w:rPr>
        <w:t> </w:t>
      </w:r>
      <w:r>
        <w:rPr>
          <w:color w:val="231F20"/>
          <w:spacing w:val="-3"/>
        </w:rPr>
        <w:t>the</w:t>
      </w:r>
      <w:r>
        <w:rPr>
          <w:color w:val="231F20"/>
          <w:spacing w:val="-8"/>
        </w:rPr>
        <w:t> </w:t>
      </w:r>
      <w:r>
        <w:rPr>
          <w:color w:val="231F20"/>
          <w:spacing w:val="-4"/>
        </w:rPr>
        <w:t>project</w:t>
      </w:r>
      <w:r>
        <w:rPr>
          <w:color w:val="231F20"/>
          <w:spacing w:val="-8"/>
        </w:rPr>
        <w:t> </w:t>
      </w:r>
      <w:r>
        <w:rPr>
          <w:color w:val="231F20"/>
        </w:rPr>
        <w:t>is</w:t>
      </w:r>
      <w:r>
        <w:rPr>
          <w:color w:val="231F20"/>
          <w:spacing w:val="-8"/>
        </w:rPr>
        <w:t> </w:t>
      </w:r>
      <w:r>
        <w:rPr>
          <w:color w:val="231F20"/>
          <w:spacing w:val="-3"/>
        </w:rPr>
        <w:t>not</w:t>
      </w:r>
      <w:r>
        <w:rPr>
          <w:color w:val="231F20"/>
          <w:spacing w:val="-8"/>
        </w:rPr>
        <w:t> </w:t>
      </w:r>
      <w:r>
        <w:rPr>
          <w:color w:val="231F20"/>
          <w:spacing w:val="-4"/>
        </w:rPr>
        <w:t>expected</w:t>
      </w:r>
      <w:r>
        <w:rPr>
          <w:color w:val="231F20"/>
          <w:spacing w:val="-8"/>
        </w:rPr>
        <w:t> </w:t>
      </w:r>
      <w:r>
        <w:rPr>
          <w:color w:val="231F20"/>
        </w:rPr>
        <w:t>to</w:t>
      </w:r>
      <w:r>
        <w:rPr>
          <w:color w:val="231F20"/>
          <w:spacing w:val="-8"/>
        </w:rPr>
        <w:t> </w:t>
      </w:r>
      <w:r>
        <w:rPr>
          <w:color w:val="231F20"/>
          <w:spacing w:val="-4"/>
        </w:rPr>
        <w:t>begin</w:t>
      </w:r>
      <w:r>
        <w:rPr>
          <w:color w:val="231F20"/>
          <w:spacing w:val="-8"/>
        </w:rPr>
        <w:t> </w:t>
      </w:r>
      <w:r>
        <w:rPr>
          <w:color w:val="231F20"/>
          <w:spacing w:val="-4"/>
        </w:rPr>
        <w:t>until</w:t>
      </w:r>
      <w:r>
        <w:rPr>
          <w:color w:val="231F20"/>
          <w:spacing w:val="-8"/>
        </w:rPr>
        <w:t> </w:t>
      </w:r>
      <w:r>
        <w:rPr>
          <w:color w:val="231F20"/>
          <w:spacing w:val="-3"/>
        </w:rPr>
        <w:t>late</w:t>
      </w:r>
      <w:r>
        <w:rPr>
          <w:color w:val="231F20"/>
          <w:spacing w:val="-8"/>
        </w:rPr>
        <w:t> </w:t>
      </w:r>
      <w:r>
        <w:rPr>
          <w:color w:val="231F20"/>
        </w:rPr>
        <w:t>in</w:t>
      </w:r>
      <w:r>
        <w:rPr>
          <w:color w:val="231F20"/>
          <w:spacing w:val="-8"/>
        </w:rPr>
        <w:t> </w:t>
      </w:r>
      <w:r>
        <w:rPr>
          <w:color w:val="231F20"/>
          <w:spacing w:val="-4"/>
        </w:rPr>
        <w:t>2014,</w:t>
      </w:r>
      <w:r>
        <w:rPr>
          <w:color w:val="231F20"/>
          <w:spacing w:val="-8"/>
        </w:rPr>
        <w:t> </w:t>
      </w:r>
      <w:r>
        <w:rPr>
          <w:color w:val="231F20"/>
          <w:spacing w:val="-3"/>
        </w:rPr>
        <w:t>the</w:t>
      </w:r>
      <w:r>
        <w:rPr>
          <w:color w:val="231F20"/>
          <w:spacing w:val="-8"/>
        </w:rPr>
        <w:t> </w:t>
      </w:r>
      <w:r>
        <w:rPr>
          <w:color w:val="231F20"/>
          <w:spacing w:val="-4"/>
        </w:rPr>
        <w:t>Company</w:t>
      </w:r>
      <w:r>
        <w:rPr>
          <w:color w:val="231F20"/>
          <w:spacing w:val="-8"/>
        </w:rPr>
        <w:t> </w:t>
      </w:r>
      <w:r>
        <w:rPr>
          <w:color w:val="231F20"/>
          <w:spacing w:val="-4"/>
        </w:rPr>
        <w:t>believes</w:t>
      </w:r>
      <w:r>
        <w:rPr>
          <w:color w:val="231F20"/>
          <w:spacing w:val="-8"/>
        </w:rPr>
        <w:t> </w:t>
      </w:r>
      <w:r>
        <w:rPr>
          <w:color w:val="231F20"/>
          <w:spacing w:val="-3"/>
        </w:rPr>
        <w:t>that</w:t>
      </w:r>
      <w:r>
        <w:rPr>
          <w:color w:val="231F20"/>
          <w:spacing w:val="-8"/>
        </w:rPr>
        <w:t> </w:t>
      </w:r>
      <w:r>
        <w:rPr>
          <w:color w:val="231F20"/>
          <w:spacing w:val="-3"/>
        </w:rPr>
        <w:t>due</w:t>
      </w:r>
      <w:r>
        <w:rPr>
          <w:color w:val="231F20"/>
          <w:spacing w:val="-8"/>
        </w:rPr>
        <w:t> </w:t>
      </w:r>
      <w:r>
        <w:rPr>
          <w:color w:val="231F20"/>
        </w:rPr>
        <w:t>to</w:t>
      </w:r>
      <w:r>
        <w:rPr>
          <w:color w:val="231F20"/>
          <w:spacing w:val="-8"/>
        </w:rPr>
        <w:t> </w:t>
      </w:r>
      <w:r>
        <w:rPr>
          <w:color w:val="231F20"/>
          <w:spacing w:val="-3"/>
        </w:rPr>
        <w:t>its</w:t>
      </w:r>
      <w:r>
        <w:rPr>
          <w:color w:val="231F20"/>
          <w:spacing w:val="-8"/>
        </w:rPr>
        <w:t> </w:t>
      </w:r>
      <w:r>
        <w:rPr>
          <w:color w:val="231F20"/>
          <w:spacing w:val="-4"/>
        </w:rPr>
        <w:t>agreed</w:t>
      </w:r>
      <w:r>
        <w:rPr>
          <w:color w:val="231F20"/>
          <w:spacing w:val="-8"/>
        </w:rPr>
        <w:t> </w:t>
      </w:r>
      <w:r>
        <w:rPr>
          <w:color w:val="231F20"/>
          <w:spacing w:val="-3"/>
        </w:rPr>
        <w:t>upon</w:t>
      </w:r>
      <w:r>
        <w:rPr>
          <w:color w:val="231F20"/>
          <w:spacing w:val="-8"/>
        </w:rPr>
        <w:t> </w:t>
      </w:r>
      <w:r>
        <w:rPr>
          <w:color w:val="231F20"/>
          <w:spacing w:val="-3"/>
        </w:rPr>
        <w:t>role</w:t>
      </w:r>
      <w:r>
        <w:rPr>
          <w:color w:val="231F20"/>
          <w:spacing w:val="-8"/>
        </w:rPr>
        <w:t> </w:t>
      </w:r>
      <w:r>
        <w:rPr>
          <w:color w:val="231F20"/>
          <w:spacing w:val="-4"/>
        </w:rPr>
        <w:t>in</w:t>
      </w:r>
    </w:p>
    <w:p>
      <w:pPr>
        <w:spacing w:after="0" w:line="249" w:lineRule="auto"/>
        <w:sectPr>
          <w:type w:val="continuous"/>
          <w:pgSz w:w="11880" w:h="15480"/>
          <w:pgMar w:top="1200" w:bottom="280" w:left="1220" w:right="1220"/>
        </w:sectPr>
      </w:pPr>
    </w:p>
    <w:p>
      <w:pPr>
        <w:pStyle w:val="BodyText"/>
        <w:spacing w:line="249" w:lineRule="auto" w:before="73"/>
        <w:ind w:left="100" w:right="201"/>
      </w:pPr>
      <w:r>
        <w:rPr>
          <w:color w:val="231F20"/>
          <w:spacing w:val="-4"/>
        </w:rPr>
        <w:t>overseeing </w:t>
      </w:r>
      <w:r>
        <w:rPr>
          <w:color w:val="231F20"/>
          <w:spacing w:val="-3"/>
        </w:rPr>
        <w:t>and </w:t>
      </w:r>
      <w:r>
        <w:rPr>
          <w:color w:val="231F20"/>
          <w:spacing w:val="-4"/>
        </w:rPr>
        <w:t>managing </w:t>
      </w:r>
      <w:r>
        <w:rPr>
          <w:color w:val="231F20"/>
          <w:spacing w:val="-3"/>
        </w:rPr>
        <w:t>the </w:t>
      </w:r>
      <w:r>
        <w:rPr>
          <w:color w:val="231F20"/>
          <w:spacing w:val="-4"/>
        </w:rPr>
        <w:t>project, </w:t>
      </w:r>
      <w:r>
        <w:rPr>
          <w:color w:val="231F20"/>
        </w:rPr>
        <w:t>it </w:t>
      </w:r>
      <w:r>
        <w:rPr>
          <w:color w:val="231F20"/>
          <w:spacing w:val="-3"/>
        </w:rPr>
        <w:t>will </w:t>
      </w:r>
      <w:r>
        <w:rPr>
          <w:color w:val="231F20"/>
        </w:rPr>
        <w:t>be </w:t>
      </w:r>
      <w:r>
        <w:rPr>
          <w:color w:val="231F20"/>
          <w:spacing w:val="-4"/>
        </w:rPr>
        <w:t>considered </w:t>
      </w:r>
      <w:r>
        <w:rPr>
          <w:color w:val="231F20"/>
          <w:spacing w:val="-3"/>
        </w:rPr>
        <w:t>the </w:t>
      </w:r>
      <w:r>
        <w:rPr>
          <w:color w:val="231F20"/>
          <w:spacing w:val="-4"/>
        </w:rPr>
        <w:t>owner </w:t>
      </w:r>
      <w:r>
        <w:rPr>
          <w:color w:val="231F20"/>
        </w:rPr>
        <w:t>of </w:t>
      </w:r>
      <w:r>
        <w:rPr>
          <w:color w:val="231F20"/>
          <w:spacing w:val="-3"/>
        </w:rPr>
        <w:t>the </w:t>
      </w:r>
      <w:r>
        <w:rPr>
          <w:color w:val="231F20"/>
          <w:spacing w:val="-4"/>
        </w:rPr>
        <w:t>project </w:t>
      </w:r>
      <w:r>
        <w:rPr>
          <w:color w:val="231F20"/>
          <w:spacing w:val="-3"/>
        </w:rPr>
        <w:t>for </w:t>
      </w:r>
      <w:r>
        <w:rPr>
          <w:color w:val="231F20"/>
          <w:spacing w:val="-4"/>
        </w:rPr>
        <w:t>accounting purposes. </w:t>
      </w:r>
      <w:r>
        <w:rPr>
          <w:color w:val="231F20"/>
        </w:rPr>
        <w:t>As </w:t>
      </w:r>
      <w:r>
        <w:rPr>
          <w:color w:val="231F20"/>
          <w:spacing w:val="-4"/>
        </w:rPr>
        <w:t>such, </w:t>
      </w:r>
      <w:r>
        <w:rPr>
          <w:color w:val="231F20"/>
        </w:rPr>
        <w:t>in </w:t>
      </w:r>
      <w:r>
        <w:rPr>
          <w:color w:val="231F20"/>
          <w:spacing w:val="-3"/>
        </w:rPr>
        <w:t>the </w:t>
      </w:r>
      <w:r>
        <w:rPr>
          <w:color w:val="231F20"/>
          <w:spacing w:val="-4"/>
        </w:rPr>
        <w:t>Consolidated Balance Sheet, </w:t>
      </w:r>
      <w:r>
        <w:rPr>
          <w:color w:val="231F20"/>
          <w:spacing w:val="-3"/>
        </w:rPr>
        <w:t>the </w:t>
      </w:r>
      <w:r>
        <w:rPr>
          <w:color w:val="231F20"/>
          <w:spacing w:val="-4"/>
        </w:rPr>
        <w:t>Company </w:t>
      </w:r>
      <w:r>
        <w:rPr>
          <w:color w:val="231F20"/>
        </w:rPr>
        <w:t>is </w:t>
      </w:r>
      <w:r>
        <w:rPr>
          <w:color w:val="231F20"/>
          <w:spacing w:val="-4"/>
        </w:rPr>
        <w:t>expected </w:t>
      </w:r>
      <w:r>
        <w:rPr>
          <w:color w:val="231F20"/>
        </w:rPr>
        <w:t>to </w:t>
      </w:r>
      <w:r>
        <w:rPr>
          <w:color w:val="231F20"/>
          <w:spacing w:val="-4"/>
        </w:rPr>
        <w:t>record </w:t>
      </w:r>
      <w:r>
        <w:rPr>
          <w:color w:val="231F20"/>
        </w:rPr>
        <w:t>an </w:t>
      </w:r>
      <w:r>
        <w:rPr>
          <w:color w:val="231F20"/>
          <w:spacing w:val="-4"/>
        </w:rPr>
        <w:t>increase </w:t>
      </w:r>
      <w:r>
        <w:rPr>
          <w:color w:val="231F20"/>
        </w:rPr>
        <w:t>in </w:t>
      </w:r>
      <w:r>
        <w:rPr>
          <w:color w:val="231F20"/>
          <w:spacing w:val="-4"/>
        </w:rPr>
        <w:t>Assets constructed </w:t>
      </w:r>
      <w:r>
        <w:rPr>
          <w:color w:val="231F20"/>
          <w:spacing w:val="-3"/>
        </w:rPr>
        <w:t>for </w:t>
      </w:r>
      <w:r>
        <w:rPr>
          <w:color w:val="231F20"/>
          <w:spacing w:val="-4"/>
        </w:rPr>
        <w:t>others as </w:t>
      </w:r>
      <w:r>
        <w:rPr>
          <w:color w:val="231F20"/>
          <w:spacing w:val="-3"/>
        </w:rPr>
        <w:t>the </w:t>
      </w:r>
      <w:r>
        <w:rPr>
          <w:color w:val="231F20"/>
          <w:spacing w:val="-4"/>
        </w:rPr>
        <w:t>project </w:t>
      </w:r>
      <w:r>
        <w:rPr>
          <w:color w:val="231F20"/>
        </w:rPr>
        <w:t>is </w:t>
      </w:r>
      <w:r>
        <w:rPr>
          <w:color w:val="231F20"/>
          <w:spacing w:val="-4"/>
        </w:rPr>
        <w:t>built (with </w:t>
      </w:r>
      <w:r>
        <w:rPr>
          <w:color w:val="231F20"/>
        </w:rPr>
        <w:t>a </w:t>
      </w:r>
      <w:r>
        <w:rPr>
          <w:color w:val="231F20"/>
          <w:spacing w:val="-4"/>
        </w:rPr>
        <w:t>corresponding </w:t>
      </w:r>
      <w:r>
        <w:rPr>
          <w:color w:val="231F20"/>
          <w:spacing w:val="-3"/>
        </w:rPr>
        <w:t>cash </w:t>
      </w:r>
      <w:r>
        <w:rPr>
          <w:color w:val="231F20"/>
          <w:spacing w:val="-4"/>
        </w:rPr>
        <w:t>outflow </w:t>
      </w:r>
      <w:r>
        <w:rPr>
          <w:color w:val="231F20"/>
        </w:rPr>
        <w:t>in </w:t>
      </w:r>
      <w:r>
        <w:rPr>
          <w:color w:val="231F20"/>
          <w:spacing w:val="-4"/>
        </w:rPr>
        <w:t>Investing activities </w:t>
      </w:r>
      <w:r>
        <w:rPr>
          <w:color w:val="231F20"/>
        </w:rPr>
        <w:t>in </w:t>
      </w:r>
      <w:r>
        <w:rPr>
          <w:color w:val="231F20"/>
          <w:spacing w:val="-3"/>
        </w:rPr>
        <w:t>the </w:t>
      </w:r>
      <w:r>
        <w:rPr>
          <w:color w:val="231F20"/>
          <w:spacing w:val="-4"/>
        </w:rPr>
        <w:t>Consolidated Statement </w:t>
      </w:r>
      <w:r>
        <w:rPr>
          <w:color w:val="231F20"/>
        </w:rPr>
        <w:t>of </w:t>
      </w:r>
      <w:r>
        <w:rPr>
          <w:color w:val="231F20"/>
          <w:spacing w:val="-4"/>
        </w:rPr>
        <w:t>Cash Flows), </w:t>
      </w:r>
      <w:r>
        <w:rPr>
          <w:color w:val="231F20"/>
          <w:spacing w:val="-3"/>
        </w:rPr>
        <w:t>and </w:t>
      </w:r>
      <w:r>
        <w:rPr>
          <w:color w:val="231F20"/>
        </w:rPr>
        <w:t>an </w:t>
      </w:r>
      <w:r>
        <w:rPr>
          <w:color w:val="231F20"/>
          <w:spacing w:val="-4"/>
        </w:rPr>
        <w:t>increase </w:t>
      </w:r>
      <w:r>
        <w:rPr>
          <w:color w:val="231F20"/>
        </w:rPr>
        <w:t>to </w:t>
      </w:r>
      <w:r>
        <w:rPr>
          <w:color w:val="231F20"/>
          <w:spacing w:val="-4"/>
        </w:rPr>
        <w:t>Construction obligation (with </w:t>
      </w:r>
      <w:r>
        <w:rPr>
          <w:color w:val="231F20"/>
        </w:rPr>
        <w:t>a </w:t>
      </w:r>
      <w:r>
        <w:rPr>
          <w:color w:val="231F20"/>
          <w:spacing w:val="-4"/>
        </w:rPr>
        <w:t>corresponding </w:t>
      </w:r>
      <w:r>
        <w:rPr>
          <w:color w:val="231F20"/>
          <w:spacing w:val="-3"/>
        </w:rPr>
        <w:t>cash </w:t>
      </w:r>
      <w:r>
        <w:rPr>
          <w:color w:val="231F20"/>
          <w:spacing w:val="-4"/>
        </w:rPr>
        <w:t>inflow </w:t>
      </w:r>
      <w:r>
        <w:rPr>
          <w:color w:val="231F20"/>
        </w:rPr>
        <w:t>in </w:t>
      </w:r>
      <w:r>
        <w:rPr>
          <w:color w:val="231F20"/>
          <w:spacing w:val="-4"/>
        </w:rPr>
        <w:t>Financing activities </w:t>
      </w:r>
      <w:r>
        <w:rPr>
          <w:color w:val="231F20"/>
        </w:rPr>
        <w:t>in </w:t>
      </w:r>
      <w:r>
        <w:rPr>
          <w:color w:val="231F20"/>
          <w:spacing w:val="-4"/>
        </w:rPr>
        <w:t>the Consolidated Statement </w:t>
      </w:r>
      <w:r>
        <w:rPr>
          <w:color w:val="231F20"/>
        </w:rPr>
        <w:t>of </w:t>
      </w:r>
      <w:r>
        <w:rPr>
          <w:color w:val="231F20"/>
          <w:spacing w:val="-3"/>
        </w:rPr>
        <w:t>Cash </w:t>
      </w:r>
      <w:r>
        <w:rPr>
          <w:color w:val="231F20"/>
          <w:spacing w:val="-4"/>
        </w:rPr>
        <w:t>Flows) </w:t>
      </w:r>
      <w:r>
        <w:rPr>
          <w:color w:val="231F20"/>
        </w:rPr>
        <w:t>as </w:t>
      </w:r>
      <w:r>
        <w:rPr>
          <w:color w:val="231F20"/>
          <w:spacing w:val="-4"/>
        </w:rPr>
        <w:t>reimbursements </w:t>
      </w:r>
      <w:r>
        <w:rPr>
          <w:color w:val="231F20"/>
          <w:spacing w:val="-3"/>
        </w:rPr>
        <w:t>are </w:t>
      </w:r>
      <w:r>
        <w:rPr>
          <w:color w:val="231F20"/>
          <w:spacing w:val="-4"/>
        </w:rPr>
        <w:t>received </w:t>
      </w:r>
      <w:r>
        <w:rPr>
          <w:color w:val="231F20"/>
          <w:spacing w:val="-3"/>
        </w:rPr>
        <w:t>from </w:t>
      </w:r>
      <w:r>
        <w:rPr>
          <w:color w:val="231F20"/>
          <w:spacing w:val="-4"/>
        </w:rPr>
        <w:t>Broward County.</w:t>
      </w:r>
    </w:p>
    <w:p>
      <w:pPr>
        <w:pStyle w:val="BodyText"/>
        <w:spacing w:before="10"/>
      </w:pPr>
    </w:p>
    <w:p>
      <w:pPr>
        <w:pStyle w:val="BodyText"/>
        <w:spacing w:line="249" w:lineRule="auto" w:before="1"/>
        <w:ind w:left="100" w:right="160" w:firstLine="490"/>
      </w:pPr>
      <w:r>
        <w:rPr>
          <w:color w:val="231F20"/>
        </w:rPr>
        <w:t>The Company entered into a Memorandum of Agreement (“MOA”) with the City of Houston (“City”), effective June 2012, to expand the existing Houston Hobby airport facility. As provided in the MOA, the Company and the City have entered into an Airport Use and Lease Agreement (“Lease”) to control the execution of this expansion and the financial terms thereof. Per the MOA and Lease, this project provides for a new five- gate international terminal with international passenger processing facilities, expansion of the existing security checkpoint, and upgrades to the Southwest ticketing counter area. The project is estimated to cost $156 million, and the Company has agreed to provide the funding for, as well as management over, the project. In return, the Company will receive a monthly credit for the capital cost portions of the international terminal, from the date of initial occupancy of the terminal until expiration of the Lease. Additionally, some portion of the project is expected to qualify for rental credits that would be utilized upon completion of the facility against the Company’s current lease space at the airport. At any time after the completion of the project, the City may buy out the Company’s investment in the international terminal for the then-unamortized cost of the</w:t>
      </w:r>
      <w:r>
        <w:rPr>
          <w:color w:val="231F20"/>
          <w:spacing w:val="11"/>
        </w:rPr>
        <w:t> </w:t>
      </w:r>
      <w:r>
        <w:rPr>
          <w:color w:val="231F20"/>
        </w:rPr>
        <w:t>project.</w:t>
      </w:r>
    </w:p>
    <w:p>
      <w:pPr>
        <w:pStyle w:val="BodyText"/>
        <w:spacing w:before="1"/>
        <w:ind w:left="100"/>
      </w:pPr>
      <w:r>
        <w:rPr>
          <w:color w:val="231F20"/>
        </w:rPr>
        <w:t>Construction began during third quarter 2013 and is estimated to be completed during the second half of 2015.</w:t>
      </w:r>
    </w:p>
    <w:p>
      <w:pPr>
        <w:pStyle w:val="BodyText"/>
        <w:spacing w:before="8"/>
        <w:rPr>
          <w:sz w:val="21"/>
        </w:rPr>
      </w:pPr>
    </w:p>
    <w:p>
      <w:pPr>
        <w:pStyle w:val="BodyText"/>
        <w:spacing w:line="249" w:lineRule="auto"/>
        <w:ind w:left="100" w:right="179" w:firstLine="490"/>
      </w:pPr>
      <w:r>
        <w:rPr>
          <w:color w:val="231F20"/>
        </w:rPr>
        <w:t>As a result of its significant involvement in the Houston Hobby project, the Company has evaluated its ongoing accounting requirements in consideration of accounting guidance provided for lessees involved in asset construction, and has determined that it qualifies as the accounting owner of the facility during the construction period. As such, during construction, the Company records expenditures as Assets constructed for others in the Consolidated Balance Sheet, along with a corresponding outflow within Payments for purchase of property and equipment, net, in the Consolidated Statement of Cash Flows. The amounts recorded for 2013 were not material.</w:t>
      </w:r>
    </w:p>
    <w:p>
      <w:pPr>
        <w:pStyle w:val="BodyText"/>
        <w:spacing w:before="10"/>
      </w:pPr>
    </w:p>
    <w:p>
      <w:pPr>
        <w:pStyle w:val="BodyText"/>
        <w:spacing w:line="249" w:lineRule="auto" w:before="1"/>
        <w:ind w:left="100" w:right="179" w:firstLine="490"/>
      </w:pPr>
      <w:r>
        <w:rPr>
          <w:color w:val="231F20"/>
        </w:rPr>
        <w:t>In March 2013, the Company executed an agreement with Los Angeles World Airports (“LAWA”), which owns and operates Los Angeles International Airport. Under the agreement, the Company will oversee and manage the design and construction of the airport’s Terminal 1 Modernization Project at a cost not to exceed</w:t>
      </w:r>
    </w:p>
    <w:p>
      <w:pPr>
        <w:pStyle w:val="BodyText"/>
        <w:spacing w:line="249" w:lineRule="auto" w:before="1"/>
        <w:ind w:left="100" w:right="369"/>
      </w:pPr>
      <w:r>
        <w:rPr>
          <w:color w:val="231F20"/>
        </w:rPr>
        <w:t>$400 million. The Company and LAWA are currently working on how the project will be funded, which may include, but is not limited to, the funding being provided by the Company (for which it would be reimbursed upon completion of different project phases, as defined, or from an external source). Although construction on the project is not expected to begin until the middle of 2014, the Company believes that due to its agreed upon role in overseeing and managing the project, it will be considered the owner of the project for accounting purposes. However, since the source of funding for the project has not yet been decided upon, the final accounting treatment will be determined at a later date.</w:t>
      </w:r>
    </w:p>
    <w:p>
      <w:pPr>
        <w:pStyle w:val="BodyText"/>
        <w:spacing w:before="10"/>
      </w:pPr>
    </w:p>
    <w:p>
      <w:pPr>
        <w:pStyle w:val="BodyText"/>
        <w:spacing w:line="249" w:lineRule="auto" w:before="1"/>
        <w:ind w:left="100" w:right="110" w:firstLine="490"/>
      </w:pPr>
      <w:r>
        <w:rPr>
          <w:color w:val="231F20"/>
        </w:rPr>
        <w:t>During 2008 the City of Dallas approved the Love Field Modernization Program (“LFMP”), a project to reconstruct Dallas Love Field (“Airport”) with modern, convenient air travel facilities. Pursuant to a Program Development Agreement with the City of Dallas and the Love Field Airport Modernization Corporation (or “LFAMC,” a Texas non-profit “local government corporation” established by the City of Dallas to act on the City of Dallas’ behalf to facilitate the development of the LFMP), the Company is managing this project. Major construction commenced during 2010. New ticketing and checkin areas opened during fourth quarter 2012, and 11 new gates and new concessions opened in April 2013. Another new gate opened in July 2013, and full completion of the project is scheduled for second half 2014. The project consists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w:t>
      </w:r>
      <w:r>
        <w:rPr>
          <w:color w:val="231F20"/>
          <w:spacing w:val="4"/>
        </w:rPr>
        <w:t> </w:t>
      </w:r>
      <w:r>
        <w:rPr>
          <w:color w:val="231F20"/>
        </w:rPr>
        <w:t>infrastructure.</w:t>
      </w:r>
    </w:p>
    <w:p>
      <w:pPr>
        <w:pStyle w:val="BodyText"/>
        <w:spacing w:before="11"/>
      </w:pPr>
    </w:p>
    <w:p>
      <w:pPr>
        <w:pStyle w:val="BodyText"/>
        <w:spacing w:line="249" w:lineRule="auto"/>
        <w:ind w:left="100" w:right="385" w:firstLine="490"/>
      </w:pPr>
      <w:r>
        <w:rPr>
          <w:color w:val="231F20"/>
        </w:rPr>
        <w:t>It is currently expected that the total construction costs associated with the LFMP project will be approximately $519 million. Although the City of Dallas has received commitments from various sources that</w:t>
      </w:r>
    </w:p>
    <w:p>
      <w:pPr>
        <w:spacing w:after="0" w:line="249" w:lineRule="auto"/>
        <w:sectPr>
          <w:footerReference w:type="default" r:id="rId35"/>
          <w:pgSz w:w="11880" w:h="15480"/>
          <w:pgMar w:footer="1253" w:header="0" w:top="1240" w:bottom="1440" w:left="1280" w:right="1280"/>
        </w:sectPr>
      </w:pPr>
    </w:p>
    <w:p>
      <w:pPr>
        <w:pStyle w:val="BodyText"/>
        <w:spacing w:line="249" w:lineRule="auto" w:before="73"/>
        <w:ind w:left="160" w:right="124"/>
      </w:pPr>
      <w:r>
        <w:rPr/>
        <w:pict>
          <v:line style="position:absolute;mso-position-horizontal-relative:page;mso-position-vertical-relative:page;z-index:-331744" from="325pt,608.75pt" to="390pt,608.75pt" stroked="true" strokeweight=".5pt" strokecolor="#231f20">
            <v:stroke dashstyle="solid"/>
            <w10:wrap type="none"/>
          </v:line>
        </w:pict>
      </w:r>
      <w:r>
        <w:rPr/>
        <w:pict>
          <v:line style="position:absolute;mso-position-horizontal-relative:page;mso-position-vertical-relative:page;z-index:-331720" from="400pt,608.75pt" to="465pt,608.75pt" stroked="true" strokeweight=".5pt" strokecolor="#231f20">
            <v:stroke dashstyle="solid"/>
            <w10:wrap type="none"/>
          </v:line>
        </w:pict>
      </w:r>
      <w:r>
        <w:rPr>
          <w:color w:val="231F20"/>
        </w:rPr>
        <w:t>are helping to fund portions of the LFMP project, including the Federal Aviation Administration (“FAA”), the Transportation Security Administration, and the City of Dallas’ Aviation Fund, the majority of the funds used are from the issuance of bonds. During fourth quarter 2010, $310 million of such bonds were issued by the LFAMC, and the Company has guaranteed principal and interest payments on the bonds. An additional tranche of such bonds totaling $146 million was issued during second quarter 2012, and the Company has guaranteed the principal and interest payments on these bonds as well. The Company currently expects that as a result of the funding commitments from the above mentioned sources and the bonds that have been issued thus far, no further bond issuances and related guarantees from the Company will be required to complete the LFMP project.</w:t>
      </w:r>
    </w:p>
    <w:p>
      <w:pPr>
        <w:pStyle w:val="BodyText"/>
        <w:spacing w:before="10"/>
      </w:pPr>
    </w:p>
    <w:p>
      <w:pPr>
        <w:pStyle w:val="BodyText"/>
        <w:spacing w:line="249" w:lineRule="auto" w:before="1"/>
        <w:ind w:left="160" w:right="66" w:firstLine="490"/>
      </w:pPr>
      <w:r>
        <w:rPr>
          <w:color w:val="231F20"/>
        </w:rPr>
        <w:t>In </w:t>
      </w:r>
      <w:r>
        <w:rPr>
          <w:color w:val="231F20"/>
          <w:spacing w:val="-4"/>
        </w:rPr>
        <w:t>conjunction </w:t>
      </w:r>
      <w:r>
        <w:rPr>
          <w:color w:val="231F20"/>
          <w:spacing w:val="-3"/>
        </w:rPr>
        <w:t>with the </w:t>
      </w:r>
      <w:r>
        <w:rPr>
          <w:color w:val="231F20"/>
          <w:spacing w:val="-4"/>
        </w:rPr>
        <w:t>Company’s significant presence </w:t>
      </w:r>
      <w:r>
        <w:rPr>
          <w:color w:val="231F20"/>
        </w:rPr>
        <w:t>at </w:t>
      </w:r>
      <w:r>
        <w:rPr>
          <w:color w:val="231F20"/>
          <w:spacing w:val="-4"/>
        </w:rPr>
        <w:t>Dallas </w:t>
      </w:r>
      <w:r>
        <w:rPr>
          <w:color w:val="231F20"/>
          <w:spacing w:val="-3"/>
        </w:rPr>
        <w:t>Love </w:t>
      </w:r>
      <w:r>
        <w:rPr>
          <w:color w:val="231F20"/>
          <w:spacing w:val="-4"/>
        </w:rPr>
        <w:t>Field, </w:t>
      </w:r>
      <w:r>
        <w:rPr>
          <w:color w:val="231F20"/>
          <w:spacing w:val="-3"/>
        </w:rPr>
        <w:t>its </w:t>
      </w:r>
      <w:r>
        <w:rPr>
          <w:color w:val="231F20"/>
          <w:spacing w:val="-4"/>
        </w:rPr>
        <w:t>rights </w:t>
      </w:r>
      <w:r>
        <w:rPr>
          <w:color w:val="231F20"/>
        </w:rPr>
        <w:t>to </w:t>
      </w:r>
      <w:r>
        <w:rPr>
          <w:color w:val="231F20"/>
          <w:spacing w:val="-4"/>
        </w:rPr>
        <w:t>occupy </w:t>
      </w:r>
      <w:r>
        <w:rPr>
          <w:color w:val="231F20"/>
        </w:rPr>
        <w:t>16 of </w:t>
      </w:r>
      <w:r>
        <w:rPr>
          <w:color w:val="231F20"/>
          <w:spacing w:val="-4"/>
        </w:rPr>
        <w:t>the available gates </w:t>
      </w:r>
      <w:r>
        <w:rPr>
          <w:color w:val="231F20"/>
          <w:spacing w:val="-3"/>
        </w:rPr>
        <w:t>upon </w:t>
      </w:r>
      <w:r>
        <w:rPr>
          <w:color w:val="231F20"/>
          <w:spacing w:val="-4"/>
        </w:rPr>
        <w:t>completion </w:t>
      </w:r>
      <w:r>
        <w:rPr>
          <w:color w:val="231F20"/>
        </w:rPr>
        <w:t>of </w:t>
      </w:r>
      <w:r>
        <w:rPr>
          <w:color w:val="231F20"/>
          <w:spacing w:val="-3"/>
        </w:rPr>
        <w:t>the </w:t>
      </w:r>
      <w:r>
        <w:rPr>
          <w:color w:val="231F20"/>
          <w:spacing w:val="-4"/>
        </w:rPr>
        <w:t>facility, </w:t>
      </w:r>
      <w:r>
        <w:rPr>
          <w:color w:val="231F20"/>
          <w:spacing w:val="-3"/>
        </w:rPr>
        <w:t>and </w:t>
      </w:r>
      <w:r>
        <w:rPr>
          <w:color w:val="231F20"/>
          <w:spacing w:val="-4"/>
        </w:rPr>
        <w:t>other factors, </w:t>
      </w:r>
      <w:r>
        <w:rPr>
          <w:color w:val="231F20"/>
          <w:spacing w:val="-3"/>
        </w:rPr>
        <w:t>the </w:t>
      </w:r>
      <w:r>
        <w:rPr>
          <w:color w:val="231F20"/>
          <w:spacing w:val="-4"/>
        </w:rPr>
        <w:t>Company agreed </w:t>
      </w:r>
      <w:r>
        <w:rPr>
          <w:color w:val="231F20"/>
        </w:rPr>
        <w:t>to </w:t>
      </w:r>
      <w:r>
        <w:rPr>
          <w:color w:val="231F20"/>
          <w:spacing w:val="-4"/>
        </w:rPr>
        <w:t>manage </w:t>
      </w:r>
      <w:r>
        <w:rPr>
          <w:color w:val="231F20"/>
          <w:spacing w:val="-3"/>
        </w:rPr>
        <w:t>the </w:t>
      </w:r>
      <w:r>
        <w:rPr>
          <w:color w:val="231F20"/>
          <w:spacing w:val="-4"/>
        </w:rPr>
        <w:t>majority </w:t>
      </w:r>
      <w:r>
        <w:rPr>
          <w:color w:val="231F20"/>
        </w:rPr>
        <w:t>of </w:t>
      </w:r>
      <w:r>
        <w:rPr>
          <w:color w:val="231F20"/>
          <w:spacing w:val="-4"/>
        </w:rPr>
        <w:t>the </w:t>
      </w:r>
      <w:r>
        <w:rPr>
          <w:color w:val="231F20"/>
          <w:spacing w:val="-3"/>
        </w:rPr>
        <w:t>LFMP </w:t>
      </w:r>
      <w:r>
        <w:rPr>
          <w:color w:val="231F20"/>
          <w:spacing w:val="-4"/>
        </w:rPr>
        <w:t>project. Based </w:t>
      </w:r>
      <w:r>
        <w:rPr>
          <w:color w:val="231F20"/>
        </w:rPr>
        <w:t>on </w:t>
      </w:r>
      <w:r>
        <w:rPr>
          <w:color w:val="231F20"/>
          <w:spacing w:val="-4"/>
        </w:rPr>
        <w:t>these facts, </w:t>
      </w:r>
      <w:r>
        <w:rPr>
          <w:color w:val="231F20"/>
          <w:spacing w:val="-3"/>
        </w:rPr>
        <w:t>the </w:t>
      </w:r>
      <w:r>
        <w:rPr>
          <w:color w:val="231F20"/>
          <w:spacing w:val="-4"/>
        </w:rPr>
        <w:t>Company </w:t>
      </w:r>
      <w:r>
        <w:rPr>
          <w:color w:val="231F20"/>
          <w:spacing w:val="-3"/>
        </w:rPr>
        <w:t>has </w:t>
      </w:r>
      <w:r>
        <w:rPr>
          <w:color w:val="231F20"/>
          <w:spacing w:val="-4"/>
        </w:rPr>
        <w:t>evaluated </w:t>
      </w:r>
      <w:r>
        <w:rPr>
          <w:color w:val="231F20"/>
          <w:spacing w:val="-3"/>
        </w:rPr>
        <w:t>its </w:t>
      </w:r>
      <w:r>
        <w:rPr>
          <w:color w:val="231F20"/>
          <w:spacing w:val="-4"/>
        </w:rPr>
        <w:t>ongoing accounting requirements </w:t>
      </w:r>
      <w:r>
        <w:rPr>
          <w:color w:val="231F20"/>
        </w:rPr>
        <w:t>in </w:t>
      </w:r>
      <w:r>
        <w:rPr>
          <w:color w:val="231F20"/>
          <w:spacing w:val="-4"/>
        </w:rPr>
        <w:t>consideration </w:t>
      </w:r>
      <w:r>
        <w:rPr>
          <w:color w:val="231F20"/>
        </w:rPr>
        <w:t>of </w:t>
      </w:r>
      <w:r>
        <w:rPr>
          <w:color w:val="231F20"/>
          <w:spacing w:val="-4"/>
        </w:rPr>
        <w:t>accounting guidance provided </w:t>
      </w:r>
      <w:r>
        <w:rPr>
          <w:color w:val="231F20"/>
          <w:spacing w:val="-3"/>
        </w:rPr>
        <w:t>for </w:t>
      </w:r>
      <w:r>
        <w:rPr>
          <w:color w:val="231F20"/>
          <w:spacing w:val="-4"/>
        </w:rPr>
        <w:t>lessees involved </w:t>
      </w:r>
      <w:r>
        <w:rPr>
          <w:color w:val="231F20"/>
        </w:rPr>
        <w:t>in </w:t>
      </w:r>
      <w:r>
        <w:rPr>
          <w:color w:val="231F20"/>
          <w:spacing w:val="-4"/>
        </w:rPr>
        <w:t>asset construction. </w:t>
      </w:r>
      <w:r>
        <w:rPr>
          <w:color w:val="231F20"/>
          <w:spacing w:val="-3"/>
        </w:rPr>
        <w:t>The </w:t>
      </w:r>
      <w:r>
        <w:rPr>
          <w:color w:val="231F20"/>
          <w:spacing w:val="-4"/>
        </w:rPr>
        <w:t>Company </w:t>
      </w:r>
      <w:r>
        <w:rPr>
          <w:color w:val="231F20"/>
          <w:spacing w:val="-3"/>
        </w:rPr>
        <w:t>has </w:t>
      </w:r>
      <w:r>
        <w:rPr>
          <w:color w:val="231F20"/>
          <w:spacing w:val="-4"/>
        </w:rPr>
        <w:t>recorded </w:t>
      </w:r>
      <w:r>
        <w:rPr>
          <w:color w:val="231F20"/>
          <w:spacing w:val="-3"/>
        </w:rPr>
        <w:t>and </w:t>
      </w:r>
      <w:r>
        <w:rPr>
          <w:color w:val="231F20"/>
          <w:spacing w:val="-4"/>
        </w:rPr>
        <w:t>will continue </w:t>
      </w:r>
      <w:r>
        <w:rPr>
          <w:color w:val="231F20"/>
        </w:rPr>
        <w:t>to </w:t>
      </w:r>
      <w:r>
        <w:rPr>
          <w:color w:val="231F20"/>
          <w:spacing w:val="-4"/>
        </w:rPr>
        <w:t>record </w:t>
      </w:r>
      <w:r>
        <w:rPr>
          <w:color w:val="231F20"/>
        </w:rPr>
        <w:t>an </w:t>
      </w:r>
      <w:r>
        <w:rPr>
          <w:color w:val="231F20"/>
          <w:spacing w:val="-4"/>
        </w:rPr>
        <w:t>asset </w:t>
      </w:r>
      <w:r>
        <w:rPr>
          <w:color w:val="231F20"/>
          <w:spacing w:val="-3"/>
        </w:rPr>
        <w:t>and </w:t>
      </w:r>
      <w:r>
        <w:rPr>
          <w:color w:val="231F20"/>
          <w:spacing w:val="-4"/>
        </w:rPr>
        <w:t>corresponding obligation </w:t>
      </w:r>
      <w:r>
        <w:rPr>
          <w:color w:val="231F20"/>
          <w:spacing w:val="-3"/>
        </w:rPr>
        <w:t>for the cost </w:t>
      </w:r>
      <w:r>
        <w:rPr>
          <w:color w:val="231F20"/>
        </w:rPr>
        <w:t>of </w:t>
      </w:r>
      <w:r>
        <w:rPr>
          <w:color w:val="231F20"/>
          <w:spacing w:val="-3"/>
        </w:rPr>
        <w:t>the LFMP </w:t>
      </w:r>
      <w:r>
        <w:rPr>
          <w:color w:val="231F20"/>
          <w:spacing w:val="-4"/>
        </w:rPr>
        <w:t>project </w:t>
      </w:r>
      <w:r>
        <w:rPr>
          <w:color w:val="231F20"/>
        </w:rPr>
        <w:t>as </w:t>
      </w:r>
      <w:r>
        <w:rPr>
          <w:color w:val="231F20"/>
          <w:spacing w:val="-3"/>
        </w:rPr>
        <w:t>the </w:t>
      </w:r>
      <w:r>
        <w:rPr>
          <w:color w:val="231F20"/>
          <w:spacing w:val="-4"/>
        </w:rPr>
        <w:t>construction </w:t>
      </w:r>
      <w:r>
        <w:rPr>
          <w:color w:val="231F20"/>
        </w:rPr>
        <w:t>of </w:t>
      </w:r>
      <w:r>
        <w:rPr>
          <w:color w:val="231F20"/>
          <w:spacing w:val="-4"/>
        </w:rPr>
        <w:t>the facility occurs. </w:t>
      </w:r>
      <w:r>
        <w:rPr>
          <w:color w:val="231F20"/>
        </w:rPr>
        <w:t>As of </w:t>
      </w:r>
      <w:r>
        <w:rPr>
          <w:color w:val="231F20"/>
          <w:spacing w:val="-4"/>
        </w:rPr>
        <w:t>December </w:t>
      </w:r>
      <w:r>
        <w:rPr>
          <w:color w:val="231F20"/>
          <w:spacing w:val="-3"/>
        </w:rPr>
        <w:t>31, </w:t>
      </w:r>
      <w:r>
        <w:rPr>
          <w:color w:val="231F20"/>
          <w:spacing w:val="-4"/>
        </w:rPr>
        <w:t>2013, </w:t>
      </w:r>
      <w:r>
        <w:rPr>
          <w:color w:val="231F20"/>
          <w:spacing w:val="-3"/>
        </w:rPr>
        <w:t>the </w:t>
      </w:r>
      <w:r>
        <w:rPr>
          <w:color w:val="231F20"/>
          <w:spacing w:val="-4"/>
        </w:rPr>
        <w:t>Company </w:t>
      </w:r>
      <w:r>
        <w:rPr>
          <w:color w:val="231F20"/>
          <w:spacing w:val="-3"/>
        </w:rPr>
        <w:t>had </w:t>
      </w:r>
      <w:r>
        <w:rPr>
          <w:color w:val="231F20"/>
          <w:spacing w:val="-4"/>
        </w:rPr>
        <w:t>recorded </w:t>
      </w:r>
      <w:r>
        <w:rPr>
          <w:color w:val="231F20"/>
          <w:spacing w:val="-3"/>
        </w:rPr>
        <w:t>LFMP </w:t>
      </w:r>
      <w:r>
        <w:rPr>
          <w:color w:val="231F20"/>
          <w:spacing w:val="-4"/>
        </w:rPr>
        <w:t>construction costs </w:t>
      </w:r>
      <w:r>
        <w:rPr>
          <w:color w:val="231F20"/>
        </w:rPr>
        <w:t>of </w:t>
      </w:r>
      <w:r>
        <w:rPr>
          <w:color w:val="231F20"/>
          <w:spacing w:val="-3"/>
        </w:rPr>
        <w:t>$430 </w:t>
      </w:r>
      <w:r>
        <w:rPr>
          <w:color w:val="231F20"/>
          <w:spacing w:val="-4"/>
        </w:rPr>
        <w:t>million (of which </w:t>
      </w:r>
      <w:r>
        <w:rPr>
          <w:color w:val="231F20"/>
          <w:spacing w:val="-3"/>
        </w:rPr>
        <w:t>$350 </w:t>
      </w:r>
      <w:r>
        <w:rPr>
          <w:color w:val="231F20"/>
          <w:spacing w:val="-4"/>
        </w:rPr>
        <w:t>million </w:t>
      </w:r>
      <w:r>
        <w:rPr>
          <w:color w:val="231F20"/>
          <w:spacing w:val="-3"/>
        </w:rPr>
        <w:t>has been </w:t>
      </w:r>
      <w:r>
        <w:rPr>
          <w:color w:val="231F20"/>
          <w:spacing w:val="-4"/>
        </w:rPr>
        <w:t>placed </w:t>
      </w:r>
      <w:r>
        <w:rPr>
          <w:color w:val="231F20"/>
          <w:spacing w:val="-3"/>
        </w:rPr>
        <w:t>into </w:t>
      </w:r>
      <w:r>
        <w:rPr>
          <w:color w:val="231F20"/>
          <w:spacing w:val="-4"/>
        </w:rPr>
        <w:t>service </w:t>
      </w:r>
      <w:r>
        <w:rPr>
          <w:color w:val="231F20"/>
          <w:spacing w:val="-3"/>
        </w:rPr>
        <w:t>and was </w:t>
      </w:r>
      <w:r>
        <w:rPr>
          <w:color w:val="231F20"/>
          <w:spacing w:val="-4"/>
        </w:rPr>
        <w:t>classified </w:t>
      </w:r>
      <w:r>
        <w:rPr>
          <w:color w:val="231F20"/>
        </w:rPr>
        <w:t>as </w:t>
      </w:r>
      <w:r>
        <w:rPr>
          <w:color w:val="231F20"/>
          <w:spacing w:val="-4"/>
        </w:rPr>
        <w:t>Assets constructed </w:t>
      </w:r>
      <w:r>
        <w:rPr>
          <w:color w:val="231F20"/>
          <w:spacing w:val="-3"/>
        </w:rPr>
        <w:t>for </w:t>
      </w:r>
      <w:r>
        <w:rPr>
          <w:color w:val="231F20"/>
          <w:spacing w:val="-4"/>
        </w:rPr>
        <w:t>others </w:t>
      </w:r>
      <w:r>
        <w:rPr>
          <w:color w:val="231F20"/>
          <w:spacing w:val="-3"/>
        </w:rPr>
        <w:t>and $80 </w:t>
      </w:r>
      <w:r>
        <w:rPr>
          <w:color w:val="231F20"/>
          <w:spacing w:val="-4"/>
        </w:rPr>
        <w:t>million </w:t>
      </w:r>
      <w:r>
        <w:rPr>
          <w:color w:val="231F20"/>
          <w:spacing w:val="-3"/>
        </w:rPr>
        <w:t>was </w:t>
      </w:r>
      <w:r>
        <w:rPr>
          <w:color w:val="231F20"/>
        </w:rPr>
        <w:t>in </w:t>
      </w:r>
      <w:r>
        <w:rPr>
          <w:color w:val="231F20"/>
          <w:spacing w:val="-4"/>
        </w:rPr>
        <w:t>progress </w:t>
      </w:r>
      <w:r>
        <w:rPr>
          <w:color w:val="231F20"/>
          <w:spacing w:val="-3"/>
        </w:rPr>
        <w:t>and </w:t>
      </w:r>
      <w:r>
        <w:rPr>
          <w:color w:val="231F20"/>
        </w:rPr>
        <w:t>is </w:t>
      </w:r>
      <w:r>
        <w:rPr>
          <w:color w:val="231F20"/>
          <w:spacing w:val="-4"/>
        </w:rPr>
        <w:t>classified within Ground property </w:t>
      </w:r>
      <w:r>
        <w:rPr>
          <w:color w:val="231F20"/>
          <w:spacing w:val="-3"/>
        </w:rPr>
        <w:t>and </w:t>
      </w:r>
      <w:r>
        <w:rPr>
          <w:color w:val="231F20"/>
          <w:spacing w:val="-4"/>
        </w:rPr>
        <w:t>equipment) </w:t>
      </w:r>
      <w:r>
        <w:rPr>
          <w:color w:val="231F20"/>
          <w:spacing w:val="-3"/>
        </w:rPr>
        <w:t>and had </w:t>
      </w:r>
      <w:r>
        <w:rPr>
          <w:color w:val="231F20"/>
        </w:rPr>
        <w:t>a </w:t>
      </w:r>
      <w:r>
        <w:rPr>
          <w:color w:val="231F20"/>
          <w:spacing w:val="-4"/>
        </w:rPr>
        <w:t>liability </w:t>
      </w:r>
      <w:r>
        <w:rPr>
          <w:color w:val="231F20"/>
        </w:rPr>
        <w:t>of </w:t>
      </w:r>
      <w:r>
        <w:rPr>
          <w:color w:val="231F20"/>
          <w:spacing w:val="-3"/>
        </w:rPr>
        <w:t>$437 </w:t>
      </w:r>
      <w:r>
        <w:rPr>
          <w:color w:val="231F20"/>
          <w:spacing w:val="-4"/>
        </w:rPr>
        <w:t>million classified </w:t>
      </w:r>
      <w:r>
        <w:rPr>
          <w:color w:val="231F20"/>
        </w:rPr>
        <w:t>as </w:t>
      </w:r>
      <w:r>
        <w:rPr>
          <w:color w:val="231F20"/>
          <w:spacing w:val="-4"/>
        </w:rPr>
        <w:t>Airport construction obligations </w:t>
      </w:r>
      <w:r>
        <w:rPr>
          <w:color w:val="231F20"/>
        </w:rPr>
        <w:t>in </w:t>
      </w:r>
      <w:r>
        <w:rPr>
          <w:color w:val="231F20"/>
          <w:spacing w:val="-3"/>
        </w:rPr>
        <w:t>its </w:t>
      </w:r>
      <w:r>
        <w:rPr>
          <w:color w:val="231F20"/>
          <w:spacing w:val="-4"/>
        </w:rPr>
        <w:t>Consolidated Balance Sheet. </w:t>
      </w:r>
      <w:r>
        <w:rPr>
          <w:color w:val="231F20"/>
          <w:spacing w:val="-3"/>
        </w:rPr>
        <w:t>Upon </w:t>
      </w:r>
      <w:r>
        <w:rPr>
          <w:color w:val="231F20"/>
          <w:spacing w:val="-4"/>
        </w:rPr>
        <w:t>completion </w:t>
      </w:r>
      <w:r>
        <w:rPr>
          <w:color w:val="231F20"/>
        </w:rPr>
        <w:t>of </w:t>
      </w:r>
      <w:r>
        <w:rPr>
          <w:color w:val="231F20"/>
          <w:spacing w:val="-4"/>
        </w:rPr>
        <w:t>different phases </w:t>
      </w:r>
      <w:r>
        <w:rPr>
          <w:color w:val="231F20"/>
        </w:rPr>
        <w:t>of </w:t>
      </w:r>
      <w:r>
        <w:rPr>
          <w:color w:val="231F20"/>
          <w:spacing w:val="-4"/>
        </w:rPr>
        <w:t>the </w:t>
      </w:r>
      <w:r>
        <w:rPr>
          <w:color w:val="231F20"/>
          <w:spacing w:val="-3"/>
        </w:rPr>
        <w:t>LFMP </w:t>
      </w:r>
      <w:r>
        <w:rPr>
          <w:color w:val="231F20"/>
          <w:spacing w:val="-4"/>
        </w:rPr>
        <w:t>project, </w:t>
      </w:r>
      <w:r>
        <w:rPr>
          <w:color w:val="231F20"/>
          <w:spacing w:val="-3"/>
        </w:rPr>
        <w:t>the </w:t>
      </w:r>
      <w:r>
        <w:rPr>
          <w:color w:val="231F20"/>
          <w:spacing w:val="-4"/>
        </w:rPr>
        <w:t>Company </w:t>
      </w:r>
      <w:r>
        <w:rPr>
          <w:color w:val="231F20"/>
          <w:spacing w:val="-3"/>
        </w:rPr>
        <w:t>has </w:t>
      </w:r>
      <w:r>
        <w:rPr>
          <w:color w:val="231F20"/>
          <w:spacing w:val="-4"/>
        </w:rPr>
        <w:t>placed </w:t>
      </w:r>
      <w:r>
        <w:rPr>
          <w:color w:val="231F20"/>
          <w:spacing w:val="-3"/>
        </w:rPr>
        <w:t>the </w:t>
      </w:r>
      <w:r>
        <w:rPr>
          <w:color w:val="231F20"/>
          <w:spacing w:val="-4"/>
        </w:rPr>
        <w:t>associated assets </w:t>
      </w:r>
      <w:r>
        <w:rPr>
          <w:color w:val="231F20"/>
        </w:rPr>
        <w:t>in </w:t>
      </w:r>
      <w:r>
        <w:rPr>
          <w:color w:val="231F20"/>
          <w:spacing w:val="-4"/>
        </w:rPr>
        <w:t>service </w:t>
      </w:r>
      <w:r>
        <w:rPr>
          <w:color w:val="231F20"/>
          <w:spacing w:val="-3"/>
        </w:rPr>
        <w:t>and has </w:t>
      </w:r>
      <w:r>
        <w:rPr>
          <w:color w:val="231F20"/>
          <w:spacing w:val="-4"/>
        </w:rPr>
        <w:t>begun depreciating </w:t>
      </w:r>
      <w:r>
        <w:rPr>
          <w:color w:val="231F20"/>
          <w:spacing w:val="-3"/>
        </w:rPr>
        <w:t>the </w:t>
      </w:r>
      <w:r>
        <w:rPr>
          <w:color w:val="231F20"/>
          <w:spacing w:val="-4"/>
        </w:rPr>
        <w:t>assets </w:t>
      </w:r>
      <w:r>
        <w:rPr>
          <w:color w:val="231F20"/>
          <w:spacing w:val="-3"/>
        </w:rPr>
        <w:t>over </w:t>
      </w:r>
      <w:r>
        <w:rPr>
          <w:color w:val="231F20"/>
          <w:spacing w:val="-4"/>
        </w:rPr>
        <w:t>their estimated useful lives. </w:t>
      </w:r>
      <w:r>
        <w:rPr>
          <w:color w:val="231F20"/>
          <w:spacing w:val="-3"/>
        </w:rPr>
        <w:t>The </w:t>
      </w:r>
      <w:r>
        <w:rPr>
          <w:color w:val="231F20"/>
          <w:spacing w:val="-4"/>
        </w:rPr>
        <w:t>amount </w:t>
      </w:r>
      <w:r>
        <w:rPr>
          <w:color w:val="231F20"/>
        </w:rPr>
        <w:t>of </w:t>
      </w:r>
      <w:r>
        <w:rPr>
          <w:color w:val="231F20"/>
          <w:spacing w:val="-4"/>
        </w:rPr>
        <w:t>depreciation recorded </w:t>
      </w:r>
      <w:r>
        <w:rPr>
          <w:color w:val="231F20"/>
          <w:spacing w:val="-3"/>
        </w:rPr>
        <w:t>for the year </w:t>
      </w:r>
      <w:r>
        <w:rPr>
          <w:color w:val="231F20"/>
          <w:spacing w:val="-4"/>
        </w:rPr>
        <w:t>ended December </w:t>
      </w:r>
      <w:r>
        <w:rPr>
          <w:color w:val="231F20"/>
          <w:spacing w:val="-3"/>
        </w:rPr>
        <w:t>31, </w:t>
      </w:r>
      <w:r>
        <w:rPr>
          <w:color w:val="231F20"/>
          <w:spacing w:val="-4"/>
        </w:rPr>
        <w:t>2013, associated </w:t>
      </w:r>
      <w:r>
        <w:rPr>
          <w:color w:val="231F20"/>
          <w:spacing w:val="-3"/>
        </w:rPr>
        <w:t>with </w:t>
      </w:r>
      <w:r>
        <w:rPr>
          <w:color w:val="231F20"/>
          <w:spacing w:val="-4"/>
        </w:rPr>
        <w:t>the </w:t>
      </w:r>
      <w:r>
        <w:rPr>
          <w:color w:val="231F20"/>
          <w:spacing w:val="-3"/>
        </w:rPr>
        <w:t>LFMP </w:t>
      </w:r>
      <w:r>
        <w:rPr>
          <w:color w:val="231F20"/>
          <w:spacing w:val="-4"/>
        </w:rPr>
        <w:t>assets </w:t>
      </w:r>
      <w:r>
        <w:rPr>
          <w:color w:val="231F20"/>
        </w:rPr>
        <w:t>in </w:t>
      </w:r>
      <w:r>
        <w:rPr>
          <w:color w:val="231F20"/>
          <w:spacing w:val="-4"/>
        </w:rPr>
        <w:t>service </w:t>
      </w:r>
      <w:r>
        <w:rPr>
          <w:color w:val="231F20"/>
          <w:spacing w:val="-3"/>
        </w:rPr>
        <w:t>was </w:t>
      </w:r>
      <w:r>
        <w:rPr>
          <w:color w:val="231F20"/>
        </w:rPr>
        <w:t>$9 </w:t>
      </w:r>
      <w:r>
        <w:rPr>
          <w:color w:val="231F20"/>
          <w:spacing w:val="-4"/>
        </w:rPr>
        <w:t>million. </w:t>
      </w:r>
      <w:r>
        <w:rPr>
          <w:color w:val="231F20"/>
          <w:spacing w:val="-3"/>
        </w:rPr>
        <w:t>The </w:t>
      </w:r>
      <w:r>
        <w:rPr>
          <w:color w:val="231F20"/>
          <w:spacing w:val="-4"/>
        </w:rPr>
        <w:t>corresponding </w:t>
      </w:r>
      <w:r>
        <w:rPr>
          <w:color w:val="231F20"/>
          <w:spacing w:val="-3"/>
        </w:rPr>
        <w:t>LFMP </w:t>
      </w:r>
      <w:r>
        <w:rPr>
          <w:color w:val="231F20"/>
          <w:spacing w:val="-4"/>
        </w:rPr>
        <w:t>liabilities </w:t>
      </w:r>
      <w:r>
        <w:rPr>
          <w:color w:val="231F20"/>
          <w:spacing w:val="-3"/>
        </w:rPr>
        <w:t>will </w:t>
      </w:r>
      <w:r>
        <w:rPr>
          <w:color w:val="231F20"/>
        </w:rPr>
        <w:t>be </w:t>
      </w:r>
      <w:r>
        <w:rPr>
          <w:color w:val="231F20"/>
          <w:spacing w:val="-4"/>
        </w:rPr>
        <w:t>reduced primarily through the Company’s airport rental payments </w:t>
      </w:r>
      <w:r>
        <w:rPr>
          <w:color w:val="231F20"/>
        </w:rPr>
        <w:t>to </w:t>
      </w:r>
      <w:r>
        <w:rPr>
          <w:color w:val="231F20"/>
          <w:spacing w:val="-3"/>
        </w:rPr>
        <w:t>the City </w:t>
      </w:r>
      <w:r>
        <w:rPr>
          <w:color w:val="231F20"/>
        </w:rPr>
        <w:t>of </w:t>
      </w:r>
      <w:r>
        <w:rPr>
          <w:color w:val="231F20"/>
          <w:spacing w:val="-4"/>
        </w:rPr>
        <w:t>Dallas </w:t>
      </w:r>
      <w:r>
        <w:rPr>
          <w:color w:val="231F20"/>
        </w:rPr>
        <w:t>as </w:t>
      </w:r>
      <w:r>
        <w:rPr>
          <w:color w:val="231F20"/>
          <w:spacing w:val="-3"/>
        </w:rPr>
        <w:t>the </w:t>
      </w:r>
      <w:r>
        <w:rPr>
          <w:color w:val="231F20"/>
          <w:spacing w:val="-4"/>
        </w:rPr>
        <w:t>construction costs </w:t>
      </w:r>
      <w:r>
        <w:rPr>
          <w:color w:val="231F20"/>
        </w:rPr>
        <w:t>of </w:t>
      </w:r>
      <w:r>
        <w:rPr>
          <w:color w:val="231F20"/>
          <w:spacing w:val="-3"/>
        </w:rPr>
        <w:t>the </w:t>
      </w:r>
      <w:r>
        <w:rPr>
          <w:color w:val="231F20"/>
          <w:spacing w:val="-4"/>
        </w:rPr>
        <w:t>project </w:t>
      </w:r>
      <w:r>
        <w:rPr>
          <w:color w:val="231F20"/>
          <w:spacing w:val="-3"/>
        </w:rPr>
        <w:t>are </w:t>
      </w:r>
      <w:r>
        <w:rPr>
          <w:color w:val="231F20"/>
          <w:spacing w:val="-4"/>
        </w:rPr>
        <w:t>passed through to </w:t>
      </w:r>
      <w:r>
        <w:rPr>
          <w:color w:val="231F20"/>
          <w:spacing w:val="-3"/>
        </w:rPr>
        <w:t>the </w:t>
      </w:r>
      <w:r>
        <w:rPr>
          <w:color w:val="231F20"/>
          <w:spacing w:val="-4"/>
        </w:rPr>
        <w:t>Company </w:t>
      </w:r>
      <w:r>
        <w:rPr>
          <w:color w:val="231F20"/>
          <w:spacing w:val="-3"/>
        </w:rPr>
        <w:t>via </w:t>
      </w:r>
      <w:r>
        <w:rPr>
          <w:color w:val="231F20"/>
          <w:spacing w:val="-4"/>
        </w:rPr>
        <w:t>recurring airport rates </w:t>
      </w:r>
      <w:r>
        <w:rPr>
          <w:color w:val="231F20"/>
          <w:spacing w:val="-3"/>
        </w:rPr>
        <w:t>and </w:t>
      </w:r>
      <w:r>
        <w:rPr>
          <w:color w:val="231F20"/>
          <w:spacing w:val="-4"/>
        </w:rPr>
        <w:t>charges. </w:t>
      </w:r>
      <w:r>
        <w:rPr>
          <w:color w:val="231F20"/>
          <w:spacing w:val="-3"/>
        </w:rPr>
        <w:t>Such 2013 </w:t>
      </w:r>
      <w:r>
        <w:rPr>
          <w:color w:val="231F20"/>
          <w:spacing w:val="-4"/>
        </w:rPr>
        <w:t>payments </w:t>
      </w:r>
      <w:r>
        <w:rPr>
          <w:color w:val="231F20"/>
          <w:spacing w:val="-3"/>
        </w:rPr>
        <w:t>are </w:t>
      </w:r>
      <w:r>
        <w:rPr>
          <w:color w:val="231F20"/>
          <w:spacing w:val="-4"/>
        </w:rPr>
        <w:t>reflected </w:t>
      </w:r>
      <w:r>
        <w:rPr>
          <w:color w:val="231F20"/>
        </w:rPr>
        <w:t>as </w:t>
      </w:r>
      <w:r>
        <w:rPr>
          <w:color w:val="231F20"/>
          <w:spacing w:val="-4"/>
        </w:rPr>
        <w:t>Repayments </w:t>
      </w:r>
      <w:r>
        <w:rPr>
          <w:color w:val="231F20"/>
        </w:rPr>
        <w:t>of </w:t>
      </w:r>
      <w:r>
        <w:rPr>
          <w:color w:val="231F20"/>
          <w:spacing w:val="-4"/>
        </w:rPr>
        <w:t>airport construction obligations </w:t>
      </w:r>
      <w:r>
        <w:rPr>
          <w:color w:val="231F20"/>
        </w:rPr>
        <w:t>in </w:t>
      </w:r>
      <w:r>
        <w:rPr>
          <w:color w:val="231F20"/>
          <w:spacing w:val="-3"/>
        </w:rPr>
        <w:t>the </w:t>
      </w:r>
      <w:r>
        <w:rPr>
          <w:color w:val="231F20"/>
          <w:spacing w:val="-4"/>
        </w:rPr>
        <w:t>Consolidated Statement </w:t>
      </w:r>
      <w:r>
        <w:rPr>
          <w:color w:val="231F20"/>
        </w:rPr>
        <w:t>of </w:t>
      </w:r>
      <w:r>
        <w:rPr>
          <w:color w:val="231F20"/>
          <w:spacing w:val="-3"/>
        </w:rPr>
        <w:t>Cash </w:t>
      </w:r>
      <w:r>
        <w:rPr>
          <w:color w:val="231F20"/>
          <w:spacing w:val="-4"/>
        </w:rPr>
        <w:t>Flows. Further, future contractual airport rental payments </w:t>
      </w:r>
      <w:r>
        <w:rPr>
          <w:color w:val="231F20"/>
        </w:rPr>
        <w:t>to </w:t>
      </w:r>
      <w:r>
        <w:rPr>
          <w:color w:val="231F20"/>
          <w:spacing w:val="-3"/>
        </w:rPr>
        <w:t>the City </w:t>
      </w:r>
      <w:r>
        <w:rPr>
          <w:color w:val="231F20"/>
        </w:rPr>
        <w:t>of </w:t>
      </w:r>
      <w:r>
        <w:rPr>
          <w:color w:val="231F20"/>
          <w:spacing w:val="-4"/>
        </w:rPr>
        <w:t>Dallas </w:t>
      </w:r>
      <w:r>
        <w:rPr>
          <w:color w:val="231F20"/>
          <w:spacing w:val="-3"/>
        </w:rPr>
        <w:t>are </w:t>
      </w:r>
      <w:r>
        <w:rPr>
          <w:color w:val="231F20"/>
          <w:spacing w:val="-4"/>
        </w:rPr>
        <w:t>included </w:t>
      </w:r>
      <w:r>
        <w:rPr>
          <w:color w:val="231F20"/>
        </w:rPr>
        <w:t>in </w:t>
      </w:r>
      <w:r>
        <w:rPr>
          <w:color w:val="231F20"/>
          <w:spacing w:val="-3"/>
        </w:rPr>
        <w:t>the </w:t>
      </w:r>
      <w:r>
        <w:rPr>
          <w:color w:val="231F20"/>
          <w:spacing w:val="-4"/>
        </w:rPr>
        <w:t>schedule </w:t>
      </w:r>
      <w:r>
        <w:rPr>
          <w:color w:val="231F20"/>
        </w:rPr>
        <w:t>of </w:t>
      </w:r>
      <w:r>
        <w:rPr>
          <w:color w:val="231F20"/>
          <w:spacing w:val="-4"/>
        </w:rPr>
        <w:t>future minimum lease payments </w:t>
      </w:r>
      <w:r>
        <w:rPr>
          <w:color w:val="231F20"/>
        </w:rPr>
        <w:t>in </w:t>
      </w:r>
      <w:r>
        <w:rPr>
          <w:color w:val="231F20"/>
          <w:spacing w:val="-3"/>
        </w:rPr>
        <w:t>Note </w:t>
      </w:r>
      <w:r>
        <w:rPr>
          <w:color w:val="231F20"/>
        </w:rPr>
        <w:t>8. </w:t>
      </w:r>
      <w:r>
        <w:rPr>
          <w:color w:val="231F20"/>
          <w:spacing w:val="-4"/>
        </w:rPr>
        <w:t>The Company records interest expense </w:t>
      </w:r>
      <w:r>
        <w:rPr>
          <w:color w:val="231F20"/>
        </w:rPr>
        <w:t>on </w:t>
      </w:r>
      <w:r>
        <w:rPr>
          <w:color w:val="231F20"/>
          <w:spacing w:val="-3"/>
        </w:rPr>
        <w:t>the </w:t>
      </w:r>
      <w:r>
        <w:rPr>
          <w:color w:val="231F20"/>
          <w:spacing w:val="-4"/>
        </w:rPr>
        <w:t>Construction obligation </w:t>
      </w:r>
      <w:r>
        <w:rPr>
          <w:color w:val="231F20"/>
        </w:rPr>
        <w:t>at an </w:t>
      </w:r>
      <w:r>
        <w:rPr>
          <w:color w:val="231F20"/>
          <w:spacing w:val="-4"/>
        </w:rPr>
        <w:t>imputed </w:t>
      </w:r>
      <w:r>
        <w:rPr>
          <w:color w:val="231F20"/>
          <w:spacing w:val="-3"/>
        </w:rPr>
        <w:t>rate </w:t>
      </w:r>
      <w:r>
        <w:rPr>
          <w:color w:val="231F20"/>
          <w:spacing w:val="-4"/>
        </w:rPr>
        <w:t>based </w:t>
      </w:r>
      <w:r>
        <w:rPr>
          <w:color w:val="231F20"/>
        </w:rPr>
        <w:t>on </w:t>
      </w:r>
      <w:r>
        <w:rPr>
          <w:color w:val="231F20"/>
          <w:spacing w:val="-3"/>
        </w:rPr>
        <w:t>the </w:t>
      </w:r>
      <w:r>
        <w:rPr>
          <w:color w:val="231F20"/>
          <w:spacing w:val="-4"/>
        </w:rPr>
        <w:t>outstanding bonds.</w:t>
      </w:r>
    </w:p>
    <w:p>
      <w:pPr>
        <w:pStyle w:val="BodyText"/>
        <w:spacing w:before="4"/>
        <w:rPr>
          <w:sz w:val="31"/>
        </w:rPr>
      </w:pPr>
    </w:p>
    <w:p>
      <w:pPr>
        <w:pStyle w:val="Heading4"/>
        <w:ind w:left="410"/>
        <w:rPr>
          <w:i/>
        </w:rPr>
      </w:pPr>
      <w:r>
        <w:rPr>
          <w:i/>
          <w:color w:val="231F20"/>
        </w:rPr>
        <w:t>Contingencies</w:t>
      </w:r>
    </w:p>
    <w:p>
      <w:pPr>
        <w:pStyle w:val="BodyText"/>
        <w:spacing w:line="249" w:lineRule="auto" w:before="129"/>
        <w:ind w:left="160" w:right="145" w:firstLine="490"/>
      </w:pPr>
      <w:r>
        <w:rPr>
          <w:color w:val="231F20"/>
        </w:rPr>
        <w:t>The Company is from time to time subject to various legal proceedings and claims arising in the ordinary course of business, including, but not limited to, examinations by the IRS. The Company’s 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pStyle w:val="BodyText"/>
      </w:pPr>
    </w:p>
    <w:p>
      <w:pPr>
        <w:pStyle w:val="BodyText"/>
        <w:spacing w:before="1" w:after="1"/>
        <w:rPr>
          <w:sz w:val="1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0"/>
        <w:gridCol w:w="150"/>
        <w:gridCol w:w="1300"/>
        <w:gridCol w:w="200"/>
        <w:gridCol w:w="1300"/>
      </w:tblGrid>
      <w:tr>
        <w:trPr>
          <w:trHeight w:val="351" w:hRule="exact"/>
        </w:trPr>
        <w:tc>
          <w:tcPr>
            <w:tcW w:w="5020" w:type="dxa"/>
          </w:tcPr>
          <w:p>
            <w:pPr>
              <w:pStyle w:val="TableParagraph"/>
              <w:spacing w:line="221" w:lineRule="exact"/>
              <w:ind w:left="50"/>
              <w:jc w:val="left"/>
              <w:rPr>
                <w:b/>
                <w:sz w:val="20"/>
              </w:rPr>
            </w:pPr>
            <w:r>
              <w:rPr>
                <w:b/>
                <w:color w:val="231F20"/>
                <w:sz w:val="20"/>
              </w:rPr>
              <w:t>5. SUPPLEMENTAL FINANCIAL INFORMATION</w:t>
            </w:r>
          </w:p>
        </w:tc>
        <w:tc>
          <w:tcPr>
            <w:tcW w:w="2950" w:type="dxa"/>
            <w:gridSpan w:val="4"/>
          </w:tcPr>
          <w:p>
            <w:pPr/>
          </w:p>
        </w:tc>
      </w:tr>
      <w:tr>
        <w:trPr>
          <w:trHeight w:val="616" w:hRule="exact"/>
        </w:trPr>
        <w:tc>
          <w:tcPr>
            <w:tcW w:w="5020" w:type="dxa"/>
            <w:tcBorders>
              <w:bottom w:val="single" w:sz="8" w:space="0" w:color="231F20"/>
            </w:tcBorders>
          </w:tcPr>
          <w:p>
            <w:pPr>
              <w:pStyle w:val="TableParagraph"/>
              <w:spacing w:before="3"/>
              <w:jc w:val="left"/>
              <w:rPr>
                <w:sz w:val="31"/>
              </w:rPr>
            </w:pPr>
          </w:p>
          <w:p>
            <w:pPr>
              <w:pStyle w:val="TableParagraph"/>
              <w:ind w:left="50"/>
              <w:jc w:val="left"/>
              <w:rPr>
                <w:b/>
                <w:sz w:val="20"/>
              </w:rPr>
            </w:pPr>
            <w:r>
              <w:rPr>
                <w:b/>
                <w:color w:val="231F20"/>
                <w:sz w:val="20"/>
              </w:rPr>
              <w:t>(in millions)</w:t>
            </w:r>
          </w:p>
        </w:tc>
        <w:tc>
          <w:tcPr>
            <w:tcW w:w="150" w:type="dxa"/>
          </w:tcPr>
          <w:p>
            <w:pPr/>
          </w:p>
        </w:tc>
        <w:tc>
          <w:tcPr>
            <w:tcW w:w="1300" w:type="dxa"/>
            <w:tcBorders>
              <w:bottom w:val="single" w:sz="8" w:space="0" w:color="231F20"/>
            </w:tcBorders>
          </w:tcPr>
          <w:p>
            <w:pPr>
              <w:pStyle w:val="TableParagraph"/>
              <w:spacing w:before="119"/>
              <w:ind w:left="46" w:right="46"/>
              <w:jc w:val="center"/>
              <w:rPr>
                <w:b/>
                <w:sz w:val="20"/>
              </w:rPr>
            </w:pPr>
            <w:r>
              <w:rPr>
                <w:b/>
                <w:color w:val="231F20"/>
                <w:sz w:val="20"/>
              </w:rPr>
              <w:t>December 31,</w:t>
            </w:r>
          </w:p>
          <w:p>
            <w:pPr>
              <w:pStyle w:val="TableParagraph"/>
              <w:spacing w:before="9"/>
              <w:ind w:left="46" w:right="46"/>
              <w:jc w:val="center"/>
              <w:rPr>
                <w:b/>
                <w:sz w:val="20"/>
              </w:rPr>
            </w:pPr>
            <w:r>
              <w:rPr>
                <w:b/>
                <w:color w:val="231F20"/>
                <w:sz w:val="20"/>
              </w:rPr>
              <w:t>2013</w:t>
            </w:r>
          </w:p>
        </w:tc>
        <w:tc>
          <w:tcPr>
            <w:tcW w:w="200" w:type="dxa"/>
          </w:tcPr>
          <w:p>
            <w:pPr/>
          </w:p>
        </w:tc>
        <w:tc>
          <w:tcPr>
            <w:tcW w:w="1300" w:type="dxa"/>
            <w:tcBorders>
              <w:bottom w:val="single" w:sz="8" w:space="0" w:color="231F20"/>
            </w:tcBorders>
          </w:tcPr>
          <w:p>
            <w:pPr>
              <w:pStyle w:val="TableParagraph"/>
              <w:spacing w:before="119"/>
              <w:ind w:left="46" w:right="46"/>
              <w:jc w:val="center"/>
              <w:rPr>
                <w:b/>
                <w:sz w:val="20"/>
              </w:rPr>
            </w:pPr>
            <w:r>
              <w:rPr>
                <w:b/>
                <w:color w:val="231F20"/>
                <w:sz w:val="20"/>
              </w:rPr>
              <w:t>December 31,</w:t>
            </w:r>
          </w:p>
          <w:p>
            <w:pPr>
              <w:pStyle w:val="TableParagraph"/>
              <w:spacing w:before="9"/>
              <w:ind w:left="46" w:right="46"/>
              <w:jc w:val="center"/>
              <w:rPr>
                <w:b/>
                <w:sz w:val="20"/>
              </w:rPr>
            </w:pPr>
            <w:r>
              <w:rPr>
                <w:b/>
                <w:color w:val="231F20"/>
                <w:sz w:val="20"/>
              </w:rPr>
              <w:t>2012</w:t>
            </w:r>
          </w:p>
        </w:tc>
      </w:tr>
      <w:tr>
        <w:trPr>
          <w:trHeight w:val="304" w:hRule="exact"/>
        </w:trPr>
        <w:tc>
          <w:tcPr>
            <w:tcW w:w="5020" w:type="dxa"/>
            <w:tcBorders>
              <w:top w:val="single" w:sz="8" w:space="0" w:color="231F20"/>
            </w:tcBorders>
          </w:tcPr>
          <w:p>
            <w:pPr>
              <w:pStyle w:val="TableParagraph"/>
              <w:spacing w:before="53"/>
              <w:rPr>
                <w:sz w:val="20"/>
              </w:rPr>
            </w:pPr>
            <w:r>
              <w:rPr>
                <w:color w:val="231F20"/>
                <w:sz w:val="20"/>
              </w:rPr>
              <w:t>Derivative contracts . . . .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145</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306</w:t>
            </w:r>
          </w:p>
        </w:tc>
      </w:tr>
      <w:tr>
        <w:trPr>
          <w:trHeight w:val="240" w:hRule="exact"/>
        </w:trPr>
        <w:tc>
          <w:tcPr>
            <w:tcW w:w="5020" w:type="dxa"/>
          </w:tcPr>
          <w:p>
            <w:pPr>
              <w:pStyle w:val="TableParagraph"/>
              <w:spacing w:line="229" w:lineRule="exact"/>
              <w:rPr>
                <w:sz w:val="20"/>
              </w:rPr>
            </w:pPr>
            <w:r>
              <w:rPr>
                <w:color w:val="231F20"/>
                <w:sz w:val="20"/>
              </w:rPr>
              <w:t>Intangible assets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166</w:t>
            </w:r>
          </w:p>
        </w:tc>
        <w:tc>
          <w:tcPr>
            <w:tcW w:w="200" w:type="dxa"/>
          </w:tcPr>
          <w:p>
            <w:pPr/>
          </w:p>
        </w:tc>
        <w:tc>
          <w:tcPr>
            <w:tcW w:w="1300" w:type="dxa"/>
          </w:tcPr>
          <w:p>
            <w:pPr>
              <w:pStyle w:val="TableParagraph"/>
              <w:spacing w:line="229" w:lineRule="exact"/>
              <w:ind w:right="79"/>
              <w:rPr>
                <w:sz w:val="20"/>
              </w:rPr>
            </w:pPr>
            <w:r>
              <w:rPr>
                <w:color w:val="231F20"/>
                <w:sz w:val="20"/>
              </w:rPr>
              <w:t>138</w:t>
            </w:r>
          </w:p>
        </w:tc>
      </w:tr>
      <w:tr>
        <w:trPr>
          <w:trHeight w:val="240" w:hRule="exact"/>
        </w:trPr>
        <w:tc>
          <w:tcPr>
            <w:tcW w:w="5020" w:type="dxa"/>
          </w:tcPr>
          <w:p>
            <w:pPr>
              <w:pStyle w:val="TableParagraph"/>
              <w:spacing w:line="229" w:lineRule="exact"/>
              <w:rPr>
                <w:sz w:val="20"/>
              </w:rPr>
            </w:pPr>
            <w:r>
              <w:rPr>
                <w:color w:val="231F20"/>
                <w:sz w:val="20"/>
              </w:rPr>
              <w:t>Non-current investments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44</w:t>
            </w:r>
          </w:p>
        </w:tc>
        <w:tc>
          <w:tcPr>
            <w:tcW w:w="200" w:type="dxa"/>
          </w:tcPr>
          <w:p>
            <w:pPr/>
          </w:p>
        </w:tc>
        <w:tc>
          <w:tcPr>
            <w:tcW w:w="1300" w:type="dxa"/>
          </w:tcPr>
          <w:p>
            <w:pPr>
              <w:pStyle w:val="TableParagraph"/>
              <w:spacing w:line="229" w:lineRule="exact"/>
              <w:ind w:right="79"/>
              <w:rPr>
                <w:sz w:val="20"/>
              </w:rPr>
            </w:pPr>
            <w:r>
              <w:rPr>
                <w:color w:val="231F20"/>
                <w:sz w:val="20"/>
              </w:rPr>
              <w:t>41</w:t>
            </w:r>
          </w:p>
        </w:tc>
      </w:tr>
      <w:tr>
        <w:trPr>
          <w:trHeight w:val="261" w:hRule="exact"/>
        </w:trPr>
        <w:tc>
          <w:tcPr>
            <w:tcW w:w="502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175</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148</w:t>
            </w:r>
          </w:p>
        </w:tc>
      </w:tr>
      <w:tr>
        <w:trPr>
          <w:trHeight w:val="360" w:hRule="exact"/>
        </w:trPr>
        <w:tc>
          <w:tcPr>
            <w:tcW w:w="5020" w:type="dxa"/>
          </w:tcPr>
          <w:p>
            <w:pPr>
              <w:pStyle w:val="TableParagraph"/>
              <w:spacing w:before="58"/>
              <w:rPr>
                <w:sz w:val="20"/>
              </w:rPr>
            </w:pPr>
            <w:r>
              <w:rPr>
                <w:color w:val="231F20"/>
                <w:sz w:val="20"/>
              </w:rPr>
              <w:t>Other assets  . . . . .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530</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633</w:t>
            </w:r>
          </w:p>
        </w:tc>
      </w:tr>
    </w:tbl>
    <w:p>
      <w:pPr>
        <w:spacing w:after="0"/>
        <w:rPr>
          <w:sz w:val="20"/>
        </w:rPr>
        <w:sectPr>
          <w:footerReference w:type="default" r:id="rId36"/>
          <w:pgSz w:w="11880" w:h="15480"/>
          <w:pgMar w:footer="1253" w:header="0" w:top="1240" w:bottom="1440" w:left="1220" w:right="1280"/>
          <w:pgNumType w:start="91"/>
        </w:sectPr>
      </w:pPr>
    </w:p>
    <w:p>
      <w:pPr>
        <w:pStyle w:val="BodyText"/>
        <w:spacing w:before="2"/>
        <w:rPr>
          <w:sz w:val="27"/>
        </w:rPr>
      </w:pPr>
    </w:p>
    <w:p>
      <w:pPr>
        <w:spacing w:before="1"/>
        <w:ind w:left="100" w:right="0" w:firstLine="0"/>
        <w:jc w:val="left"/>
        <w:rPr>
          <w:b/>
          <w:sz w:val="20"/>
        </w:rPr>
      </w:pPr>
      <w:r>
        <w:rPr>
          <w:b/>
          <w:color w:val="231F20"/>
          <w:sz w:val="20"/>
        </w:rPr>
        <w:t>(in millions)</w:t>
      </w:r>
    </w:p>
    <w:p>
      <w:pPr>
        <w:spacing w:before="73"/>
        <w:ind w:left="100" w:right="0" w:firstLine="0"/>
        <w:jc w:val="center"/>
        <w:rPr>
          <w:b/>
          <w:sz w:val="20"/>
        </w:rPr>
      </w:pPr>
      <w:r>
        <w:rPr/>
        <w:br w:type="column"/>
      </w:r>
      <w:r>
        <w:rPr>
          <w:b/>
          <w:color w:val="231F20"/>
          <w:sz w:val="20"/>
        </w:rPr>
        <w:t>December 31,</w:t>
      </w:r>
    </w:p>
    <w:p>
      <w:pPr>
        <w:spacing w:before="9"/>
        <w:ind w:left="100" w:right="0" w:firstLine="0"/>
        <w:jc w:val="center"/>
        <w:rPr>
          <w:b/>
          <w:sz w:val="20"/>
        </w:rPr>
      </w:pPr>
      <w:r>
        <w:rPr>
          <w:b/>
          <w:color w:val="231F20"/>
          <w:sz w:val="20"/>
        </w:rPr>
        <w:t>2013</w:t>
      </w:r>
    </w:p>
    <w:p>
      <w:pPr>
        <w:spacing w:before="73"/>
        <w:ind w:left="80" w:right="1346" w:firstLine="0"/>
        <w:jc w:val="center"/>
        <w:rPr>
          <w:b/>
          <w:sz w:val="20"/>
        </w:rPr>
      </w:pPr>
      <w:r>
        <w:rPr/>
        <w:br w:type="column"/>
      </w:r>
      <w:r>
        <w:rPr>
          <w:b/>
          <w:color w:val="231F20"/>
          <w:sz w:val="20"/>
        </w:rPr>
        <w:t>December 31,</w:t>
      </w:r>
    </w:p>
    <w:p>
      <w:pPr>
        <w:spacing w:before="9"/>
        <w:ind w:left="80" w:right="1345" w:firstLine="0"/>
        <w:jc w:val="center"/>
        <w:rPr>
          <w:b/>
          <w:sz w:val="20"/>
        </w:rPr>
      </w:pPr>
      <w:r>
        <w:rPr>
          <w:b/>
          <w:color w:val="231F20"/>
          <w:sz w:val="20"/>
        </w:rPr>
        <w:t>2012</w:t>
      </w:r>
    </w:p>
    <w:p>
      <w:pPr>
        <w:spacing w:after="0"/>
        <w:jc w:val="center"/>
        <w:rPr>
          <w:sz w:val="20"/>
        </w:rPr>
        <w:sectPr>
          <w:pgSz w:w="11880" w:h="15480"/>
          <w:pgMar w:header="0" w:footer="1253" w:top="1240" w:bottom="1440" w:left="1280" w:right="1280"/>
          <w:cols w:num="3" w:equalWidth="0">
            <w:col w:w="1129" w:space="4057"/>
            <w:col w:w="1268" w:space="232"/>
            <w:col w:w="2634"/>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Accounts payable trade  .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189</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174</w:t>
            </w:r>
          </w:p>
        </w:tc>
      </w:tr>
      <w:tr>
        <w:trPr>
          <w:trHeight w:val="240" w:hRule="exact"/>
        </w:trPr>
        <w:tc>
          <w:tcPr>
            <w:tcW w:w="4970" w:type="dxa"/>
          </w:tcPr>
          <w:p>
            <w:pPr>
              <w:pStyle w:val="TableParagraph"/>
              <w:spacing w:line="229" w:lineRule="exact"/>
              <w:rPr>
                <w:sz w:val="20"/>
              </w:rPr>
            </w:pPr>
            <w:r>
              <w:rPr>
                <w:color w:val="231F20"/>
                <w:sz w:val="20"/>
              </w:rPr>
              <w:t>Salaries payable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156</w:t>
            </w:r>
          </w:p>
        </w:tc>
        <w:tc>
          <w:tcPr>
            <w:tcW w:w="200" w:type="dxa"/>
          </w:tcPr>
          <w:p>
            <w:pPr/>
          </w:p>
        </w:tc>
        <w:tc>
          <w:tcPr>
            <w:tcW w:w="1300" w:type="dxa"/>
          </w:tcPr>
          <w:p>
            <w:pPr>
              <w:pStyle w:val="TableParagraph"/>
              <w:spacing w:line="229" w:lineRule="exact"/>
              <w:ind w:right="79"/>
              <w:rPr>
                <w:sz w:val="20"/>
              </w:rPr>
            </w:pPr>
            <w:r>
              <w:rPr>
                <w:color w:val="231F20"/>
                <w:sz w:val="20"/>
              </w:rPr>
              <w:t>148</w:t>
            </w:r>
          </w:p>
        </w:tc>
      </w:tr>
      <w:tr>
        <w:trPr>
          <w:trHeight w:val="240" w:hRule="exact"/>
        </w:trPr>
        <w:tc>
          <w:tcPr>
            <w:tcW w:w="4970" w:type="dxa"/>
          </w:tcPr>
          <w:p>
            <w:pPr>
              <w:pStyle w:val="TableParagraph"/>
              <w:spacing w:line="229" w:lineRule="exact"/>
              <w:rPr>
                <w:sz w:val="20"/>
              </w:rPr>
            </w:pPr>
            <w:r>
              <w:rPr>
                <w:color w:val="231F20"/>
                <w:sz w:val="20"/>
              </w:rPr>
              <w:t>Taxes payable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146</w:t>
            </w:r>
          </w:p>
        </w:tc>
        <w:tc>
          <w:tcPr>
            <w:tcW w:w="200" w:type="dxa"/>
          </w:tcPr>
          <w:p>
            <w:pPr/>
          </w:p>
        </w:tc>
        <w:tc>
          <w:tcPr>
            <w:tcW w:w="1300" w:type="dxa"/>
          </w:tcPr>
          <w:p>
            <w:pPr>
              <w:pStyle w:val="TableParagraph"/>
              <w:spacing w:line="229" w:lineRule="exact"/>
              <w:ind w:right="79"/>
              <w:rPr>
                <w:sz w:val="20"/>
              </w:rPr>
            </w:pPr>
            <w:r>
              <w:rPr>
                <w:color w:val="231F20"/>
                <w:sz w:val="20"/>
              </w:rPr>
              <w:t>128</w:t>
            </w:r>
          </w:p>
        </w:tc>
      </w:tr>
      <w:tr>
        <w:trPr>
          <w:trHeight w:val="240" w:hRule="exact"/>
        </w:trPr>
        <w:tc>
          <w:tcPr>
            <w:tcW w:w="4970" w:type="dxa"/>
          </w:tcPr>
          <w:p>
            <w:pPr>
              <w:pStyle w:val="TableParagraph"/>
              <w:spacing w:line="229" w:lineRule="exact"/>
              <w:rPr>
                <w:sz w:val="20"/>
              </w:rPr>
            </w:pPr>
            <w:r>
              <w:rPr>
                <w:color w:val="231F20"/>
                <w:sz w:val="20"/>
              </w:rPr>
              <w:t>Aircraft maintenance payable  . . . . . . . . . . . . . . . . . . . . . . . . </w:t>
            </w:r>
          </w:p>
        </w:tc>
        <w:tc>
          <w:tcPr>
            <w:tcW w:w="150" w:type="dxa"/>
          </w:tcPr>
          <w:p>
            <w:pPr/>
          </w:p>
        </w:tc>
        <w:tc>
          <w:tcPr>
            <w:tcW w:w="1300" w:type="dxa"/>
          </w:tcPr>
          <w:p>
            <w:pPr>
              <w:pStyle w:val="TableParagraph"/>
              <w:spacing w:line="229" w:lineRule="exact"/>
              <w:ind w:right="79"/>
              <w:rPr>
                <w:sz w:val="20"/>
              </w:rPr>
            </w:pPr>
            <w:r>
              <w:rPr>
                <w:color w:val="231F20"/>
                <w:sz w:val="20"/>
              </w:rPr>
              <w:t>331</w:t>
            </w:r>
          </w:p>
        </w:tc>
        <w:tc>
          <w:tcPr>
            <w:tcW w:w="200" w:type="dxa"/>
          </w:tcPr>
          <w:p>
            <w:pPr/>
          </w:p>
        </w:tc>
        <w:tc>
          <w:tcPr>
            <w:tcW w:w="1300" w:type="dxa"/>
          </w:tcPr>
          <w:p>
            <w:pPr>
              <w:pStyle w:val="TableParagraph"/>
              <w:spacing w:line="229" w:lineRule="exact"/>
              <w:ind w:right="79"/>
              <w:rPr>
                <w:sz w:val="20"/>
              </w:rPr>
            </w:pPr>
            <w:r>
              <w:rPr>
                <w:color w:val="231F20"/>
                <w:sz w:val="20"/>
              </w:rPr>
              <w:t>299</w:t>
            </w:r>
          </w:p>
        </w:tc>
      </w:tr>
      <w:tr>
        <w:trPr>
          <w:trHeight w:val="240" w:hRule="exact"/>
        </w:trPr>
        <w:tc>
          <w:tcPr>
            <w:tcW w:w="4970" w:type="dxa"/>
          </w:tcPr>
          <w:p>
            <w:pPr>
              <w:pStyle w:val="TableParagraph"/>
              <w:spacing w:line="229" w:lineRule="exact"/>
              <w:rPr>
                <w:sz w:val="20"/>
              </w:rPr>
            </w:pPr>
            <w:r>
              <w:rPr>
                <w:color w:val="231F20"/>
                <w:sz w:val="20"/>
              </w:rPr>
              <w:t>Fuel payable .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102</w:t>
            </w:r>
          </w:p>
        </w:tc>
        <w:tc>
          <w:tcPr>
            <w:tcW w:w="200" w:type="dxa"/>
          </w:tcPr>
          <w:p>
            <w:pPr/>
          </w:p>
        </w:tc>
        <w:tc>
          <w:tcPr>
            <w:tcW w:w="1300" w:type="dxa"/>
          </w:tcPr>
          <w:p>
            <w:pPr>
              <w:pStyle w:val="TableParagraph"/>
              <w:spacing w:line="229" w:lineRule="exact"/>
              <w:ind w:right="79"/>
              <w:rPr>
                <w:sz w:val="20"/>
              </w:rPr>
            </w:pPr>
            <w:r>
              <w:rPr>
                <w:color w:val="231F20"/>
                <w:sz w:val="20"/>
              </w:rPr>
              <w:t>112</w:t>
            </w:r>
          </w:p>
        </w:tc>
      </w:tr>
      <w:tr>
        <w:trPr>
          <w:trHeight w:val="261" w:hRule="exact"/>
        </w:trPr>
        <w:tc>
          <w:tcPr>
            <w:tcW w:w="4970" w:type="dxa"/>
          </w:tcPr>
          <w:p>
            <w:pPr>
              <w:pStyle w:val="TableParagraph"/>
              <w:spacing w:line="229" w:lineRule="exact"/>
              <w:rPr>
                <w:sz w:val="20"/>
              </w:rPr>
            </w:pPr>
            <w:r>
              <w:rPr>
                <w:color w:val="231F20"/>
                <w:sz w:val="20"/>
              </w:rPr>
              <w:t>Other payable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323</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246</w:t>
            </w:r>
          </w:p>
        </w:tc>
      </w:tr>
      <w:tr>
        <w:trPr>
          <w:trHeight w:val="360" w:hRule="exact"/>
        </w:trPr>
        <w:tc>
          <w:tcPr>
            <w:tcW w:w="4970" w:type="dxa"/>
          </w:tcPr>
          <w:p>
            <w:pPr>
              <w:pStyle w:val="TableParagraph"/>
              <w:spacing w:before="58"/>
              <w:rPr>
                <w:sz w:val="20"/>
              </w:rPr>
            </w:pPr>
            <w:r>
              <w:rPr>
                <w:color w:val="231F20"/>
                <w:sz w:val="20"/>
              </w:rPr>
              <w:t>Accounts payable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1,247</w:t>
            </w:r>
          </w:p>
        </w:tc>
        <w:tc>
          <w:tcPr>
            <w:tcW w:w="20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1,107</w:t>
            </w:r>
          </w:p>
        </w:tc>
      </w:tr>
    </w:tbl>
    <w:p>
      <w:pPr>
        <w:pStyle w:val="BodyText"/>
        <w:spacing w:before="1"/>
        <w:rPr>
          <w:b/>
          <w:sz w:val="17"/>
        </w:rPr>
      </w:pPr>
    </w:p>
    <w:p>
      <w:pPr>
        <w:spacing w:after="0"/>
        <w:rPr>
          <w:sz w:val="17"/>
        </w:rPr>
        <w:sectPr>
          <w:type w:val="continuous"/>
          <w:pgSz w:w="11880" w:h="15480"/>
          <w:pgMar w:top="1200" w:bottom="280" w:left="1280" w:right="1280"/>
        </w:sectPr>
      </w:pPr>
    </w:p>
    <w:p>
      <w:pPr>
        <w:pStyle w:val="BodyText"/>
        <w:spacing w:before="9"/>
        <w:rPr>
          <w:b/>
          <w:sz w:val="28"/>
        </w:rPr>
      </w:pPr>
    </w:p>
    <w:p>
      <w:pPr>
        <w:spacing w:before="1"/>
        <w:ind w:left="100" w:right="0" w:firstLine="0"/>
        <w:jc w:val="left"/>
        <w:rPr>
          <w:b/>
          <w:sz w:val="20"/>
        </w:rPr>
      </w:pPr>
      <w:r>
        <w:rPr>
          <w:b/>
          <w:color w:val="231F20"/>
          <w:sz w:val="20"/>
        </w:rPr>
        <w:t>(in millions)</w:t>
      </w:r>
    </w:p>
    <w:p>
      <w:pPr>
        <w:spacing w:before="91"/>
        <w:ind w:left="100" w:right="0" w:firstLine="0"/>
        <w:jc w:val="center"/>
        <w:rPr>
          <w:b/>
          <w:sz w:val="20"/>
        </w:rPr>
      </w:pPr>
      <w:r>
        <w:rPr/>
        <w:br w:type="column"/>
      </w:r>
      <w:r>
        <w:rPr>
          <w:b/>
          <w:color w:val="231F20"/>
          <w:sz w:val="20"/>
        </w:rPr>
        <w:t>December 31,</w:t>
      </w:r>
    </w:p>
    <w:p>
      <w:pPr>
        <w:spacing w:before="9"/>
        <w:ind w:left="100" w:right="0" w:firstLine="0"/>
        <w:jc w:val="center"/>
        <w:rPr>
          <w:b/>
          <w:sz w:val="20"/>
        </w:rPr>
      </w:pPr>
      <w:r>
        <w:rPr/>
        <w:pict>
          <v:line style="position:absolute;mso-position-horizontal-relative:page;mso-position-vertical-relative:paragraph;z-index:-331696" from="325pt,-28.464062pt" to="390pt,-28.464062pt" stroked="true" strokeweight=".5pt" strokecolor="#231f20">
            <v:stroke dashstyle="solid"/>
            <w10:wrap type="none"/>
          </v:line>
        </w:pict>
      </w:r>
      <w:r>
        <w:rPr>
          <w:b/>
          <w:color w:val="231F20"/>
          <w:sz w:val="20"/>
        </w:rPr>
        <w:t>2013</w:t>
      </w:r>
    </w:p>
    <w:p>
      <w:pPr>
        <w:spacing w:before="91"/>
        <w:ind w:left="80" w:right="1346" w:firstLine="0"/>
        <w:jc w:val="center"/>
        <w:rPr>
          <w:b/>
          <w:sz w:val="20"/>
        </w:rPr>
      </w:pPr>
      <w:r>
        <w:rPr/>
        <w:br w:type="column"/>
      </w:r>
      <w:r>
        <w:rPr>
          <w:b/>
          <w:color w:val="231F20"/>
          <w:sz w:val="20"/>
        </w:rPr>
        <w:t>December 31,</w:t>
      </w:r>
    </w:p>
    <w:p>
      <w:pPr>
        <w:spacing w:before="9"/>
        <w:ind w:left="80" w:right="1345" w:firstLine="0"/>
        <w:jc w:val="center"/>
        <w:rPr>
          <w:b/>
          <w:sz w:val="20"/>
        </w:rPr>
      </w:pPr>
      <w:r>
        <w:rPr/>
        <w:pict>
          <v:line style="position:absolute;mso-position-horizontal-relative:page;mso-position-vertical-relative:paragraph;z-index:-331672" from="400pt,-28.464062pt" to="465pt,-28.464062pt" stroked="true" strokeweight=".5pt" strokecolor="#231f20">
            <v:stroke dashstyle="solid"/>
            <w10:wrap type="none"/>
          </v:line>
        </w:pict>
      </w:r>
      <w:r>
        <w:rPr>
          <w:b/>
          <w:color w:val="231F20"/>
          <w:sz w:val="20"/>
        </w:rPr>
        <w:t>2012</w:t>
      </w:r>
    </w:p>
    <w:p>
      <w:pPr>
        <w:spacing w:after="0"/>
        <w:jc w:val="center"/>
        <w:rPr>
          <w:sz w:val="20"/>
        </w:rPr>
        <w:sectPr>
          <w:type w:val="continuous"/>
          <w:pgSz w:w="11880" w:h="15480"/>
          <w:pgMar w:top="1200" w:bottom="280" w:left="1280" w:right="1280"/>
          <w:cols w:num="3" w:equalWidth="0">
            <w:col w:w="1129" w:space="4057"/>
            <w:col w:w="1268" w:space="232"/>
            <w:col w:w="2634"/>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Profitsharing and savings plans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244</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135</w:t>
            </w:r>
          </w:p>
        </w:tc>
      </w:tr>
      <w:tr>
        <w:trPr>
          <w:trHeight w:val="240" w:hRule="exact"/>
        </w:trPr>
        <w:tc>
          <w:tcPr>
            <w:tcW w:w="4970" w:type="dxa"/>
          </w:tcPr>
          <w:p>
            <w:pPr>
              <w:pStyle w:val="TableParagraph"/>
              <w:spacing w:line="229" w:lineRule="exact"/>
              <w:rPr>
                <w:sz w:val="20"/>
              </w:rPr>
            </w:pPr>
            <w:r>
              <w:rPr>
                <w:color w:val="231F20"/>
                <w:sz w:val="20"/>
              </w:rPr>
              <w:t>Aircraft and other lease related obligations . . . . . . . . . . . . . . </w:t>
            </w:r>
          </w:p>
        </w:tc>
        <w:tc>
          <w:tcPr>
            <w:tcW w:w="150" w:type="dxa"/>
          </w:tcPr>
          <w:p>
            <w:pPr/>
          </w:p>
        </w:tc>
        <w:tc>
          <w:tcPr>
            <w:tcW w:w="1300" w:type="dxa"/>
          </w:tcPr>
          <w:p>
            <w:pPr>
              <w:pStyle w:val="TableParagraph"/>
              <w:spacing w:line="229" w:lineRule="exact"/>
              <w:ind w:right="79"/>
              <w:rPr>
                <w:sz w:val="20"/>
              </w:rPr>
            </w:pPr>
            <w:r>
              <w:rPr>
                <w:color w:val="231F20"/>
                <w:sz w:val="20"/>
              </w:rPr>
              <w:t>173</w:t>
            </w:r>
          </w:p>
        </w:tc>
        <w:tc>
          <w:tcPr>
            <w:tcW w:w="200" w:type="dxa"/>
          </w:tcPr>
          <w:p>
            <w:pPr/>
          </w:p>
        </w:tc>
        <w:tc>
          <w:tcPr>
            <w:tcW w:w="1300" w:type="dxa"/>
          </w:tcPr>
          <w:p>
            <w:pPr>
              <w:pStyle w:val="TableParagraph"/>
              <w:spacing w:line="229" w:lineRule="exact"/>
              <w:ind w:right="79"/>
              <w:rPr>
                <w:sz w:val="20"/>
              </w:rPr>
            </w:pPr>
            <w:r>
              <w:rPr>
                <w:color w:val="231F20"/>
                <w:sz w:val="20"/>
              </w:rPr>
              <w:t>139</w:t>
            </w:r>
          </w:p>
        </w:tc>
      </w:tr>
      <w:tr>
        <w:trPr>
          <w:trHeight w:val="240" w:hRule="exact"/>
        </w:trPr>
        <w:tc>
          <w:tcPr>
            <w:tcW w:w="4970" w:type="dxa"/>
          </w:tcPr>
          <w:p>
            <w:pPr>
              <w:pStyle w:val="TableParagraph"/>
              <w:spacing w:line="229" w:lineRule="exact"/>
              <w:rPr>
                <w:sz w:val="20"/>
              </w:rPr>
            </w:pPr>
            <w:r>
              <w:rPr>
                <w:color w:val="231F20"/>
                <w:sz w:val="20"/>
              </w:rPr>
              <w:t>Vacation pay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278</w:t>
            </w:r>
          </w:p>
        </w:tc>
        <w:tc>
          <w:tcPr>
            <w:tcW w:w="200" w:type="dxa"/>
          </w:tcPr>
          <w:p>
            <w:pPr/>
          </w:p>
        </w:tc>
        <w:tc>
          <w:tcPr>
            <w:tcW w:w="1300" w:type="dxa"/>
          </w:tcPr>
          <w:p>
            <w:pPr>
              <w:pStyle w:val="TableParagraph"/>
              <w:spacing w:line="229" w:lineRule="exact"/>
              <w:ind w:right="79"/>
              <w:rPr>
                <w:sz w:val="20"/>
              </w:rPr>
            </w:pPr>
            <w:r>
              <w:rPr>
                <w:color w:val="231F20"/>
                <w:sz w:val="20"/>
              </w:rPr>
              <w:t>270</w:t>
            </w:r>
          </w:p>
        </w:tc>
      </w:tr>
      <w:tr>
        <w:trPr>
          <w:trHeight w:val="240" w:hRule="exact"/>
        </w:trPr>
        <w:tc>
          <w:tcPr>
            <w:tcW w:w="4970" w:type="dxa"/>
          </w:tcPr>
          <w:p>
            <w:pPr>
              <w:pStyle w:val="TableParagraph"/>
              <w:spacing w:line="229" w:lineRule="exact"/>
              <w:rPr>
                <w:sz w:val="20"/>
              </w:rPr>
            </w:pPr>
            <w:r>
              <w:rPr>
                <w:color w:val="231F20"/>
                <w:sz w:val="20"/>
              </w:rPr>
              <w:t>Health . . . . . .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73</w:t>
            </w:r>
          </w:p>
        </w:tc>
        <w:tc>
          <w:tcPr>
            <w:tcW w:w="200" w:type="dxa"/>
          </w:tcPr>
          <w:p>
            <w:pPr/>
          </w:p>
        </w:tc>
        <w:tc>
          <w:tcPr>
            <w:tcW w:w="1300" w:type="dxa"/>
          </w:tcPr>
          <w:p>
            <w:pPr>
              <w:pStyle w:val="TableParagraph"/>
              <w:spacing w:line="229" w:lineRule="exact"/>
              <w:ind w:right="79"/>
              <w:rPr>
                <w:sz w:val="20"/>
              </w:rPr>
            </w:pPr>
            <w:r>
              <w:rPr>
                <w:color w:val="231F20"/>
                <w:sz w:val="20"/>
              </w:rPr>
              <w:t>70</w:t>
            </w:r>
          </w:p>
        </w:tc>
      </w:tr>
      <w:tr>
        <w:trPr>
          <w:trHeight w:val="240" w:hRule="exact"/>
        </w:trPr>
        <w:tc>
          <w:tcPr>
            <w:tcW w:w="4970" w:type="dxa"/>
          </w:tcPr>
          <w:p>
            <w:pPr>
              <w:pStyle w:val="TableParagraph"/>
              <w:spacing w:line="229" w:lineRule="exact"/>
              <w:rPr>
                <w:sz w:val="20"/>
              </w:rPr>
            </w:pPr>
            <w:r>
              <w:rPr>
                <w:color w:val="231F20"/>
                <w:sz w:val="20"/>
              </w:rPr>
              <w:t>Derivative contracts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12</w:t>
            </w:r>
          </w:p>
        </w:tc>
        <w:tc>
          <w:tcPr>
            <w:tcW w:w="200" w:type="dxa"/>
          </w:tcPr>
          <w:p>
            <w:pPr/>
          </w:p>
        </w:tc>
        <w:tc>
          <w:tcPr>
            <w:tcW w:w="1300" w:type="dxa"/>
          </w:tcPr>
          <w:p>
            <w:pPr>
              <w:pStyle w:val="TableParagraph"/>
              <w:spacing w:line="229" w:lineRule="exact"/>
              <w:ind w:right="79"/>
              <w:rPr>
                <w:sz w:val="20"/>
              </w:rPr>
            </w:pPr>
            <w:r>
              <w:rPr>
                <w:color w:val="231F20"/>
                <w:sz w:val="20"/>
              </w:rPr>
              <w:t>50</w:t>
            </w:r>
          </w:p>
        </w:tc>
      </w:tr>
      <w:tr>
        <w:trPr>
          <w:trHeight w:val="240" w:hRule="exact"/>
        </w:trPr>
        <w:tc>
          <w:tcPr>
            <w:tcW w:w="4970" w:type="dxa"/>
          </w:tcPr>
          <w:p>
            <w:pPr>
              <w:pStyle w:val="TableParagraph"/>
              <w:spacing w:line="229" w:lineRule="exact"/>
              <w:rPr>
                <w:sz w:val="20"/>
              </w:rPr>
            </w:pPr>
            <w:r>
              <w:rPr>
                <w:color w:val="231F20"/>
                <w:sz w:val="20"/>
              </w:rPr>
              <w:t>Workers compensation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161</w:t>
            </w:r>
          </w:p>
        </w:tc>
        <w:tc>
          <w:tcPr>
            <w:tcW w:w="200" w:type="dxa"/>
          </w:tcPr>
          <w:p>
            <w:pPr/>
          </w:p>
        </w:tc>
        <w:tc>
          <w:tcPr>
            <w:tcW w:w="1300" w:type="dxa"/>
          </w:tcPr>
          <w:p>
            <w:pPr>
              <w:pStyle w:val="TableParagraph"/>
              <w:spacing w:line="229" w:lineRule="exact"/>
              <w:ind w:right="79"/>
              <w:rPr>
                <w:sz w:val="20"/>
              </w:rPr>
            </w:pPr>
            <w:r>
              <w:rPr>
                <w:color w:val="231F20"/>
                <w:sz w:val="20"/>
              </w:rPr>
              <w:t>159</w:t>
            </w:r>
          </w:p>
        </w:tc>
      </w:tr>
      <w:tr>
        <w:trPr>
          <w:trHeight w:val="240" w:hRule="exact"/>
        </w:trPr>
        <w:tc>
          <w:tcPr>
            <w:tcW w:w="4970" w:type="dxa"/>
          </w:tcPr>
          <w:p>
            <w:pPr>
              <w:pStyle w:val="TableParagraph"/>
              <w:spacing w:line="229" w:lineRule="exact"/>
              <w:rPr>
                <w:sz w:val="20"/>
              </w:rPr>
            </w:pPr>
            <w:r>
              <w:rPr>
                <w:color w:val="231F20"/>
                <w:sz w:val="20"/>
              </w:rPr>
              <w:t>Accrued taxes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65</w:t>
            </w:r>
          </w:p>
        </w:tc>
        <w:tc>
          <w:tcPr>
            <w:tcW w:w="200" w:type="dxa"/>
          </w:tcPr>
          <w:p>
            <w:pPr/>
          </w:p>
        </w:tc>
        <w:tc>
          <w:tcPr>
            <w:tcW w:w="1300" w:type="dxa"/>
          </w:tcPr>
          <w:p>
            <w:pPr>
              <w:pStyle w:val="TableParagraph"/>
              <w:spacing w:line="229" w:lineRule="exact"/>
              <w:ind w:right="79"/>
              <w:rPr>
                <w:sz w:val="20"/>
              </w:rPr>
            </w:pPr>
            <w:r>
              <w:rPr>
                <w:color w:val="231F20"/>
                <w:sz w:val="20"/>
              </w:rPr>
              <w:t>67</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223</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212</w:t>
            </w:r>
          </w:p>
        </w:tc>
      </w:tr>
      <w:tr>
        <w:trPr>
          <w:trHeight w:val="360" w:hRule="exact"/>
        </w:trPr>
        <w:tc>
          <w:tcPr>
            <w:tcW w:w="4970" w:type="dxa"/>
          </w:tcPr>
          <w:p>
            <w:pPr>
              <w:pStyle w:val="TableParagraph"/>
              <w:spacing w:before="58"/>
              <w:rPr>
                <w:sz w:val="20"/>
              </w:rPr>
            </w:pPr>
            <w:r>
              <w:rPr>
                <w:color w:val="231F20"/>
                <w:sz w:val="20"/>
              </w:rPr>
              <w:t>Accrued liabilities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1,229</w:t>
            </w:r>
          </w:p>
        </w:tc>
        <w:tc>
          <w:tcPr>
            <w:tcW w:w="20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1,102</w:t>
            </w:r>
          </w:p>
        </w:tc>
      </w:tr>
    </w:tbl>
    <w:p>
      <w:pPr>
        <w:pStyle w:val="BodyText"/>
        <w:spacing w:before="2"/>
        <w:rPr>
          <w:b/>
          <w:sz w:val="17"/>
        </w:rPr>
      </w:pPr>
    </w:p>
    <w:p>
      <w:pPr>
        <w:spacing w:after="0"/>
        <w:rPr>
          <w:sz w:val="17"/>
        </w:rPr>
        <w:sectPr>
          <w:type w:val="continuous"/>
          <w:pgSz w:w="11880" w:h="15480"/>
          <w:pgMar w:top="1200" w:bottom="280" w:left="1280" w:right="1280"/>
        </w:sectPr>
      </w:pPr>
    </w:p>
    <w:p>
      <w:pPr>
        <w:pStyle w:val="BodyText"/>
        <w:spacing w:before="9"/>
        <w:rPr>
          <w:b/>
          <w:sz w:val="28"/>
        </w:rPr>
      </w:pPr>
    </w:p>
    <w:p>
      <w:pPr>
        <w:spacing w:before="0"/>
        <w:ind w:left="100" w:right="0" w:firstLine="0"/>
        <w:jc w:val="left"/>
        <w:rPr>
          <w:b/>
          <w:sz w:val="20"/>
        </w:rPr>
      </w:pPr>
      <w:r>
        <w:rPr>
          <w:b/>
          <w:color w:val="231F20"/>
          <w:sz w:val="20"/>
        </w:rPr>
        <w:t>(in millions)</w:t>
      </w:r>
    </w:p>
    <w:p>
      <w:pPr>
        <w:spacing w:before="91"/>
        <w:ind w:left="100" w:right="0" w:firstLine="0"/>
        <w:jc w:val="center"/>
        <w:rPr>
          <w:b/>
          <w:sz w:val="20"/>
        </w:rPr>
      </w:pPr>
      <w:r>
        <w:rPr/>
        <w:br w:type="column"/>
      </w:r>
      <w:r>
        <w:rPr>
          <w:b/>
          <w:color w:val="231F20"/>
          <w:sz w:val="20"/>
        </w:rPr>
        <w:t>December 31,</w:t>
      </w:r>
    </w:p>
    <w:p>
      <w:pPr>
        <w:spacing w:before="9"/>
        <w:ind w:left="100" w:right="0" w:firstLine="0"/>
        <w:jc w:val="center"/>
        <w:rPr>
          <w:b/>
          <w:sz w:val="20"/>
        </w:rPr>
      </w:pPr>
      <w:r>
        <w:rPr/>
        <w:pict>
          <v:line style="position:absolute;mso-position-horizontal-relative:page;mso-position-vertical-relative:paragraph;z-index:-331648" from="325pt,-28.464062pt" to="390pt,-28.464062pt" stroked="true" strokeweight=".5pt" strokecolor="#231f20">
            <v:stroke dashstyle="solid"/>
            <w10:wrap type="none"/>
          </v:line>
        </w:pict>
      </w:r>
      <w:r>
        <w:rPr>
          <w:b/>
          <w:color w:val="231F20"/>
          <w:sz w:val="20"/>
        </w:rPr>
        <w:t>2013</w:t>
      </w:r>
    </w:p>
    <w:p>
      <w:pPr>
        <w:spacing w:before="91"/>
        <w:ind w:left="80" w:right="1346" w:firstLine="0"/>
        <w:jc w:val="center"/>
        <w:rPr>
          <w:b/>
          <w:sz w:val="20"/>
        </w:rPr>
      </w:pPr>
      <w:r>
        <w:rPr/>
        <w:br w:type="column"/>
      </w:r>
      <w:r>
        <w:rPr>
          <w:b/>
          <w:color w:val="231F20"/>
          <w:sz w:val="20"/>
        </w:rPr>
        <w:t>December 31,</w:t>
      </w:r>
    </w:p>
    <w:p>
      <w:pPr>
        <w:spacing w:before="9"/>
        <w:ind w:left="80" w:right="1345" w:firstLine="0"/>
        <w:jc w:val="center"/>
        <w:rPr>
          <w:b/>
          <w:sz w:val="20"/>
        </w:rPr>
      </w:pPr>
      <w:r>
        <w:rPr/>
        <w:pict>
          <v:line style="position:absolute;mso-position-horizontal-relative:page;mso-position-vertical-relative:paragraph;z-index:-331624" from="400pt,-28.464062pt" to="465pt,-28.464062pt" stroked="true" strokeweight=".5pt" strokecolor="#231f20">
            <v:stroke dashstyle="solid"/>
            <w10:wrap type="none"/>
          </v:line>
        </w:pict>
      </w:r>
      <w:r>
        <w:rPr>
          <w:b/>
          <w:color w:val="231F20"/>
          <w:sz w:val="20"/>
        </w:rPr>
        <w:t>2012</w:t>
      </w:r>
    </w:p>
    <w:p>
      <w:pPr>
        <w:spacing w:after="0"/>
        <w:jc w:val="center"/>
        <w:rPr>
          <w:sz w:val="20"/>
        </w:rPr>
        <w:sectPr>
          <w:type w:val="continuous"/>
          <w:pgSz w:w="11880" w:h="15480"/>
          <w:pgMar w:top="1200" w:bottom="280" w:left="1280" w:right="1280"/>
          <w:cols w:num="3" w:equalWidth="0">
            <w:col w:w="1129" w:space="4057"/>
            <w:col w:w="1268" w:space="232"/>
            <w:col w:w="2634"/>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Postretirement obligation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138</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148</w:t>
            </w:r>
          </w:p>
        </w:tc>
      </w:tr>
      <w:tr>
        <w:trPr>
          <w:trHeight w:val="240" w:hRule="exact"/>
        </w:trPr>
        <w:tc>
          <w:tcPr>
            <w:tcW w:w="4970" w:type="dxa"/>
          </w:tcPr>
          <w:p>
            <w:pPr>
              <w:pStyle w:val="TableParagraph"/>
              <w:spacing w:line="229" w:lineRule="exact"/>
              <w:rPr>
                <w:sz w:val="20"/>
              </w:rPr>
            </w:pPr>
            <w:r>
              <w:rPr>
                <w:color w:val="231F20"/>
                <w:sz w:val="20"/>
              </w:rPr>
              <w:t>Non-current lease-related obligations  . . . . . . . . . . . . . . . . . . </w:t>
            </w:r>
          </w:p>
        </w:tc>
        <w:tc>
          <w:tcPr>
            <w:tcW w:w="150" w:type="dxa"/>
          </w:tcPr>
          <w:p>
            <w:pPr/>
          </w:p>
        </w:tc>
        <w:tc>
          <w:tcPr>
            <w:tcW w:w="1300" w:type="dxa"/>
          </w:tcPr>
          <w:p>
            <w:pPr>
              <w:pStyle w:val="TableParagraph"/>
              <w:spacing w:line="229" w:lineRule="exact"/>
              <w:ind w:right="79"/>
              <w:rPr>
                <w:sz w:val="20"/>
              </w:rPr>
            </w:pPr>
            <w:r>
              <w:rPr>
                <w:color w:val="231F20"/>
                <w:sz w:val="20"/>
              </w:rPr>
              <w:t>290</w:t>
            </w:r>
          </w:p>
        </w:tc>
        <w:tc>
          <w:tcPr>
            <w:tcW w:w="200" w:type="dxa"/>
          </w:tcPr>
          <w:p>
            <w:pPr/>
          </w:p>
        </w:tc>
        <w:tc>
          <w:tcPr>
            <w:tcW w:w="1300" w:type="dxa"/>
          </w:tcPr>
          <w:p>
            <w:pPr>
              <w:pStyle w:val="TableParagraph"/>
              <w:spacing w:line="229" w:lineRule="exact"/>
              <w:ind w:right="79"/>
              <w:rPr>
                <w:sz w:val="20"/>
              </w:rPr>
            </w:pPr>
            <w:r>
              <w:rPr>
                <w:color w:val="231F20"/>
                <w:sz w:val="20"/>
              </w:rPr>
              <w:t>376</w:t>
            </w:r>
          </w:p>
        </w:tc>
      </w:tr>
      <w:tr>
        <w:trPr>
          <w:trHeight w:val="240" w:hRule="exact"/>
        </w:trPr>
        <w:tc>
          <w:tcPr>
            <w:tcW w:w="4970" w:type="dxa"/>
          </w:tcPr>
          <w:p>
            <w:pPr>
              <w:pStyle w:val="TableParagraph"/>
              <w:spacing w:line="229" w:lineRule="exact"/>
              <w:rPr>
                <w:sz w:val="20"/>
              </w:rPr>
            </w:pPr>
            <w:r>
              <w:rPr>
                <w:color w:val="231F20"/>
                <w:sz w:val="20"/>
              </w:rPr>
              <w:t>Other deferred compensation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163</w:t>
            </w:r>
          </w:p>
        </w:tc>
        <w:tc>
          <w:tcPr>
            <w:tcW w:w="200" w:type="dxa"/>
          </w:tcPr>
          <w:p>
            <w:pPr/>
          </w:p>
        </w:tc>
        <w:tc>
          <w:tcPr>
            <w:tcW w:w="1300" w:type="dxa"/>
          </w:tcPr>
          <w:p>
            <w:pPr>
              <w:pStyle w:val="TableParagraph"/>
              <w:spacing w:line="229" w:lineRule="exact"/>
              <w:ind w:right="79"/>
              <w:rPr>
                <w:sz w:val="20"/>
              </w:rPr>
            </w:pPr>
            <w:r>
              <w:rPr>
                <w:color w:val="231F20"/>
                <w:sz w:val="20"/>
              </w:rPr>
              <w:t>141</w:t>
            </w:r>
          </w:p>
        </w:tc>
      </w:tr>
      <w:tr>
        <w:trPr>
          <w:trHeight w:val="240" w:hRule="exact"/>
        </w:trPr>
        <w:tc>
          <w:tcPr>
            <w:tcW w:w="4970" w:type="dxa"/>
          </w:tcPr>
          <w:p>
            <w:pPr>
              <w:pStyle w:val="TableParagraph"/>
              <w:spacing w:line="229" w:lineRule="exact"/>
              <w:rPr>
                <w:sz w:val="20"/>
              </w:rPr>
            </w:pPr>
            <w:r>
              <w:rPr>
                <w:color w:val="231F20"/>
                <w:sz w:val="20"/>
              </w:rPr>
              <w:t>Deferred gains from sale and leaseback of aircraft  . . . . . . . . </w:t>
            </w:r>
          </w:p>
        </w:tc>
        <w:tc>
          <w:tcPr>
            <w:tcW w:w="150" w:type="dxa"/>
          </w:tcPr>
          <w:p>
            <w:pPr/>
          </w:p>
        </w:tc>
        <w:tc>
          <w:tcPr>
            <w:tcW w:w="1300" w:type="dxa"/>
          </w:tcPr>
          <w:p>
            <w:pPr>
              <w:pStyle w:val="TableParagraph"/>
              <w:spacing w:line="229" w:lineRule="exact"/>
              <w:ind w:right="79"/>
              <w:rPr>
                <w:sz w:val="20"/>
              </w:rPr>
            </w:pPr>
            <w:r>
              <w:rPr>
                <w:color w:val="231F20"/>
                <w:sz w:val="20"/>
              </w:rPr>
              <w:t>65</w:t>
            </w:r>
          </w:p>
        </w:tc>
        <w:tc>
          <w:tcPr>
            <w:tcW w:w="200" w:type="dxa"/>
          </w:tcPr>
          <w:p>
            <w:pPr/>
          </w:p>
        </w:tc>
        <w:tc>
          <w:tcPr>
            <w:tcW w:w="1300" w:type="dxa"/>
          </w:tcPr>
          <w:p>
            <w:pPr>
              <w:pStyle w:val="TableParagraph"/>
              <w:spacing w:line="229" w:lineRule="exact"/>
              <w:ind w:right="79"/>
              <w:rPr>
                <w:sz w:val="20"/>
              </w:rPr>
            </w:pPr>
            <w:r>
              <w:rPr>
                <w:color w:val="231F20"/>
                <w:sz w:val="20"/>
              </w:rPr>
              <w:t>63</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115</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128</w:t>
            </w:r>
          </w:p>
        </w:tc>
      </w:tr>
      <w:tr>
        <w:trPr>
          <w:trHeight w:val="360" w:hRule="exact"/>
        </w:trPr>
        <w:tc>
          <w:tcPr>
            <w:tcW w:w="4970" w:type="dxa"/>
          </w:tcPr>
          <w:p>
            <w:pPr>
              <w:pStyle w:val="TableParagraph"/>
              <w:spacing w:before="58"/>
              <w:rPr>
                <w:sz w:val="20"/>
              </w:rPr>
            </w:pPr>
            <w:r>
              <w:rPr>
                <w:color w:val="231F20"/>
                <w:sz w:val="20"/>
              </w:rPr>
              <w:t>Other non-current liabilities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771</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856</w:t>
            </w:r>
          </w:p>
        </w:tc>
      </w:tr>
    </w:tbl>
    <w:p>
      <w:pPr>
        <w:pStyle w:val="BodyText"/>
        <w:spacing w:before="10"/>
        <w:rPr>
          <w:b/>
          <w:sz w:val="27"/>
        </w:rPr>
      </w:pPr>
    </w:p>
    <w:p>
      <w:pPr>
        <w:pStyle w:val="Heading4"/>
        <w:spacing w:before="88"/>
        <w:rPr>
          <w:i/>
        </w:rPr>
      </w:pPr>
      <w:r>
        <w:rPr/>
        <w:pict>
          <v:line style="position:absolute;mso-position-horizontal-relative:page;mso-position-vertical-relative:paragraph;z-index:-331600" from="325pt,-18.514063pt" to="390pt,-18.514063pt" stroked="true" strokeweight=".5pt" strokecolor="#231f20">
            <v:stroke dashstyle="solid"/>
            <w10:wrap type="none"/>
          </v:line>
        </w:pict>
      </w:r>
      <w:r>
        <w:rPr/>
        <w:pict>
          <v:line style="position:absolute;mso-position-horizontal-relative:page;mso-position-vertical-relative:paragraph;z-index:-331576" from="400pt,-18.514063pt" to="465pt,-18.514063pt" stroked="true" strokeweight=".5pt" strokecolor="#231f20">
            <v:stroke dashstyle="solid"/>
            <w10:wrap type="none"/>
          </v:line>
        </w:pict>
      </w:r>
      <w:r>
        <w:rPr>
          <w:i/>
          <w:color w:val="231F20"/>
        </w:rPr>
        <w:t>Other Operating Expenses</w:t>
      </w:r>
    </w:p>
    <w:p>
      <w:pPr>
        <w:pStyle w:val="BodyText"/>
        <w:spacing w:line="249" w:lineRule="auto" w:before="130"/>
        <w:ind w:left="100" w:right="102" w:firstLine="490"/>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4"/>
        <w:rPr>
          <w:sz w:val="31"/>
        </w:rPr>
      </w:pPr>
    </w:p>
    <w:p>
      <w:pPr>
        <w:pStyle w:val="Heading3"/>
      </w:pPr>
      <w:r>
        <w:rPr>
          <w:color w:val="231F20"/>
        </w:rPr>
        <w:t>6. REVOLVING CREDIT FACILITY</w:t>
      </w:r>
    </w:p>
    <w:p>
      <w:pPr>
        <w:pStyle w:val="BodyText"/>
        <w:spacing w:line="249" w:lineRule="auto" w:before="129"/>
        <w:ind w:left="100" w:right="110" w:firstLine="490"/>
      </w:pPr>
      <w:r>
        <w:rPr>
          <w:color w:val="231F20"/>
        </w:rPr>
        <w:t>On April 2, 2013, the Company entered into a new $1 billion unsecured revolving credit facility expiring in April 2018, and terminated its previous facility, which would have expired in April 2016. Interest on the facility is based on the Company’s credit ratings at the time of borrowing. At the Company’s current ratings, the interest cost would be LIBOR plus a spread of 150 basis points. The new facility also contains the same financial covenant as the previous facility, requiring a minimum coverage ratio of adjusted pre-tax income to fixed obligations, as defined. As of December 31, 2013, the Company was in compliance with this covenant and there were no amounts outstanding under the revolving credit</w:t>
      </w:r>
      <w:r>
        <w:rPr>
          <w:color w:val="231F20"/>
          <w:spacing w:val="4"/>
        </w:rPr>
        <w:t> </w:t>
      </w:r>
      <w:r>
        <w:rPr>
          <w:color w:val="231F20"/>
        </w:rPr>
        <w:t>facility.</w:t>
      </w:r>
    </w:p>
    <w:p>
      <w:pPr>
        <w:spacing w:after="0" w:line="249" w:lineRule="auto"/>
        <w:sectPr>
          <w:type w:val="continuous"/>
          <w:pgSz w:w="11880" w:h="15480"/>
          <w:pgMar w:top="1200" w:bottom="280" w:left="1280" w:right="1280"/>
        </w:sectPr>
      </w:pP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93"/>
        <w:gridCol w:w="1577"/>
        <w:gridCol w:w="200"/>
        <w:gridCol w:w="1500"/>
      </w:tblGrid>
      <w:tr>
        <w:trPr>
          <w:trHeight w:val="353" w:hRule="exact"/>
        </w:trPr>
        <w:tc>
          <w:tcPr>
            <w:tcW w:w="5493" w:type="dxa"/>
          </w:tcPr>
          <w:p>
            <w:pPr>
              <w:pStyle w:val="TableParagraph"/>
              <w:spacing w:line="221" w:lineRule="exact"/>
              <w:ind w:left="50"/>
              <w:jc w:val="left"/>
              <w:rPr>
                <w:b/>
                <w:sz w:val="20"/>
              </w:rPr>
            </w:pPr>
            <w:r>
              <w:rPr>
                <w:b/>
                <w:color w:val="231F20"/>
                <w:sz w:val="20"/>
              </w:rPr>
              <w:t>7. LONG-TERM DEBT</w:t>
            </w:r>
          </w:p>
        </w:tc>
        <w:tc>
          <w:tcPr>
            <w:tcW w:w="3277" w:type="dxa"/>
            <w:gridSpan w:val="3"/>
          </w:tcPr>
          <w:p>
            <w:pPr/>
          </w:p>
        </w:tc>
      </w:tr>
      <w:tr>
        <w:trPr>
          <w:trHeight w:val="340" w:hRule="exact"/>
        </w:trPr>
        <w:tc>
          <w:tcPr>
            <w:tcW w:w="5493" w:type="dxa"/>
          </w:tcPr>
          <w:p>
            <w:pPr/>
          </w:p>
        </w:tc>
        <w:tc>
          <w:tcPr>
            <w:tcW w:w="1577" w:type="dxa"/>
          </w:tcPr>
          <w:p>
            <w:pPr>
              <w:pStyle w:val="TableParagraph"/>
              <w:spacing w:before="122"/>
              <w:ind w:left="302"/>
              <w:jc w:val="left"/>
              <w:rPr>
                <w:b/>
                <w:sz w:val="18"/>
              </w:rPr>
            </w:pPr>
            <w:r>
              <w:rPr>
                <w:b/>
                <w:color w:val="231F20"/>
                <w:sz w:val="18"/>
              </w:rPr>
              <w:t>December 31,</w:t>
            </w:r>
          </w:p>
        </w:tc>
        <w:tc>
          <w:tcPr>
            <w:tcW w:w="200" w:type="dxa"/>
          </w:tcPr>
          <w:p>
            <w:pPr/>
          </w:p>
        </w:tc>
        <w:tc>
          <w:tcPr>
            <w:tcW w:w="1500" w:type="dxa"/>
          </w:tcPr>
          <w:p>
            <w:pPr>
              <w:pStyle w:val="TableParagraph"/>
              <w:spacing w:before="122"/>
              <w:ind w:left="225"/>
              <w:jc w:val="left"/>
              <w:rPr>
                <w:b/>
                <w:sz w:val="18"/>
              </w:rPr>
            </w:pPr>
            <w:r>
              <w:rPr>
                <w:b/>
                <w:color w:val="231F20"/>
                <w:sz w:val="18"/>
              </w:rPr>
              <w:t>December 31,</w:t>
            </w:r>
          </w:p>
        </w:tc>
      </w:tr>
      <w:tr>
        <w:trPr>
          <w:trHeight w:val="240" w:hRule="exact"/>
        </w:trPr>
        <w:tc>
          <w:tcPr>
            <w:tcW w:w="5493" w:type="dxa"/>
          </w:tcPr>
          <w:p>
            <w:pPr>
              <w:pStyle w:val="TableParagraph"/>
              <w:spacing w:before="1"/>
              <w:ind w:left="50"/>
              <w:jc w:val="left"/>
              <w:rPr>
                <w:b/>
                <w:sz w:val="18"/>
              </w:rPr>
            </w:pPr>
            <w:r>
              <w:rPr>
                <w:b/>
                <w:color w:val="231F20"/>
                <w:sz w:val="18"/>
              </w:rPr>
              <w:t>(in millions)</w:t>
            </w:r>
          </w:p>
        </w:tc>
        <w:tc>
          <w:tcPr>
            <w:tcW w:w="1577" w:type="dxa"/>
            <w:tcBorders>
              <w:bottom w:val="single" w:sz="8" w:space="0" w:color="231F20"/>
            </w:tcBorders>
          </w:tcPr>
          <w:p>
            <w:pPr>
              <w:pStyle w:val="TableParagraph"/>
              <w:spacing w:before="1"/>
              <w:ind w:left="627" w:right="550"/>
              <w:jc w:val="center"/>
              <w:rPr>
                <w:b/>
                <w:sz w:val="18"/>
              </w:rPr>
            </w:pPr>
            <w:r>
              <w:rPr>
                <w:b/>
                <w:color w:val="231F20"/>
                <w:sz w:val="18"/>
              </w:rPr>
              <w:t>2013</w:t>
            </w:r>
          </w:p>
        </w:tc>
        <w:tc>
          <w:tcPr>
            <w:tcW w:w="200" w:type="dxa"/>
          </w:tcPr>
          <w:p>
            <w:pPr/>
          </w:p>
        </w:tc>
        <w:tc>
          <w:tcPr>
            <w:tcW w:w="1500" w:type="dxa"/>
            <w:tcBorders>
              <w:bottom w:val="single" w:sz="8" w:space="0" w:color="231F20"/>
            </w:tcBorders>
          </w:tcPr>
          <w:p>
            <w:pPr>
              <w:pStyle w:val="TableParagraph"/>
              <w:spacing w:before="1"/>
              <w:ind w:left="550" w:right="550"/>
              <w:jc w:val="center"/>
              <w:rPr>
                <w:b/>
                <w:sz w:val="18"/>
              </w:rPr>
            </w:pPr>
            <w:r>
              <w:rPr>
                <w:b/>
                <w:color w:val="231F20"/>
                <w:sz w:val="18"/>
              </w:rPr>
              <w:t>2012</w:t>
            </w:r>
          </w:p>
        </w:tc>
      </w:tr>
      <w:tr>
        <w:trPr>
          <w:trHeight w:val="280" w:hRule="exact"/>
        </w:trPr>
        <w:tc>
          <w:tcPr>
            <w:tcW w:w="5493" w:type="dxa"/>
          </w:tcPr>
          <w:p>
            <w:pPr>
              <w:pStyle w:val="TableParagraph"/>
              <w:spacing w:before="62"/>
              <w:ind w:left="50"/>
              <w:jc w:val="left"/>
              <w:rPr>
                <w:sz w:val="18"/>
              </w:rPr>
            </w:pPr>
            <w:r>
              <w:rPr>
                <w:color w:val="231F20"/>
                <w:sz w:val="18"/>
              </w:rPr>
              <w:t>5.25% Notes due 2014   . . . . . . . . . . . . . . . . . . . . . . . . . . . . . . . . . . . . . . . . </w:t>
            </w:r>
          </w:p>
        </w:tc>
        <w:tc>
          <w:tcPr>
            <w:tcW w:w="1577" w:type="dxa"/>
            <w:tcBorders>
              <w:top w:val="single" w:sz="8" w:space="0" w:color="231F20"/>
            </w:tcBorders>
          </w:tcPr>
          <w:p>
            <w:pPr>
              <w:pStyle w:val="TableParagraph"/>
              <w:tabs>
                <w:tab w:pos="1189" w:val="left" w:leader="none"/>
              </w:tabs>
              <w:spacing w:before="52"/>
              <w:ind w:right="37"/>
              <w:rPr>
                <w:sz w:val="18"/>
              </w:rPr>
            </w:pPr>
            <w:r>
              <w:rPr>
                <w:color w:val="231F20"/>
                <w:sz w:val="18"/>
              </w:rPr>
              <w:t>$</w:t>
              <w:tab/>
              <w:t>357</w:t>
            </w:r>
          </w:p>
        </w:tc>
        <w:tc>
          <w:tcPr>
            <w:tcW w:w="200" w:type="dxa"/>
          </w:tcPr>
          <w:p>
            <w:pPr/>
          </w:p>
        </w:tc>
        <w:tc>
          <w:tcPr>
            <w:tcW w:w="1500" w:type="dxa"/>
            <w:tcBorders>
              <w:top w:val="single" w:sz="8" w:space="0" w:color="231F20"/>
            </w:tcBorders>
          </w:tcPr>
          <w:p>
            <w:pPr>
              <w:pStyle w:val="TableParagraph"/>
              <w:tabs>
                <w:tab w:pos="1189" w:val="left" w:leader="none"/>
              </w:tabs>
              <w:spacing w:before="52"/>
              <w:ind w:right="38"/>
              <w:rPr>
                <w:sz w:val="18"/>
              </w:rPr>
            </w:pPr>
            <w:r>
              <w:rPr>
                <w:color w:val="231F20"/>
                <w:sz w:val="18"/>
              </w:rPr>
              <w:t>$</w:t>
              <w:tab/>
              <w:t>366</w:t>
            </w:r>
          </w:p>
        </w:tc>
      </w:tr>
      <w:tr>
        <w:trPr>
          <w:trHeight w:val="220" w:hRule="exact"/>
        </w:trPr>
        <w:tc>
          <w:tcPr>
            <w:tcW w:w="5493" w:type="dxa"/>
          </w:tcPr>
          <w:p>
            <w:pPr>
              <w:pStyle w:val="TableParagraph"/>
              <w:spacing w:before="1"/>
              <w:ind w:left="50"/>
              <w:jc w:val="left"/>
              <w:rPr>
                <w:sz w:val="18"/>
              </w:rPr>
            </w:pPr>
            <w:r>
              <w:rPr>
                <w:color w:val="231F20"/>
                <w:sz w:val="18"/>
              </w:rPr>
              <w:t>5.75% Notes due 2016   . . . . . . . . . . . . . . . . . . . . . . . . . . . . . . . . . . . . . . . . </w:t>
            </w:r>
          </w:p>
        </w:tc>
        <w:tc>
          <w:tcPr>
            <w:tcW w:w="1577" w:type="dxa"/>
          </w:tcPr>
          <w:p>
            <w:pPr>
              <w:pStyle w:val="TableParagraph"/>
              <w:spacing w:before="1"/>
              <w:ind w:right="37"/>
              <w:rPr>
                <w:sz w:val="18"/>
              </w:rPr>
            </w:pPr>
            <w:r>
              <w:rPr>
                <w:color w:val="231F20"/>
                <w:sz w:val="18"/>
              </w:rPr>
              <w:t>320</w:t>
            </w:r>
          </w:p>
        </w:tc>
        <w:tc>
          <w:tcPr>
            <w:tcW w:w="200" w:type="dxa"/>
          </w:tcPr>
          <w:p>
            <w:pPr/>
          </w:p>
        </w:tc>
        <w:tc>
          <w:tcPr>
            <w:tcW w:w="1500" w:type="dxa"/>
          </w:tcPr>
          <w:p>
            <w:pPr>
              <w:pStyle w:val="TableParagraph"/>
              <w:spacing w:before="1"/>
              <w:ind w:right="38"/>
              <w:rPr>
                <w:sz w:val="18"/>
              </w:rPr>
            </w:pPr>
            <w:r>
              <w:rPr>
                <w:color w:val="231F20"/>
                <w:sz w:val="18"/>
              </w:rPr>
              <w:t>331</w:t>
            </w:r>
          </w:p>
        </w:tc>
      </w:tr>
      <w:tr>
        <w:trPr>
          <w:trHeight w:val="220" w:hRule="exact"/>
        </w:trPr>
        <w:tc>
          <w:tcPr>
            <w:tcW w:w="5493" w:type="dxa"/>
          </w:tcPr>
          <w:p>
            <w:pPr>
              <w:pStyle w:val="TableParagraph"/>
              <w:spacing w:before="1"/>
              <w:ind w:left="50"/>
              <w:jc w:val="left"/>
              <w:rPr>
                <w:sz w:val="18"/>
              </w:rPr>
            </w:pPr>
            <w:r>
              <w:rPr>
                <w:color w:val="231F20"/>
                <w:sz w:val="18"/>
              </w:rPr>
              <w:t>5.25% Convertible Senior Notes due 2016 . . . . . . . . . . . . . . . . . . . . . . . . . </w:t>
            </w:r>
          </w:p>
        </w:tc>
        <w:tc>
          <w:tcPr>
            <w:tcW w:w="1577" w:type="dxa"/>
          </w:tcPr>
          <w:p>
            <w:pPr>
              <w:pStyle w:val="TableParagraph"/>
              <w:spacing w:before="1"/>
              <w:ind w:right="37"/>
              <w:rPr>
                <w:sz w:val="18"/>
              </w:rPr>
            </w:pPr>
            <w:r>
              <w:rPr>
                <w:color w:val="231F20"/>
                <w:sz w:val="18"/>
              </w:rPr>
              <w:t>115</w:t>
            </w:r>
          </w:p>
        </w:tc>
        <w:tc>
          <w:tcPr>
            <w:tcW w:w="200" w:type="dxa"/>
          </w:tcPr>
          <w:p>
            <w:pPr/>
          </w:p>
        </w:tc>
        <w:tc>
          <w:tcPr>
            <w:tcW w:w="1500" w:type="dxa"/>
          </w:tcPr>
          <w:p>
            <w:pPr>
              <w:pStyle w:val="TableParagraph"/>
              <w:spacing w:before="1"/>
              <w:ind w:right="38"/>
              <w:rPr>
                <w:sz w:val="18"/>
              </w:rPr>
            </w:pPr>
            <w:r>
              <w:rPr>
                <w:color w:val="231F20"/>
                <w:sz w:val="18"/>
              </w:rPr>
              <w:t>117</w:t>
            </w:r>
          </w:p>
        </w:tc>
      </w:tr>
      <w:tr>
        <w:trPr>
          <w:trHeight w:val="220" w:hRule="exact"/>
        </w:trPr>
        <w:tc>
          <w:tcPr>
            <w:tcW w:w="5493" w:type="dxa"/>
          </w:tcPr>
          <w:p>
            <w:pPr>
              <w:pStyle w:val="TableParagraph"/>
              <w:spacing w:before="1"/>
              <w:ind w:left="50"/>
              <w:jc w:val="left"/>
              <w:rPr>
                <w:sz w:val="18"/>
              </w:rPr>
            </w:pPr>
            <w:r>
              <w:rPr>
                <w:color w:val="231F20"/>
                <w:sz w:val="18"/>
              </w:rPr>
              <w:t>5.125% Notes due 2017   . . . . . . . . . . . . . . . . . . . . . . . . . . . . . . . . . . . . . . . </w:t>
            </w:r>
          </w:p>
        </w:tc>
        <w:tc>
          <w:tcPr>
            <w:tcW w:w="1577" w:type="dxa"/>
          </w:tcPr>
          <w:p>
            <w:pPr>
              <w:pStyle w:val="TableParagraph"/>
              <w:spacing w:before="1"/>
              <w:ind w:right="37"/>
              <w:rPr>
                <w:sz w:val="18"/>
              </w:rPr>
            </w:pPr>
            <w:r>
              <w:rPr>
                <w:color w:val="231F20"/>
                <w:sz w:val="18"/>
              </w:rPr>
              <w:t>322</w:t>
            </w:r>
          </w:p>
        </w:tc>
        <w:tc>
          <w:tcPr>
            <w:tcW w:w="200" w:type="dxa"/>
          </w:tcPr>
          <w:p>
            <w:pPr/>
          </w:p>
        </w:tc>
        <w:tc>
          <w:tcPr>
            <w:tcW w:w="1500" w:type="dxa"/>
          </w:tcPr>
          <w:p>
            <w:pPr>
              <w:pStyle w:val="TableParagraph"/>
              <w:spacing w:before="1"/>
              <w:ind w:right="38"/>
              <w:rPr>
                <w:sz w:val="18"/>
              </w:rPr>
            </w:pPr>
            <w:r>
              <w:rPr>
                <w:color w:val="231F20"/>
                <w:sz w:val="18"/>
              </w:rPr>
              <w:t>329</w:t>
            </w:r>
          </w:p>
        </w:tc>
      </w:tr>
      <w:tr>
        <w:trPr>
          <w:trHeight w:val="220" w:hRule="exact"/>
        </w:trPr>
        <w:tc>
          <w:tcPr>
            <w:tcW w:w="5493" w:type="dxa"/>
          </w:tcPr>
          <w:p>
            <w:pPr>
              <w:pStyle w:val="TableParagraph"/>
              <w:spacing w:before="1"/>
              <w:ind w:left="50"/>
              <w:jc w:val="left"/>
              <w:rPr>
                <w:sz w:val="18"/>
              </w:rPr>
            </w:pPr>
            <w:r>
              <w:rPr>
                <w:color w:val="231F20"/>
                <w:sz w:val="18"/>
              </w:rPr>
              <w:t>Fixed-rate 717 Aircraft Notes payable through 2017—10.37%  . . . . . . . . . </w:t>
            </w:r>
          </w:p>
        </w:tc>
        <w:tc>
          <w:tcPr>
            <w:tcW w:w="1577" w:type="dxa"/>
          </w:tcPr>
          <w:p>
            <w:pPr>
              <w:pStyle w:val="TableParagraph"/>
              <w:spacing w:before="1"/>
              <w:ind w:right="37"/>
              <w:rPr>
                <w:sz w:val="18"/>
              </w:rPr>
            </w:pPr>
            <w:r>
              <w:rPr>
                <w:color w:val="231F20"/>
                <w:sz w:val="18"/>
              </w:rPr>
              <w:t>41</w:t>
            </w:r>
          </w:p>
        </w:tc>
        <w:tc>
          <w:tcPr>
            <w:tcW w:w="200" w:type="dxa"/>
          </w:tcPr>
          <w:p>
            <w:pPr/>
          </w:p>
        </w:tc>
        <w:tc>
          <w:tcPr>
            <w:tcW w:w="1500" w:type="dxa"/>
          </w:tcPr>
          <w:p>
            <w:pPr>
              <w:pStyle w:val="TableParagraph"/>
              <w:spacing w:before="1"/>
              <w:ind w:right="38"/>
              <w:rPr>
                <w:sz w:val="18"/>
              </w:rPr>
            </w:pPr>
            <w:r>
              <w:rPr>
                <w:color w:val="231F20"/>
                <w:sz w:val="18"/>
              </w:rPr>
              <w:t>57</w:t>
            </w:r>
          </w:p>
        </w:tc>
      </w:tr>
      <w:tr>
        <w:trPr>
          <w:trHeight w:val="220" w:hRule="exact"/>
        </w:trPr>
        <w:tc>
          <w:tcPr>
            <w:tcW w:w="5493" w:type="dxa"/>
          </w:tcPr>
          <w:p>
            <w:pPr>
              <w:pStyle w:val="TableParagraph"/>
              <w:spacing w:before="1"/>
              <w:ind w:left="50"/>
              <w:jc w:val="left"/>
              <w:rPr>
                <w:sz w:val="18"/>
              </w:rPr>
            </w:pPr>
            <w:r>
              <w:rPr>
                <w:color w:val="231F20"/>
                <w:sz w:val="18"/>
              </w:rPr>
              <w:t>French Credit Agreements due 2018 — 1.05%   . . . . . . . . . . . . . . . . . . . . . </w:t>
            </w:r>
          </w:p>
        </w:tc>
        <w:tc>
          <w:tcPr>
            <w:tcW w:w="1577" w:type="dxa"/>
          </w:tcPr>
          <w:p>
            <w:pPr>
              <w:pStyle w:val="TableParagraph"/>
              <w:spacing w:before="1"/>
              <w:ind w:right="37"/>
              <w:rPr>
                <w:sz w:val="18"/>
              </w:rPr>
            </w:pPr>
            <w:r>
              <w:rPr>
                <w:color w:val="231F20"/>
                <w:sz w:val="18"/>
              </w:rPr>
              <w:t>46</w:t>
            </w:r>
          </w:p>
        </w:tc>
        <w:tc>
          <w:tcPr>
            <w:tcW w:w="200" w:type="dxa"/>
          </w:tcPr>
          <w:p>
            <w:pPr/>
          </w:p>
        </w:tc>
        <w:tc>
          <w:tcPr>
            <w:tcW w:w="1500" w:type="dxa"/>
          </w:tcPr>
          <w:p>
            <w:pPr>
              <w:pStyle w:val="TableParagraph"/>
              <w:spacing w:before="1"/>
              <w:ind w:right="38"/>
              <w:rPr>
                <w:sz w:val="18"/>
              </w:rPr>
            </w:pPr>
            <w:r>
              <w:rPr>
                <w:color w:val="231F20"/>
                <w:sz w:val="18"/>
              </w:rPr>
              <w:t>56</w:t>
            </w:r>
          </w:p>
        </w:tc>
      </w:tr>
      <w:tr>
        <w:trPr>
          <w:trHeight w:val="220" w:hRule="exact"/>
        </w:trPr>
        <w:tc>
          <w:tcPr>
            <w:tcW w:w="5493" w:type="dxa"/>
          </w:tcPr>
          <w:p>
            <w:pPr>
              <w:pStyle w:val="TableParagraph"/>
              <w:spacing w:before="1"/>
              <w:ind w:left="50"/>
              <w:jc w:val="left"/>
              <w:rPr>
                <w:sz w:val="18"/>
              </w:rPr>
            </w:pPr>
            <w:r>
              <w:rPr>
                <w:color w:val="231F20"/>
                <w:sz w:val="18"/>
              </w:rPr>
              <w:t>Fixed-rate 737 Aircraft Notes payable through 2018—7.02%  . . . . . . . . . . </w:t>
            </w:r>
          </w:p>
        </w:tc>
        <w:tc>
          <w:tcPr>
            <w:tcW w:w="1577" w:type="dxa"/>
          </w:tcPr>
          <w:p>
            <w:pPr>
              <w:pStyle w:val="TableParagraph"/>
              <w:spacing w:before="1"/>
              <w:ind w:right="37"/>
              <w:rPr>
                <w:sz w:val="18"/>
              </w:rPr>
            </w:pPr>
            <w:r>
              <w:rPr>
                <w:color w:val="231F20"/>
                <w:sz w:val="18"/>
              </w:rPr>
              <w:t>30</w:t>
            </w:r>
          </w:p>
        </w:tc>
        <w:tc>
          <w:tcPr>
            <w:tcW w:w="200" w:type="dxa"/>
          </w:tcPr>
          <w:p>
            <w:pPr/>
          </w:p>
        </w:tc>
        <w:tc>
          <w:tcPr>
            <w:tcW w:w="1500" w:type="dxa"/>
          </w:tcPr>
          <w:p>
            <w:pPr>
              <w:pStyle w:val="TableParagraph"/>
              <w:spacing w:before="1"/>
              <w:ind w:right="38"/>
              <w:rPr>
                <w:sz w:val="18"/>
              </w:rPr>
            </w:pPr>
            <w:r>
              <w:rPr>
                <w:color w:val="231F20"/>
                <w:sz w:val="18"/>
              </w:rPr>
              <w:t>36</w:t>
            </w:r>
          </w:p>
        </w:tc>
      </w:tr>
      <w:tr>
        <w:trPr>
          <w:trHeight w:val="220" w:hRule="exact"/>
        </w:trPr>
        <w:tc>
          <w:tcPr>
            <w:tcW w:w="5493" w:type="dxa"/>
          </w:tcPr>
          <w:p>
            <w:pPr>
              <w:pStyle w:val="TableParagraph"/>
              <w:spacing w:before="1"/>
              <w:ind w:left="50"/>
              <w:jc w:val="left"/>
              <w:rPr>
                <w:sz w:val="18"/>
              </w:rPr>
            </w:pPr>
            <w:r>
              <w:rPr>
                <w:color w:val="231F20"/>
                <w:sz w:val="18"/>
              </w:rPr>
              <w:t>Term Loan Agreement due 2019 — 6.315%  . . . . . . . . . . . . . . . . . . . . . . . </w:t>
            </w:r>
          </w:p>
        </w:tc>
        <w:tc>
          <w:tcPr>
            <w:tcW w:w="1577" w:type="dxa"/>
          </w:tcPr>
          <w:p>
            <w:pPr>
              <w:pStyle w:val="TableParagraph"/>
              <w:spacing w:before="1"/>
              <w:ind w:right="37"/>
              <w:rPr>
                <w:sz w:val="18"/>
              </w:rPr>
            </w:pPr>
            <w:r>
              <w:rPr>
                <w:color w:val="231F20"/>
                <w:sz w:val="18"/>
              </w:rPr>
              <w:t>210</w:t>
            </w:r>
          </w:p>
        </w:tc>
        <w:tc>
          <w:tcPr>
            <w:tcW w:w="200" w:type="dxa"/>
          </w:tcPr>
          <w:p>
            <w:pPr/>
          </w:p>
        </w:tc>
        <w:tc>
          <w:tcPr>
            <w:tcW w:w="1500" w:type="dxa"/>
          </w:tcPr>
          <w:p>
            <w:pPr>
              <w:pStyle w:val="TableParagraph"/>
              <w:spacing w:before="1"/>
              <w:ind w:right="38"/>
              <w:rPr>
                <w:sz w:val="18"/>
              </w:rPr>
            </w:pPr>
            <w:r>
              <w:rPr>
                <w:color w:val="231F20"/>
                <w:sz w:val="18"/>
              </w:rPr>
              <w:t>241</w:t>
            </w:r>
          </w:p>
        </w:tc>
      </w:tr>
      <w:tr>
        <w:trPr>
          <w:trHeight w:val="220" w:hRule="exact"/>
        </w:trPr>
        <w:tc>
          <w:tcPr>
            <w:tcW w:w="5493" w:type="dxa"/>
          </w:tcPr>
          <w:p>
            <w:pPr>
              <w:pStyle w:val="TableParagraph"/>
              <w:spacing w:before="1"/>
              <w:ind w:left="50"/>
              <w:jc w:val="left"/>
              <w:rPr>
                <w:sz w:val="18"/>
              </w:rPr>
            </w:pPr>
            <w:r>
              <w:rPr>
                <w:color w:val="231F20"/>
                <w:sz w:val="18"/>
              </w:rPr>
              <w:t>Term Loan Agreement due 2019 — 6.84%  . . . . . . . . . . . . . . . . . . . . . . . . </w:t>
            </w:r>
          </w:p>
        </w:tc>
        <w:tc>
          <w:tcPr>
            <w:tcW w:w="1577" w:type="dxa"/>
          </w:tcPr>
          <w:p>
            <w:pPr>
              <w:pStyle w:val="TableParagraph"/>
              <w:spacing w:before="1"/>
              <w:ind w:right="37"/>
              <w:rPr>
                <w:sz w:val="18"/>
              </w:rPr>
            </w:pPr>
            <w:r>
              <w:rPr>
                <w:color w:val="231F20"/>
                <w:sz w:val="18"/>
              </w:rPr>
              <w:t>85</w:t>
            </w:r>
          </w:p>
        </w:tc>
        <w:tc>
          <w:tcPr>
            <w:tcW w:w="200" w:type="dxa"/>
          </w:tcPr>
          <w:p>
            <w:pPr/>
          </w:p>
        </w:tc>
        <w:tc>
          <w:tcPr>
            <w:tcW w:w="1500" w:type="dxa"/>
          </w:tcPr>
          <w:p>
            <w:pPr>
              <w:pStyle w:val="TableParagraph"/>
              <w:spacing w:before="1"/>
              <w:ind w:right="38"/>
              <w:rPr>
                <w:sz w:val="18"/>
              </w:rPr>
            </w:pPr>
            <w:r>
              <w:rPr>
                <w:color w:val="231F20"/>
                <w:sz w:val="18"/>
              </w:rPr>
              <w:t>95</w:t>
            </w:r>
          </w:p>
        </w:tc>
      </w:tr>
      <w:tr>
        <w:trPr>
          <w:trHeight w:val="220" w:hRule="exact"/>
        </w:trPr>
        <w:tc>
          <w:tcPr>
            <w:tcW w:w="5493" w:type="dxa"/>
          </w:tcPr>
          <w:p>
            <w:pPr>
              <w:pStyle w:val="TableParagraph"/>
              <w:spacing w:before="1"/>
              <w:ind w:left="50"/>
              <w:jc w:val="left"/>
              <w:rPr>
                <w:sz w:val="18"/>
              </w:rPr>
            </w:pPr>
            <w:r>
              <w:rPr>
                <w:color w:val="231F20"/>
                <w:sz w:val="18"/>
              </w:rPr>
              <w:t>Term Loan Agreement due 2020 — 5.223%  . . . . . . . . . . . . . . . . . . . . . . . </w:t>
            </w:r>
          </w:p>
        </w:tc>
        <w:tc>
          <w:tcPr>
            <w:tcW w:w="1577" w:type="dxa"/>
          </w:tcPr>
          <w:p>
            <w:pPr>
              <w:pStyle w:val="TableParagraph"/>
              <w:spacing w:before="1"/>
              <w:ind w:right="37"/>
              <w:rPr>
                <w:sz w:val="18"/>
              </w:rPr>
            </w:pPr>
            <w:r>
              <w:rPr>
                <w:color w:val="231F20"/>
                <w:sz w:val="18"/>
              </w:rPr>
              <w:t>413</w:t>
            </w:r>
          </w:p>
        </w:tc>
        <w:tc>
          <w:tcPr>
            <w:tcW w:w="200" w:type="dxa"/>
          </w:tcPr>
          <w:p>
            <w:pPr/>
          </w:p>
        </w:tc>
        <w:tc>
          <w:tcPr>
            <w:tcW w:w="1500" w:type="dxa"/>
          </w:tcPr>
          <w:p>
            <w:pPr>
              <w:pStyle w:val="TableParagraph"/>
              <w:spacing w:before="1"/>
              <w:ind w:right="38"/>
              <w:rPr>
                <w:sz w:val="18"/>
              </w:rPr>
            </w:pPr>
            <w:r>
              <w:rPr>
                <w:color w:val="231F20"/>
                <w:sz w:val="18"/>
              </w:rPr>
              <w:t>451</w:t>
            </w:r>
          </w:p>
        </w:tc>
      </w:tr>
      <w:tr>
        <w:trPr>
          <w:trHeight w:val="220" w:hRule="exact"/>
        </w:trPr>
        <w:tc>
          <w:tcPr>
            <w:tcW w:w="5493" w:type="dxa"/>
          </w:tcPr>
          <w:p>
            <w:pPr>
              <w:pStyle w:val="TableParagraph"/>
              <w:spacing w:before="1"/>
              <w:ind w:left="50"/>
              <w:jc w:val="left"/>
              <w:rPr>
                <w:sz w:val="18"/>
              </w:rPr>
            </w:pPr>
            <w:r>
              <w:rPr>
                <w:color w:val="231F20"/>
                <w:sz w:val="18"/>
              </w:rPr>
              <w:t>Floating-rate 737 Aircraft Notes payable through 2020  . . . . . . . . . . . . . . . </w:t>
            </w:r>
          </w:p>
        </w:tc>
        <w:tc>
          <w:tcPr>
            <w:tcW w:w="1577" w:type="dxa"/>
          </w:tcPr>
          <w:p>
            <w:pPr>
              <w:pStyle w:val="TableParagraph"/>
              <w:spacing w:before="1"/>
              <w:ind w:right="37"/>
              <w:rPr>
                <w:sz w:val="18"/>
              </w:rPr>
            </w:pPr>
            <w:r>
              <w:rPr>
                <w:color w:val="231F20"/>
                <w:sz w:val="18"/>
              </w:rPr>
              <w:t>340</w:t>
            </w:r>
          </w:p>
        </w:tc>
        <w:tc>
          <w:tcPr>
            <w:tcW w:w="200" w:type="dxa"/>
          </w:tcPr>
          <w:p>
            <w:pPr/>
          </w:p>
        </w:tc>
        <w:tc>
          <w:tcPr>
            <w:tcW w:w="1500" w:type="dxa"/>
          </w:tcPr>
          <w:p>
            <w:pPr>
              <w:pStyle w:val="TableParagraph"/>
              <w:spacing w:before="1"/>
              <w:ind w:right="38"/>
              <w:rPr>
                <w:sz w:val="18"/>
              </w:rPr>
            </w:pPr>
            <w:r>
              <w:rPr>
                <w:color w:val="231F20"/>
                <w:sz w:val="18"/>
              </w:rPr>
              <w:t>527</w:t>
            </w:r>
          </w:p>
        </w:tc>
      </w:tr>
      <w:tr>
        <w:trPr>
          <w:trHeight w:val="220" w:hRule="exact"/>
        </w:trPr>
        <w:tc>
          <w:tcPr>
            <w:tcW w:w="5493" w:type="dxa"/>
          </w:tcPr>
          <w:p>
            <w:pPr>
              <w:pStyle w:val="TableParagraph"/>
              <w:spacing w:before="1"/>
              <w:ind w:left="50"/>
              <w:jc w:val="left"/>
              <w:rPr>
                <w:sz w:val="18"/>
              </w:rPr>
            </w:pPr>
            <w:r>
              <w:rPr>
                <w:color w:val="231F20"/>
                <w:sz w:val="18"/>
              </w:rPr>
              <w:t>Pass Through Certificates due 2022 — 6.24%  . . . . . . . . . . . . . . . . . . . . . . </w:t>
            </w:r>
          </w:p>
        </w:tc>
        <w:tc>
          <w:tcPr>
            <w:tcW w:w="1577" w:type="dxa"/>
          </w:tcPr>
          <w:p>
            <w:pPr>
              <w:pStyle w:val="TableParagraph"/>
              <w:spacing w:before="1"/>
              <w:ind w:right="37"/>
              <w:rPr>
                <w:sz w:val="18"/>
              </w:rPr>
            </w:pPr>
            <w:r>
              <w:rPr>
                <w:color w:val="231F20"/>
                <w:sz w:val="18"/>
              </w:rPr>
              <w:t>371</w:t>
            </w:r>
          </w:p>
        </w:tc>
        <w:tc>
          <w:tcPr>
            <w:tcW w:w="200" w:type="dxa"/>
          </w:tcPr>
          <w:p>
            <w:pPr/>
          </w:p>
        </w:tc>
        <w:tc>
          <w:tcPr>
            <w:tcW w:w="1500" w:type="dxa"/>
          </w:tcPr>
          <w:p>
            <w:pPr>
              <w:pStyle w:val="TableParagraph"/>
              <w:spacing w:before="1"/>
              <w:ind w:right="38"/>
              <w:rPr>
                <w:sz w:val="18"/>
              </w:rPr>
            </w:pPr>
            <w:r>
              <w:rPr>
                <w:color w:val="231F20"/>
                <w:sz w:val="18"/>
              </w:rPr>
              <w:t>394</w:t>
            </w:r>
          </w:p>
        </w:tc>
      </w:tr>
      <w:tr>
        <w:trPr>
          <w:trHeight w:val="220" w:hRule="exact"/>
        </w:trPr>
        <w:tc>
          <w:tcPr>
            <w:tcW w:w="5493" w:type="dxa"/>
          </w:tcPr>
          <w:p>
            <w:pPr>
              <w:pStyle w:val="TableParagraph"/>
              <w:spacing w:before="1"/>
              <w:ind w:left="50"/>
              <w:jc w:val="left"/>
              <w:rPr>
                <w:sz w:val="18"/>
              </w:rPr>
            </w:pPr>
            <w:r>
              <w:rPr>
                <w:color w:val="231F20"/>
                <w:sz w:val="18"/>
              </w:rPr>
              <w:t>7.375% Debentures due 2027  . . . . . . . . . . . . . . . . . . . . . . . . . . . . . . . . . . . </w:t>
            </w:r>
          </w:p>
        </w:tc>
        <w:tc>
          <w:tcPr>
            <w:tcW w:w="1577" w:type="dxa"/>
          </w:tcPr>
          <w:p>
            <w:pPr>
              <w:pStyle w:val="TableParagraph"/>
              <w:spacing w:before="1"/>
              <w:ind w:right="37"/>
              <w:rPr>
                <w:sz w:val="18"/>
              </w:rPr>
            </w:pPr>
            <w:r>
              <w:rPr>
                <w:color w:val="231F20"/>
                <w:sz w:val="18"/>
              </w:rPr>
              <w:t>136</w:t>
            </w:r>
          </w:p>
        </w:tc>
        <w:tc>
          <w:tcPr>
            <w:tcW w:w="200" w:type="dxa"/>
          </w:tcPr>
          <w:p>
            <w:pPr/>
          </w:p>
        </w:tc>
        <w:tc>
          <w:tcPr>
            <w:tcW w:w="1500" w:type="dxa"/>
          </w:tcPr>
          <w:p>
            <w:pPr>
              <w:pStyle w:val="TableParagraph"/>
              <w:spacing w:before="1"/>
              <w:ind w:right="38"/>
              <w:rPr>
                <w:sz w:val="18"/>
              </w:rPr>
            </w:pPr>
            <w:r>
              <w:rPr>
                <w:color w:val="231F20"/>
                <w:sz w:val="18"/>
              </w:rPr>
              <w:t>138</w:t>
            </w:r>
          </w:p>
        </w:tc>
      </w:tr>
      <w:tr>
        <w:trPr>
          <w:trHeight w:val="245" w:hRule="exact"/>
        </w:trPr>
        <w:tc>
          <w:tcPr>
            <w:tcW w:w="5493" w:type="dxa"/>
          </w:tcPr>
          <w:p>
            <w:pPr>
              <w:pStyle w:val="TableParagraph"/>
              <w:spacing w:before="1"/>
              <w:ind w:left="50"/>
              <w:jc w:val="left"/>
              <w:rPr>
                <w:sz w:val="18"/>
              </w:rPr>
            </w:pPr>
            <w:r>
              <w:rPr>
                <w:color w:val="231F20"/>
                <w:sz w:val="18"/>
              </w:rPr>
              <w:t>Capital leases (Note 8)   . . . . . . . . . . . . . . . . . . . . . . . . . . . . . . . . . . . . . . . . </w:t>
            </w:r>
          </w:p>
        </w:tc>
        <w:tc>
          <w:tcPr>
            <w:tcW w:w="1577" w:type="dxa"/>
            <w:tcBorders>
              <w:bottom w:val="single" w:sz="4" w:space="0" w:color="231F20"/>
            </w:tcBorders>
          </w:tcPr>
          <w:p>
            <w:pPr>
              <w:pStyle w:val="TableParagraph"/>
              <w:spacing w:before="1"/>
              <w:ind w:right="37"/>
              <w:rPr>
                <w:sz w:val="18"/>
              </w:rPr>
            </w:pPr>
            <w:r>
              <w:rPr>
                <w:color w:val="231F20"/>
                <w:sz w:val="18"/>
              </w:rPr>
              <w:t>56</w:t>
            </w:r>
          </w:p>
        </w:tc>
        <w:tc>
          <w:tcPr>
            <w:tcW w:w="200" w:type="dxa"/>
          </w:tcPr>
          <w:p>
            <w:pPr/>
          </w:p>
        </w:tc>
        <w:tc>
          <w:tcPr>
            <w:tcW w:w="1500" w:type="dxa"/>
            <w:tcBorders>
              <w:bottom w:val="single" w:sz="4" w:space="0" w:color="231F20"/>
            </w:tcBorders>
          </w:tcPr>
          <w:p>
            <w:pPr>
              <w:pStyle w:val="TableParagraph"/>
              <w:spacing w:before="1"/>
              <w:ind w:right="38"/>
              <w:rPr>
                <w:sz w:val="18"/>
              </w:rPr>
            </w:pPr>
            <w:r>
              <w:rPr>
                <w:color w:val="231F20"/>
                <w:sz w:val="18"/>
              </w:rPr>
              <w:t>37</w:t>
            </w:r>
          </w:p>
        </w:tc>
      </w:tr>
      <w:tr>
        <w:trPr>
          <w:trHeight w:val="275" w:hRule="exact"/>
        </w:trPr>
        <w:tc>
          <w:tcPr>
            <w:tcW w:w="5493" w:type="dxa"/>
          </w:tcPr>
          <w:p>
            <w:pPr/>
          </w:p>
        </w:tc>
        <w:tc>
          <w:tcPr>
            <w:tcW w:w="1577" w:type="dxa"/>
            <w:tcBorders>
              <w:top w:val="single" w:sz="4" w:space="0" w:color="231F20"/>
            </w:tcBorders>
          </w:tcPr>
          <w:p>
            <w:pPr>
              <w:pStyle w:val="TableParagraph"/>
              <w:tabs>
                <w:tab w:pos="1054" w:val="left" w:leader="none"/>
              </w:tabs>
              <w:spacing w:before="52"/>
              <w:ind w:right="38"/>
              <w:rPr>
                <w:sz w:val="18"/>
              </w:rPr>
            </w:pPr>
            <w:r>
              <w:rPr>
                <w:color w:val="231F20"/>
                <w:sz w:val="18"/>
              </w:rPr>
              <w:t>$</w:t>
              <w:tab/>
              <w:t>2,842</w:t>
            </w:r>
          </w:p>
        </w:tc>
        <w:tc>
          <w:tcPr>
            <w:tcW w:w="200" w:type="dxa"/>
          </w:tcPr>
          <w:p>
            <w:pPr/>
          </w:p>
        </w:tc>
        <w:tc>
          <w:tcPr>
            <w:tcW w:w="1500" w:type="dxa"/>
            <w:tcBorders>
              <w:top w:val="single" w:sz="4" w:space="0" w:color="231F20"/>
            </w:tcBorders>
          </w:tcPr>
          <w:p>
            <w:pPr>
              <w:pStyle w:val="TableParagraph"/>
              <w:tabs>
                <w:tab w:pos="1054" w:val="left" w:leader="none"/>
              </w:tabs>
              <w:spacing w:before="52"/>
              <w:ind w:right="38"/>
              <w:rPr>
                <w:sz w:val="18"/>
              </w:rPr>
            </w:pPr>
            <w:r>
              <w:rPr>
                <w:color w:val="231F20"/>
                <w:sz w:val="18"/>
              </w:rPr>
              <w:t>$</w:t>
              <w:tab/>
              <w:t>3,175</w:t>
            </w:r>
          </w:p>
        </w:tc>
      </w:tr>
      <w:tr>
        <w:trPr>
          <w:trHeight w:val="220" w:hRule="exact"/>
        </w:trPr>
        <w:tc>
          <w:tcPr>
            <w:tcW w:w="5493" w:type="dxa"/>
          </w:tcPr>
          <w:p>
            <w:pPr>
              <w:pStyle w:val="TableParagraph"/>
              <w:spacing w:before="1"/>
              <w:ind w:left="50"/>
              <w:jc w:val="left"/>
              <w:rPr>
                <w:sz w:val="18"/>
              </w:rPr>
            </w:pPr>
            <w:r>
              <w:rPr>
                <w:color w:val="231F20"/>
                <w:sz w:val="18"/>
              </w:rPr>
              <w:t>Less current maturities   . . . . . . . . . . . . . . . . . . . . . . . . . . . . . . . . . . . . . . . . </w:t>
            </w:r>
          </w:p>
        </w:tc>
        <w:tc>
          <w:tcPr>
            <w:tcW w:w="1577" w:type="dxa"/>
          </w:tcPr>
          <w:p>
            <w:pPr>
              <w:pStyle w:val="TableParagraph"/>
              <w:spacing w:before="1"/>
              <w:ind w:right="38"/>
              <w:rPr>
                <w:sz w:val="18"/>
              </w:rPr>
            </w:pPr>
            <w:r>
              <w:rPr>
                <w:color w:val="231F20"/>
                <w:sz w:val="18"/>
              </w:rPr>
              <w:t>629</w:t>
            </w:r>
          </w:p>
        </w:tc>
        <w:tc>
          <w:tcPr>
            <w:tcW w:w="200" w:type="dxa"/>
          </w:tcPr>
          <w:p>
            <w:pPr/>
          </w:p>
        </w:tc>
        <w:tc>
          <w:tcPr>
            <w:tcW w:w="1500" w:type="dxa"/>
          </w:tcPr>
          <w:p>
            <w:pPr>
              <w:pStyle w:val="TableParagraph"/>
              <w:spacing w:before="1"/>
              <w:ind w:right="38"/>
              <w:rPr>
                <w:sz w:val="18"/>
              </w:rPr>
            </w:pPr>
            <w:r>
              <w:rPr>
                <w:color w:val="231F20"/>
                <w:sz w:val="18"/>
              </w:rPr>
              <w:t>271</w:t>
            </w:r>
          </w:p>
        </w:tc>
      </w:tr>
      <w:tr>
        <w:trPr>
          <w:trHeight w:val="245" w:hRule="exact"/>
        </w:trPr>
        <w:tc>
          <w:tcPr>
            <w:tcW w:w="5493" w:type="dxa"/>
          </w:tcPr>
          <w:p>
            <w:pPr>
              <w:pStyle w:val="TableParagraph"/>
              <w:spacing w:before="1"/>
              <w:ind w:left="50"/>
              <w:jc w:val="left"/>
              <w:rPr>
                <w:sz w:val="18"/>
              </w:rPr>
            </w:pPr>
            <w:r>
              <w:rPr>
                <w:color w:val="231F20"/>
                <w:sz w:val="18"/>
              </w:rPr>
              <w:t>Less debt discount and issuance costs . . . . . . . . . . . . . . . . . . . . . . . . . . . . . </w:t>
            </w:r>
          </w:p>
        </w:tc>
        <w:tc>
          <w:tcPr>
            <w:tcW w:w="1577" w:type="dxa"/>
            <w:tcBorders>
              <w:bottom w:val="single" w:sz="4" w:space="0" w:color="231F20"/>
            </w:tcBorders>
          </w:tcPr>
          <w:p>
            <w:pPr>
              <w:pStyle w:val="TableParagraph"/>
              <w:spacing w:before="1"/>
              <w:ind w:right="38"/>
              <w:rPr>
                <w:sz w:val="18"/>
              </w:rPr>
            </w:pPr>
            <w:r>
              <w:rPr>
                <w:color w:val="231F20"/>
                <w:sz w:val="18"/>
              </w:rPr>
              <w:t>22</w:t>
            </w:r>
          </w:p>
        </w:tc>
        <w:tc>
          <w:tcPr>
            <w:tcW w:w="200" w:type="dxa"/>
          </w:tcPr>
          <w:p>
            <w:pPr/>
          </w:p>
        </w:tc>
        <w:tc>
          <w:tcPr>
            <w:tcW w:w="1500" w:type="dxa"/>
            <w:tcBorders>
              <w:bottom w:val="single" w:sz="4" w:space="0" w:color="231F20"/>
            </w:tcBorders>
          </w:tcPr>
          <w:p>
            <w:pPr>
              <w:pStyle w:val="TableParagraph"/>
              <w:spacing w:before="1"/>
              <w:ind w:right="38"/>
              <w:rPr>
                <w:sz w:val="18"/>
              </w:rPr>
            </w:pPr>
            <w:r>
              <w:rPr>
                <w:color w:val="231F20"/>
                <w:sz w:val="18"/>
              </w:rPr>
              <w:t>21</w:t>
            </w:r>
          </w:p>
        </w:tc>
      </w:tr>
      <w:tr>
        <w:trPr>
          <w:trHeight w:val="340" w:hRule="exact"/>
        </w:trPr>
        <w:tc>
          <w:tcPr>
            <w:tcW w:w="5493" w:type="dxa"/>
          </w:tcPr>
          <w:p>
            <w:pPr/>
          </w:p>
        </w:tc>
        <w:tc>
          <w:tcPr>
            <w:tcW w:w="1577" w:type="dxa"/>
            <w:tcBorders>
              <w:top w:val="single" w:sz="4" w:space="0" w:color="231F20"/>
              <w:bottom w:val="single" w:sz="4" w:space="0" w:color="231F20"/>
            </w:tcBorders>
          </w:tcPr>
          <w:p>
            <w:pPr>
              <w:pStyle w:val="TableParagraph"/>
              <w:tabs>
                <w:tab w:pos="1054" w:val="left" w:leader="none"/>
              </w:tabs>
              <w:spacing w:before="52"/>
              <w:ind w:right="38"/>
              <w:rPr>
                <w:sz w:val="18"/>
              </w:rPr>
            </w:pPr>
            <w:r>
              <w:rPr>
                <w:color w:val="231F20"/>
                <w:sz w:val="18"/>
              </w:rPr>
              <w:t>$</w:t>
              <w:tab/>
              <w:t>2,191</w:t>
            </w:r>
          </w:p>
        </w:tc>
        <w:tc>
          <w:tcPr>
            <w:tcW w:w="200" w:type="dxa"/>
          </w:tcPr>
          <w:p>
            <w:pPr/>
          </w:p>
        </w:tc>
        <w:tc>
          <w:tcPr>
            <w:tcW w:w="1500" w:type="dxa"/>
            <w:tcBorders>
              <w:top w:val="single" w:sz="4" w:space="0" w:color="231F20"/>
              <w:bottom w:val="single" w:sz="4" w:space="0" w:color="231F20"/>
            </w:tcBorders>
          </w:tcPr>
          <w:p>
            <w:pPr>
              <w:pStyle w:val="TableParagraph"/>
              <w:tabs>
                <w:tab w:pos="1054" w:val="left" w:leader="none"/>
              </w:tabs>
              <w:spacing w:before="52"/>
              <w:ind w:right="38"/>
              <w:rPr>
                <w:sz w:val="18"/>
              </w:rPr>
            </w:pPr>
            <w:r>
              <w:rPr>
                <w:color w:val="231F20"/>
                <w:sz w:val="18"/>
              </w:rPr>
              <w:t>$</w:t>
              <w:tab/>
              <w:t>2,883</w:t>
            </w:r>
          </w:p>
        </w:tc>
      </w:tr>
    </w:tbl>
    <w:p>
      <w:pPr>
        <w:pStyle w:val="BodyText"/>
        <w:spacing w:before="9"/>
        <w:rPr>
          <w:sz w:val="28"/>
        </w:rPr>
      </w:pPr>
    </w:p>
    <w:p>
      <w:pPr>
        <w:pStyle w:val="Heading4"/>
        <w:spacing w:before="87"/>
        <w:ind w:left="410"/>
        <w:rPr>
          <w:i/>
        </w:rPr>
      </w:pPr>
      <w:r>
        <w:rPr/>
        <w:pict>
          <v:line style="position:absolute;mso-position-horizontal-relative:page;mso-position-vertical-relative:paragraph;z-index:-331552" from="345pt,-18.964056pt" to="420pt,-18.964056pt" stroked="true" strokeweight=".5pt" strokecolor="#231f20">
            <v:stroke dashstyle="solid"/>
            <w10:wrap type="none"/>
          </v:line>
        </w:pict>
      </w:r>
      <w:r>
        <w:rPr/>
        <w:pict>
          <v:line style="position:absolute;mso-position-horizontal-relative:page;mso-position-vertical-relative:paragraph;z-index:-331528" from="430pt,-18.964056pt" to="505pt,-18.964056pt" stroked="true" strokeweight=".5pt" strokecolor="#231f20">
            <v:stroke dashstyle="solid"/>
            <w10:wrap type="none"/>
          </v:line>
        </w:pict>
      </w:r>
      <w:r>
        <w:rPr>
          <w:i/>
          <w:color w:val="231F20"/>
        </w:rPr>
        <w:t>AirTran Long-Term Debt</w:t>
      </w:r>
    </w:p>
    <w:p>
      <w:pPr>
        <w:pStyle w:val="BodyText"/>
        <w:spacing w:line="249" w:lineRule="auto" w:before="131"/>
        <w:ind w:left="160" w:right="353" w:firstLine="490"/>
      </w:pPr>
      <w:r>
        <w:rPr>
          <w:color w:val="231F20"/>
        </w:rPr>
        <w:t>AirTran Holdings previously entered into aircraft purchase financing facilities, under which a total of 22 737-700 aircrafts were financed as of December 31, 2013.</w:t>
      </w:r>
    </w:p>
    <w:p>
      <w:pPr>
        <w:pStyle w:val="BodyText"/>
        <w:spacing w:before="4"/>
        <w:rPr>
          <w:sz w:val="21"/>
        </w:rPr>
      </w:pPr>
    </w:p>
    <w:p>
      <w:pPr>
        <w:pStyle w:val="BodyText"/>
        <w:spacing w:line="249" w:lineRule="auto"/>
        <w:ind w:left="160" w:right="117" w:firstLine="490"/>
      </w:pPr>
      <w:r>
        <w:rPr>
          <w:color w:val="231F20"/>
        </w:rPr>
        <w:t>As of December 31, 2013, after prepaying aircraft secured term loans for eight aircraft during 2012 and the first half of 2013, 19 Boeing 737 aircraft remain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2013, the weighted average interest rate is 1.68 percent. Principal and interest under the notes are payable semi-annually or every three months as applicable. As of December 31, 2013, the remaining debt outstanding may be prepaid without penalty under all aircraft loans provided under such facilities. The notes mature in years 2016 to 2020. As discussed further in Note 10, a portion of the above floating-rate debt has been effectively converted to a fixed rate via interest rate swap agreements which expire between 2016 and 2020.</w:t>
      </w:r>
    </w:p>
    <w:p>
      <w:pPr>
        <w:pStyle w:val="BodyText"/>
        <w:spacing w:before="4"/>
        <w:rPr>
          <w:sz w:val="21"/>
        </w:rPr>
      </w:pPr>
    </w:p>
    <w:p>
      <w:pPr>
        <w:pStyle w:val="BodyText"/>
        <w:spacing w:line="249" w:lineRule="auto"/>
        <w:ind w:left="160" w:right="202" w:firstLine="490"/>
      </w:pPr>
      <w:r>
        <w:rPr>
          <w:color w:val="231F20"/>
        </w:rPr>
        <w:t>As of December 31, 2013, three Boeing 737 aircraft were financed under a fixed-rate facility. Each note is secured by a first mortgage on the aircraft to which it relates. As of December 31, 2013, the weighted average interest rate is 7.02 percent. Payments of principal and interest under the notes are due semi-annually. The notes mature in years 2016 to 2018.</w:t>
      </w:r>
    </w:p>
    <w:p>
      <w:pPr>
        <w:pStyle w:val="BodyText"/>
        <w:spacing w:before="4"/>
        <w:rPr>
          <w:sz w:val="21"/>
        </w:rPr>
      </w:pPr>
    </w:p>
    <w:p>
      <w:pPr>
        <w:pStyle w:val="BodyText"/>
        <w:spacing w:line="249" w:lineRule="auto"/>
        <w:ind w:left="160" w:right="96" w:firstLine="490"/>
      </w:pPr>
      <w:r>
        <w:rPr>
          <w:color w:val="231F20"/>
        </w:rPr>
        <w:t>As of December 31, 2013, eight Boeing 717 aircraft were pledged as collateral for the obligations related to enhanced equipment trust certificates (EETCs). Principal and interest payments on the EETCs are due semi- annually through April 2017. The EETCs bear interest at a fixed rate of 10.37 percent.</w:t>
      </w:r>
    </w:p>
    <w:p>
      <w:pPr>
        <w:pStyle w:val="BodyText"/>
        <w:spacing w:before="4"/>
        <w:rPr>
          <w:sz w:val="21"/>
        </w:rPr>
      </w:pPr>
    </w:p>
    <w:p>
      <w:pPr>
        <w:pStyle w:val="BodyText"/>
        <w:spacing w:line="249" w:lineRule="auto"/>
        <w:ind w:left="160" w:right="134" w:firstLine="490"/>
      </w:pPr>
      <w:r>
        <w:rPr>
          <w:color w:val="231F20"/>
        </w:rPr>
        <w:t>In October 2009, AirTran Holdings completed a public offering of $115 million of convertible senior notes due in 2016. Such notes bear interest at 5.25 percent payable semi-annually, in arrears, on May 1 and</w:t>
      </w:r>
    </w:p>
    <w:p>
      <w:pPr>
        <w:pStyle w:val="BodyText"/>
        <w:spacing w:line="249" w:lineRule="auto"/>
        <w:ind w:left="160" w:right="313"/>
      </w:pPr>
      <w:r>
        <w:rPr>
          <w:color w:val="231F20"/>
        </w:rPr>
        <w:t>November 1. As a result of the acquisition and subsequent dividends declared by the Company, the convertible senior notes are convertible into AirTran conversion units of 166.2806 per $1,000 in principal amount of such</w:t>
      </w:r>
    </w:p>
    <w:p>
      <w:pPr>
        <w:spacing w:after="0" w:line="249" w:lineRule="auto"/>
        <w:sectPr>
          <w:pgSz w:w="11880" w:h="15480"/>
          <w:pgMar w:header="0" w:footer="1253" w:top="1320" w:bottom="1440" w:left="1220" w:right="1280"/>
        </w:sectPr>
      </w:pPr>
    </w:p>
    <w:p>
      <w:pPr>
        <w:pStyle w:val="BodyText"/>
        <w:spacing w:line="249" w:lineRule="auto" w:before="73"/>
        <w:ind w:left="100" w:right="107"/>
      </w:pPr>
      <w:r>
        <w:rPr>
          <w:color w:val="231F20"/>
        </w:rPr>
        <w:t>notes. Based on the terms of the merger agreement, the holders of these notes would receive shares of the Company’s common stock at a conversion rate of 53.3761 shares and $615.16 in cash per $1,000 in principal amount of such notes. This conversion rate is subject to adjustment under certain circumstances such as: granting of stock and cash dividends, a make-whole fundamental change of ownership provision, the issuance of rights or warrants, and/or a distribution of capital stock. Subsequent to the acquisition, holders of $5 million in principal amount elected to convert their notes. Remaining holders may convert their convertible senior notes into cash  and shares of common stock at their option at any time. As such, the Company has classified $68 million, which is the cash portion the Company would be required to pay upon conversion, as current maturities in the Consolidated Balance Sheet. The convertible senior notes are not redeemable at the Company’s option prior to maturity. The holders of the convertible senior notes may require the Company to repurchase such notes, in whole or in part, for cash upon the occurrence of a fundamental change, as defined in the governing supplemental indenture, at a repurchase price of 100 percent of the principal amount plus any accrued and unpaid</w:t>
      </w:r>
      <w:r>
        <w:rPr>
          <w:color w:val="231F20"/>
          <w:spacing w:val="9"/>
        </w:rPr>
        <w:t> </w:t>
      </w:r>
      <w:r>
        <w:rPr>
          <w:color w:val="231F20"/>
        </w:rPr>
        <w:t>interest.</w:t>
      </w:r>
    </w:p>
    <w:p>
      <w:pPr>
        <w:pStyle w:val="BodyText"/>
        <w:spacing w:before="4"/>
        <w:rPr>
          <w:sz w:val="17"/>
        </w:rPr>
      </w:pPr>
    </w:p>
    <w:p>
      <w:pPr>
        <w:pStyle w:val="BodyText"/>
        <w:spacing w:line="249" w:lineRule="auto"/>
        <w:ind w:left="100" w:right="113" w:firstLine="490"/>
      </w:pPr>
      <w:r>
        <w:rPr>
          <w:color w:val="231F20"/>
        </w:rPr>
        <w:t>As a result of triggering the fundamental change of ownership provision in the convertible senior notes and as a result of the acquisition, an embedded conversion option is deemed to exist. In accordance with applicable accounting guidance, the embedded conversion option was effectively separated and accounted for as a free- standing derivative. A fair value calculation, utilizing similar market yields and the Company’s common stock price, was performed for the debt with and without the equity to measure the equity component. The value allocated to the conversion option of $35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 notes were converted is considered in the Company’s net income per share calculations, unless such conversion would be considered antidilutive. See Note 9.</w:t>
      </w:r>
    </w:p>
    <w:p>
      <w:pPr>
        <w:pStyle w:val="BodyText"/>
        <w:rPr>
          <w:sz w:val="26"/>
        </w:rPr>
      </w:pPr>
    </w:p>
    <w:p>
      <w:pPr>
        <w:pStyle w:val="Heading4"/>
        <w:rPr>
          <w:i/>
        </w:rPr>
      </w:pPr>
      <w:r>
        <w:rPr>
          <w:i/>
          <w:color w:val="231F20"/>
        </w:rPr>
        <w:t>Other Company Long-Term Debt</w:t>
      </w:r>
    </w:p>
    <w:p>
      <w:pPr>
        <w:pStyle w:val="BodyText"/>
        <w:spacing w:line="249" w:lineRule="auto" w:before="108"/>
        <w:ind w:left="100" w:right="203" w:firstLine="490"/>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and interest is payable quarterly, which payments began on August 6, 2009. Pursuant to the terms of the term loan agreement, the Company entered into an interest rate swap agreement to convert the variable rate on the term loan to a fixed 6.315% until maturity.</w:t>
      </w:r>
    </w:p>
    <w:p>
      <w:pPr>
        <w:pStyle w:val="BodyText"/>
        <w:spacing w:before="4"/>
        <w:rPr>
          <w:sz w:val="17"/>
        </w:rPr>
      </w:pPr>
    </w:p>
    <w:p>
      <w:pPr>
        <w:pStyle w:val="BodyText"/>
        <w:spacing w:line="249" w:lineRule="auto"/>
        <w:ind w:left="100" w:right="135" w:firstLine="490"/>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 The loan matures on July 1, 2019, and is repayable semi-annually in installments of principal that began January 1, 2010. The loan bears interest at a fixed rate of 6.84%, and interest is payable semi-annually, which payments began on January 1, 2010.</w:t>
      </w:r>
    </w:p>
    <w:p>
      <w:pPr>
        <w:pStyle w:val="BodyText"/>
        <w:spacing w:before="4"/>
        <w:rPr>
          <w:sz w:val="17"/>
        </w:rPr>
      </w:pPr>
    </w:p>
    <w:p>
      <w:pPr>
        <w:pStyle w:val="BodyText"/>
        <w:spacing w:line="249" w:lineRule="auto"/>
        <w:ind w:left="100" w:right="203" w:firstLine="490"/>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0.95%, and interest is payable quarterly. Pursuant to the terms of the term loan agreement, the Company entered into an interest rate swap agreement to convert the variable rate on the term loan to a fixed 5.223% until maturity.</w:t>
      </w:r>
    </w:p>
    <w:p>
      <w:pPr>
        <w:pStyle w:val="BodyText"/>
        <w:spacing w:before="4"/>
        <w:rPr>
          <w:sz w:val="17"/>
        </w:rPr>
      </w:pPr>
    </w:p>
    <w:p>
      <w:pPr>
        <w:pStyle w:val="BodyText"/>
        <w:spacing w:line="249" w:lineRule="auto"/>
        <w:ind w:left="100" w:firstLine="490"/>
      </w:pPr>
      <w:r>
        <w:rPr>
          <w:color w:val="231F20"/>
        </w:rPr>
        <w:t>On October 3, 2007, grantor trusts established by the Company issued $500 million Pass Through Certificates consisting of $412 million 6.15% Series A certificates and $88 million 6.65% Series B certificates. A</w:t>
      </w:r>
    </w:p>
    <w:p>
      <w:pPr>
        <w:spacing w:after="0" w:line="249" w:lineRule="auto"/>
        <w:sectPr>
          <w:pgSz w:w="11880" w:h="15480"/>
          <w:pgMar w:header="0" w:footer="1253" w:top="1240" w:bottom="1440" w:left="1280" w:right="1280"/>
        </w:sectPr>
      </w:pPr>
    </w:p>
    <w:p>
      <w:pPr>
        <w:pStyle w:val="BodyText"/>
        <w:spacing w:line="249" w:lineRule="auto" w:before="73"/>
        <w:ind w:left="100" w:right="111"/>
      </w:pPr>
      <w:r>
        <w:rPr>
          <w:color w:val="231F20"/>
        </w:rPr>
        <w:t>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Prior to their issuance, the Company also entered into 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10"/>
      </w:pPr>
    </w:p>
    <w:p>
      <w:pPr>
        <w:pStyle w:val="BodyText"/>
        <w:spacing w:line="249" w:lineRule="auto" w:before="1"/>
        <w:ind w:left="100" w:right="304" w:firstLine="490"/>
      </w:pPr>
      <w:r>
        <w:rPr>
          <w:color w:val="231F20"/>
        </w:rPr>
        <w:t>During December 2006, the Company issued $300 million senior unsecured notes due 2016. The notes bear interest at 5.75%, payable semi-annually in arrears, with the first payment made on June 15, 2007. During fourth quarter 2009, the Company entered into a fixed-to-floating interest rate swap to convert the interest on these unsecured notes to a floating rate until their maturity. See Note 10 for further information on the interest- rate swap agreement.</w:t>
      </w:r>
    </w:p>
    <w:p>
      <w:pPr>
        <w:pStyle w:val="BodyText"/>
        <w:spacing w:before="11"/>
      </w:pPr>
    </w:p>
    <w:p>
      <w:pPr>
        <w:pStyle w:val="BodyText"/>
        <w:spacing w:line="249" w:lineRule="auto"/>
        <w:ind w:left="100" w:right="163" w:firstLine="490"/>
      </w:pPr>
      <w:r>
        <w:rPr>
          <w:color w:val="231F20"/>
        </w:rPr>
        <w:t>During February 2005, the Company issued $300 million senior unsecured notes due 2017. The notes bear interest at 5.125%, payable semi-annually in arrears, with the first payment made on September 1, 2005. In January 2007,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0"/>
      </w:pPr>
    </w:p>
    <w:p>
      <w:pPr>
        <w:pStyle w:val="BodyText"/>
        <w:spacing w:line="249" w:lineRule="auto" w:before="1"/>
        <w:ind w:left="100" w:right="103" w:firstLine="490"/>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 transactions.</w:t>
      </w:r>
    </w:p>
    <w:p>
      <w:pPr>
        <w:pStyle w:val="BodyText"/>
        <w:spacing w:before="11"/>
      </w:pPr>
    </w:p>
    <w:p>
      <w:pPr>
        <w:pStyle w:val="BodyText"/>
        <w:spacing w:line="249" w:lineRule="auto"/>
        <w:ind w:left="100" w:right="105" w:firstLine="490"/>
      </w:pPr>
      <w:r>
        <w:rPr>
          <w:color w:val="231F20"/>
        </w:rPr>
        <w:t>In September 2004, the Company issued $350 million senior unsecured notes due 2014. The notes bear interest at 5.25%, payable semi-annually in arrears on April 1 and October 1. Concurrently,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0"/>
      </w:pPr>
    </w:p>
    <w:p>
      <w:pPr>
        <w:pStyle w:val="BodyText"/>
        <w:spacing w:line="249" w:lineRule="auto" w:before="1"/>
        <w:ind w:left="100" w:right="118" w:firstLine="490"/>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 See Note 10 for more information on the interest rate swap agreement and</w:t>
      </w:r>
      <w:r>
        <w:rPr>
          <w:color w:val="231F20"/>
          <w:spacing w:val="7"/>
        </w:rPr>
        <w:t> </w:t>
      </w:r>
      <w:r>
        <w:rPr>
          <w:color w:val="231F20"/>
        </w:rPr>
        <w:t>termination.</w:t>
      </w:r>
    </w:p>
    <w:p>
      <w:pPr>
        <w:spacing w:after="0" w:line="249" w:lineRule="auto"/>
        <w:sectPr>
          <w:pgSz w:w="11880" w:h="15480"/>
          <w:pgMar w:header="0" w:footer="1253" w:top="1240" w:bottom="1440" w:left="1280" w:right="1300"/>
        </w:sectPr>
      </w:pPr>
    </w:p>
    <w:p>
      <w:pPr>
        <w:pStyle w:val="BodyText"/>
        <w:spacing w:line="249" w:lineRule="auto" w:before="73"/>
        <w:ind w:left="160" w:right="166" w:firstLine="490"/>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$182 million at December 31, 2013.</w:t>
      </w:r>
    </w:p>
    <w:p>
      <w:pPr>
        <w:pStyle w:val="BodyText"/>
        <w:spacing w:before="10"/>
        <w:rPr>
          <w:sz w:val="17"/>
        </w:rPr>
      </w:pPr>
    </w:p>
    <w:p>
      <w:pPr>
        <w:pStyle w:val="BodyText"/>
        <w:spacing w:line="249" w:lineRule="auto"/>
        <w:ind w:left="160" w:right="107" w:firstLine="490"/>
      </w:pPr>
      <w:r>
        <w:rPr>
          <w:color w:val="231F20"/>
        </w:rPr>
        <w:t>The net book value of the assets pledged as collateral for the Company’s secured borrowings, primarily aircraft and engines, was $2.2 billion at December 31, 2013. In addition, the Company has pledged a total of up to 81 of its Boeing 737-700 aircraft at a net book value of $2.1 billion, in the case that it has obligations related to its fuel derivative instruments with counterparties that exceed certain thresholds. See Note 10 for further information on these collateral</w:t>
      </w:r>
      <w:r>
        <w:rPr>
          <w:color w:val="231F20"/>
          <w:spacing w:val="5"/>
        </w:rPr>
        <w:t> </w:t>
      </w:r>
      <w:r>
        <w:rPr>
          <w:color w:val="231F20"/>
        </w:rPr>
        <w:t>arrangements.</w:t>
      </w:r>
    </w:p>
    <w:p>
      <w:pPr>
        <w:pStyle w:val="BodyText"/>
        <w:spacing w:before="10"/>
        <w:rPr>
          <w:sz w:val="17"/>
        </w:rPr>
      </w:pPr>
    </w:p>
    <w:p>
      <w:pPr>
        <w:pStyle w:val="BodyText"/>
        <w:spacing w:line="249" w:lineRule="auto"/>
        <w:ind w:left="160" w:right="166" w:firstLine="490"/>
      </w:pPr>
      <w:r>
        <w:rPr>
          <w:color w:val="231F20"/>
        </w:rPr>
        <w:t>As of </w:t>
      </w:r>
      <w:r>
        <w:rPr>
          <w:color w:val="231F20"/>
          <w:spacing w:val="-3"/>
        </w:rPr>
        <w:t>December </w:t>
      </w:r>
      <w:r>
        <w:rPr>
          <w:color w:val="231F20"/>
        </w:rPr>
        <w:t>31, </w:t>
      </w:r>
      <w:r>
        <w:rPr>
          <w:color w:val="231F20"/>
          <w:spacing w:val="-3"/>
        </w:rPr>
        <w:t>2013, aggregate annual principal maturities </w:t>
      </w:r>
      <w:r>
        <w:rPr>
          <w:color w:val="231F20"/>
        </w:rPr>
        <w:t>of </w:t>
      </w:r>
      <w:r>
        <w:rPr>
          <w:color w:val="231F20"/>
          <w:spacing w:val="-3"/>
        </w:rPr>
        <w:t>debt </w:t>
      </w:r>
      <w:r>
        <w:rPr>
          <w:color w:val="231F20"/>
        </w:rPr>
        <w:t>and </w:t>
      </w:r>
      <w:r>
        <w:rPr>
          <w:color w:val="231F20"/>
          <w:spacing w:val="-3"/>
        </w:rPr>
        <w:t>capital leases (not including amounts associated with interest rate swap agreements, interest </w:t>
      </w:r>
      <w:r>
        <w:rPr>
          <w:color w:val="231F20"/>
        </w:rPr>
        <w:t>on </w:t>
      </w:r>
      <w:r>
        <w:rPr>
          <w:color w:val="231F20"/>
          <w:spacing w:val="-3"/>
        </w:rPr>
        <w:t>capital leases, </w:t>
      </w:r>
      <w:r>
        <w:rPr>
          <w:color w:val="231F20"/>
        </w:rPr>
        <w:t>and </w:t>
      </w:r>
      <w:r>
        <w:rPr>
          <w:color w:val="231F20"/>
          <w:spacing w:val="-3"/>
        </w:rPr>
        <w:t>amortization </w:t>
      </w:r>
      <w:r>
        <w:rPr>
          <w:color w:val="231F20"/>
        </w:rPr>
        <w:t>of </w:t>
      </w:r>
      <w:r>
        <w:rPr>
          <w:color w:val="231F20"/>
          <w:spacing w:val="-3"/>
        </w:rPr>
        <w:t>purchase accounting</w:t>
      </w:r>
      <w:r>
        <w:rPr>
          <w:color w:val="231F20"/>
          <w:spacing w:val="-17"/>
        </w:rPr>
        <w:t> </w:t>
      </w:r>
      <w:r>
        <w:rPr>
          <w:color w:val="231F20"/>
          <w:spacing w:val="-3"/>
        </w:rPr>
        <w:t>adjustments)</w:t>
      </w:r>
      <w:r>
        <w:rPr>
          <w:color w:val="231F20"/>
          <w:spacing w:val="-17"/>
        </w:rPr>
        <w:t> </w:t>
      </w:r>
      <w:r>
        <w:rPr>
          <w:color w:val="231F20"/>
        </w:rPr>
        <w:t>for</w:t>
      </w:r>
      <w:r>
        <w:rPr>
          <w:color w:val="231F20"/>
          <w:spacing w:val="-17"/>
        </w:rPr>
        <w:t> </w:t>
      </w:r>
      <w:r>
        <w:rPr>
          <w:color w:val="231F20"/>
        </w:rPr>
        <w:t>the</w:t>
      </w:r>
      <w:r>
        <w:rPr>
          <w:color w:val="231F20"/>
          <w:spacing w:val="-17"/>
        </w:rPr>
        <w:t> </w:t>
      </w:r>
      <w:r>
        <w:rPr>
          <w:color w:val="231F20"/>
          <w:spacing w:val="-3"/>
        </w:rPr>
        <w:t>five-year</w:t>
      </w:r>
      <w:r>
        <w:rPr>
          <w:color w:val="231F20"/>
          <w:spacing w:val="-17"/>
        </w:rPr>
        <w:t> </w:t>
      </w:r>
      <w:r>
        <w:rPr>
          <w:color w:val="231F20"/>
          <w:spacing w:val="-3"/>
        </w:rPr>
        <w:t>period</w:t>
      </w:r>
      <w:r>
        <w:rPr>
          <w:color w:val="231F20"/>
          <w:spacing w:val="-17"/>
        </w:rPr>
        <w:t> </w:t>
      </w:r>
      <w:r>
        <w:rPr>
          <w:color w:val="231F20"/>
          <w:spacing w:val="-3"/>
        </w:rPr>
        <w:t>ending</w:t>
      </w:r>
      <w:r>
        <w:rPr>
          <w:color w:val="231F20"/>
          <w:spacing w:val="-17"/>
        </w:rPr>
        <w:t> </w:t>
      </w:r>
      <w:r>
        <w:rPr>
          <w:color w:val="231F20"/>
          <w:spacing w:val="-3"/>
        </w:rPr>
        <w:t>December</w:t>
      </w:r>
      <w:r>
        <w:rPr>
          <w:color w:val="231F20"/>
          <w:spacing w:val="-17"/>
        </w:rPr>
        <w:t> </w:t>
      </w:r>
      <w:r>
        <w:rPr>
          <w:color w:val="231F20"/>
        </w:rPr>
        <w:t>31,</w:t>
      </w:r>
      <w:r>
        <w:rPr>
          <w:color w:val="231F20"/>
          <w:spacing w:val="-17"/>
        </w:rPr>
        <w:t> </w:t>
      </w:r>
      <w:r>
        <w:rPr>
          <w:color w:val="231F20"/>
          <w:spacing w:val="-3"/>
        </w:rPr>
        <w:t>2018</w:t>
      </w:r>
      <w:r>
        <w:rPr>
          <w:color w:val="231F20"/>
          <w:spacing w:val="-17"/>
        </w:rPr>
        <w:t> </w:t>
      </w:r>
      <w:r>
        <w:rPr>
          <w:color w:val="231F20"/>
        </w:rPr>
        <w:t>and</w:t>
      </w:r>
      <w:r>
        <w:rPr>
          <w:color w:val="231F20"/>
          <w:spacing w:val="-17"/>
        </w:rPr>
        <w:t> </w:t>
      </w:r>
      <w:r>
        <w:rPr>
          <w:color w:val="231F20"/>
          <w:spacing w:val="-3"/>
        </w:rPr>
        <w:t>thereafter,</w:t>
      </w:r>
      <w:r>
        <w:rPr>
          <w:color w:val="231F20"/>
          <w:spacing w:val="-17"/>
        </w:rPr>
        <w:t> </w:t>
      </w:r>
      <w:r>
        <w:rPr>
          <w:color w:val="231F20"/>
          <w:spacing w:val="-3"/>
        </w:rPr>
        <w:t>were</w:t>
      </w:r>
      <w:r>
        <w:rPr>
          <w:color w:val="231F20"/>
          <w:spacing w:val="-17"/>
        </w:rPr>
        <w:t> </w:t>
      </w:r>
      <w:r>
        <w:rPr>
          <w:color w:val="231F20"/>
          <w:spacing w:val="-3"/>
        </w:rPr>
        <w:t>$546</w:t>
      </w:r>
      <w:r>
        <w:rPr>
          <w:color w:val="231F20"/>
          <w:spacing w:val="-17"/>
        </w:rPr>
        <w:t> </w:t>
      </w:r>
      <w:r>
        <w:rPr>
          <w:color w:val="231F20"/>
          <w:spacing w:val="-3"/>
        </w:rPr>
        <w:t>million</w:t>
      </w:r>
      <w:r>
        <w:rPr>
          <w:color w:val="231F20"/>
          <w:spacing w:val="-17"/>
        </w:rPr>
        <w:t> </w:t>
      </w:r>
      <w:r>
        <w:rPr>
          <w:color w:val="231F20"/>
        </w:rPr>
        <w:t>in</w:t>
      </w:r>
      <w:r>
        <w:rPr>
          <w:color w:val="231F20"/>
          <w:spacing w:val="-17"/>
        </w:rPr>
        <w:t> </w:t>
      </w:r>
      <w:r>
        <w:rPr>
          <w:color w:val="231F20"/>
          <w:spacing w:val="-3"/>
        </w:rPr>
        <w:t>2014,</w:t>
      </w:r>
    </w:p>
    <w:p>
      <w:pPr>
        <w:pStyle w:val="BodyText"/>
        <w:spacing w:before="1"/>
        <w:ind w:left="160"/>
      </w:pPr>
      <w:r>
        <w:rPr>
          <w:color w:val="231F20"/>
          <w:spacing w:val="-3"/>
        </w:rPr>
        <w:t>$170 million </w:t>
      </w:r>
      <w:r>
        <w:rPr>
          <w:color w:val="231F20"/>
        </w:rPr>
        <w:t>in </w:t>
      </w:r>
      <w:r>
        <w:rPr>
          <w:color w:val="231F20"/>
          <w:spacing w:val="-3"/>
        </w:rPr>
        <w:t>2015, $597 million </w:t>
      </w:r>
      <w:r>
        <w:rPr>
          <w:color w:val="231F20"/>
        </w:rPr>
        <w:t>in </w:t>
      </w:r>
      <w:r>
        <w:rPr>
          <w:color w:val="231F20"/>
          <w:spacing w:val="-3"/>
        </w:rPr>
        <w:t>2016, $506 million </w:t>
      </w:r>
      <w:r>
        <w:rPr>
          <w:color w:val="231F20"/>
        </w:rPr>
        <w:t>in </w:t>
      </w:r>
      <w:r>
        <w:rPr>
          <w:color w:val="231F20"/>
          <w:spacing w:val="-3"/>
        </w:rPr>
        <w:t>2017, $251 million </w:t>
      </w:r>
      <w:r>
        <w:rPr>
          <w:color w:val="231F20"/>
        </w:rPr>
        <w:t>in </w:t>
      </w:r>
      <w:r>
        <w:rPr>
          <w:color w:val="231F20"/>
          <w:spacing w:val="-3"/>
        </w:rPr>
        <w:t>2018, </w:t>
      </w:r>
      <w:r>
        <w:rPr>
          <w:color w:val="231F20"/>
        </w:rPr>
        <w:t>and </w:t>
      </w:r>
      <w:r>
        <w:rPr>
          <w:color w:val="231F20"/>
          <w:spacing w:val="-3"/>
        </w:rPr>
        <w:t>$674 million thereafter.</w:t>
      </w:r>
    </w:p>
    <w:p>
      <w:pPr>
        <w:pStyle w:val="BodyText"/>
        <w:spacing w:before="6"/>
        <w:rPr>
          <w:sz w:val="27"/>
        </w:rPr>
      </w:pPr>
    </w:p>
    <w:p>
      <w:pPr>
        <w:pStyle w:val="Heading3"/>
        <w:numPr>
          <w:ilvl w:val="0"/>
          <w:numId w:val="13"/>
        </w:numPr>
        <w:tabs>
          <w:tab w:pos="360" w:val="left" w:leader="none"/>
        </w:tabs>
        <w:spacing w:line="240" w:lineRule="auto" w:before="0" w:after="0"/>
        <w:ind w:left="360" w:right="0" w:hanging="200"/>
        <w:jc w:val="left"/>
      </w:pPr>
      <w:r>
        <w:rPr>
          <w:color w:val="231F20"/>
        </w:rPr>
        <w:t>LEASES</w:t>
      </w:r>
    </w:p>
    <w:p>
      <w:pPr>
        <w:pStyle w:val="BodyText"/>
        <w:spacing w:line="249" w:lineRule="auto" w:before="111"/>
        <w:ind w:left="160" w:right="202" w:firstLine="490"/>
      </w:pPr>
      <w:r>
        <w:rPr>
          <w:color w:val="231F20"/>
        </w:rPr>
        <w:t>The Company had four aircraft classified as capital leases at December 31, 2013, compared to two aircraft classified as capital leases at December 31, 2012. Amounts applicable to these aircraft that are included in property and equipment were:</w:t>
      </w:r>
    </w:p>
    <w:p>
      <w:pPr>
        <w:pStyle w:val="BodyText"/>
        <w:rPr>
          <w:sz w:val="1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75"/>
        <w:gridCol w:w="155"/>
        <w:gridCol w:w="750"/>
        <w:gridCol w:w="350"/>
        <w:gridCol w:w="100"/>
        <w:gridCol w:w="750"/>
        <w:gridCol w:w="300"/>
      </w:tblGrid>
      <w:tr>
        <w:trPr>
          <w:trHeight w:val="230" w:hRule="exact"/>
        </w:trPr>
        <w:tc>
          <w:tcPr>
            <w:tcW w:w="377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55" w:type="dxa"/>
          </w:tcPr>
          <w:p>
            <w:pPr/>
          </w:p>
        </w:tc>
        <w:tc>
          <w:tcPr>
            <w:tcW w:w="750" w:type="dxa"/>
            <w:tcBorders>
              <w:bottom w:val="single" w:sz="8" w:space="0" w:color="231F20"/>
            </w:tcBorders>
          </w:tcPr>
          <w:p>
            <w:pPr>
              <w:pStyle w:val="TableParagraph"/>
              <w:spacing w:line="199" w:lineRule="exact"/>
              <w:ind w:left="320"/>
              <w:jc w:val="left"/>
              <w:rPr>
                <w:b/>
                <w:sz w:val="18"/>
              </w:rPr>
            </w:pPr>
            <w:r>
              <w:rPr>
                <w:b/>
                <w:color w:val="231F20"/>
                <w:sz w:val="18"/>
              </w:rPr>
              <w:t>2013</w:t>
            </w:r>
          </w:p>
        </w:tc>
        <w:tc>
          <w:tcPr>
            <w:tcW w:w="350" w:type="dxa"/>
            <w:tcBorders>
              <w:bottom w:val="single" w:sz="8" w:space="0" w:color="231F20"/>
            </w:tcBorders>
          </w:tcPr>
          <w:p>
            <w:pPr/>
          </w:p>
        </w:tc>
        <w:tc>
          <w:tcPr>
            <w:tcW w:w="100" w:type="dxa"/>
          </w:tcPr>
          <w:p>
            <w:pPr/>
          </w:p>
        </w:tc>
        <w:tc>
          <w:tcPr>
            <w:tcW w:w="750" w:type="dxa"/>
            <w:tcBorders>
              <w:bottom w:val="single" w:sz="8" w:space="0" w:color="231F20"/>
            </w:tcBorders>
          </w:tcPr>
          <w:p>
            <w:pPr>
              <w:pStyle w:val="TableParagraph"/>
              <w:spacing w:line="199" w:lineRule="exact"/>
              <w:ind w:left="320"/>
              <w:jc w:val="left"/>
              <w:rPr>
                <w:b/>
                <w:sz w:val="18"/>
              </w:rPr>
            </w:pPr>
            <w:r>
              <w:rPr>
                <w:b/>
                <w:color w:val="231F20"/>
                <w:sz w:val="18"/>
              </w:rPr>
              <w:t>2012</w:t>
            </w:r>
          </w:p>
        </w:tc>
        <w:tc>
          <w:tcPr>
            <w:tcW w:w="300" w:type="dxa"/>
            <w:tcBorders>
              <w:bottom w:val="single" w:sz="8" w:space="0" w:color="231F20"/>
            </w:tcBorders>
          </w:tcPr>
          <w:p>
            <w:pPr/>
          </w:p>
        </w:tc>
      </w:tr>
      <w:tr>
        <w:trPr>
          <w:trHeight w:val="280" w:hRule="exact"/>
        </w:trPr>
        <w:tc>
          <w:tcPr>
            <w:tcW w:w="3775" w:type="dxa"/>
            <w:tcBorders>
              <w:top w:val="single" w:sz="8" w:space="0" w:color="231F20"/>
            </w:tcBorders>
          </w:tcPr>
          <w:p>
            <w:pPr>
              <w:pStyle w:val="TableParagraph"/>
              <w:spacing w:before="52"/>
              <w:ind w:left="50"/>
              <w:jc w:val="left"/>
              <w:rPr>
                <w:sz w:val="18"/>
              </w:rPr>
            </w:pPr>
            <w:r>
              <w:rPr>
                <w:color w:val="231F20"/>
                <w:sz w:val="18"/>
              </w:rPr>
              <w:t>Flight equipment . . . . . . . . . . . . . . . . . . . . . . . . . . . </w:t>
            </w:r>
          </w:p>
        </w:tc>
        <w:tc>
          <w:tcPr>
            <w:tcW w:w="155" w:type="dxa"/>
          </w:tcPr>
          <w:p>
            <w:pPr/>
          </w:p>
        </w:tc>
        <w:tc>
          <w:tcPr>
            <w:tcW w:w="750" w:type="dxa"/>
            <w:tcBorders>
              <w:top w:val="single" w:sz="8" w:space="0" w:color="231F20"/>
            </w:tcBorders>
          </w:tcPr>
          <w:p>
            <w:pPr>
              <w:pStyle w:val="TableParagraph"/>
              <w:spacing w:before="52"/>
              <w:jc w:val="left"/>
              <w:rPr>
                <w:sz w:val="18"/>
              </w:rPr>
            </w:pPr>
            <w:r>
              <w:rPr>
                <w:color w:val="231F20"/>
                <w:sz w:val="18"/>
              </w:rPr>
              <w:t>$</w:t>
            </w:r>
          </w:p>
        </w:tc>
        <w:tc>
          <w:tcPr>
            <w:tcW w:w="350" w:type="dxa"/>
            <w:tcBorders>
              <w:top w:val="single" w:sz="8" w:space="0" w:color="231F20"/>
            </w:tcBorders>
          </w:tcPr>
          <w:p>
            <w:pPr>
              <w:pStyle w:val="TableParagraph"/>
              <w:spacing w:before="52"/>
              <w:ind w:left="51" w:right="78"/>
              <w:jc w:val="center"/>
              <w:rPr>
                <w:sz w:val="18"/>
              </w:rPr>
            </w:pPr>
            <w:r>
              <w:rPr>
                <w:color w:val="231F20"/>
                <w:sz w:val="18"/>
              </w:rPr>
              <w:t>69</w:t>
            </w:r>
          </w:p>
        </w:tc>
        <w:tc>
          <w:tcPr>
            <w:tcW w:w="100" w:type="dxa"/>
          </w:tcPr>
          <w:p>
            <w:pPr/>
          </w:p>
        </w:tc>
        <w:tc>
          <w:tcPr>
            <w:tcW w:w="750" w:type="dxa"/>
            <w:tcBorders>
              <w:top w:val="single" w:sz="8" w:space="0" w:color="231F20"/>
            </w:tcBorders>
          </w:tcPr>
          <w:p>
            <w:pPr>
              <w:pStyle w:val="TableParagraph"/>
              <w:spacing w:before="52"/>
              <w:jc w:val="left"/>
              <w:rPr>
                <w:sz w:val="18"/>
              </w:rPr>
            </w:pPr>
            <w:r>
              <w:rPr>
                <w:color w:val="231F20"/>
                <w:sz w:val="18"/>
              </w:rPr>
              <w:t>$</w:t>
            </w:r>
          </w:p>
        </w:tc>
        <w:tc>
          <w:tcPr>
            <w:tcW w:w="300" w:type="dxa"/>
            <w:tcBorders>
              <w:top w:val="single" w:sz="8" w:space="0" w:color="231F20"/>
            </w:tcBorders>
          </w:tcPr>
          <w:p>
            <w:pPr>
              <w:pStyle w:val="TableParagraph"/>
              <w:spacing w:before="52"/>
              <w:ind w:left="49" w:right="29"/>
              <w:jc w:val="center"/>
              <w:rPr>
                <w:sz w:val="18"/>
              </w:rPr>
            </w:pPr>
            <w:r>
              <w:rPr>
                <w:color w:val="231F20"/>
                <w:sz w:val="18"/>
              </w:rPr>
              <w:t>45</w:t>
            </w:r>
          </w:p>
        </w:tc>
      </w:tr>
      <w:tr>
        <w:trPr>
          <w:trHeight w:val="245" w:hRule="exact"/>
        </w:trPr>
        <w:tc>
          <w:tcPr>
            <w:tcW w:w="3775" w:type="dxa"/>
          </w:tcPr>
          <w:p>
            <w:pPr>
              <w:pStyle w:val="TableParagraph"/>
              <w:spacing w:before="1"/>
              <w:ind w:left="50"/>
              <w:jc w:val="left"/>
              <w:rPr>
                <w:sz w:val="18"/>
              </w:rPr>
            </w:pPr>
            <w:r>
              <w:rPr>
                <w:color w:val="231F20"/>
                <w:sz w:val="18"/>
              </w:rPr>
              <w:t>Less: accumulated amortization  . . . . . . . . . . . . . . . </w:t>
            </w:r>
          </w:p>
        </w:tc>
        <w:tc>
          <w:tcPr>
            <w:tcW w:w="155" w:type="dxa"/>
          </w:tcPr>
          <w:p>
            <w:pPr/>
          </w:p>
        </w:tc>
        <w:tc>
          <w:tcPr>
            <w:tcW w:w="750" w:type="dxa"/>
            <w:tcBorders>
              <w:bottom w:val="single" w:sz="4" w:space="0" w:color="231F20"/>
            </w:tcBorders>
          </w:tcPr>
          <w:p>
            <w:pPr/>
          </w:p>
        </w:tc>
        <w:tc>
          <w:tcPr>
            <w:tcW w:w="350" w:type="dxa"/>
            <w:tcBorders>
              <w:bottom w:val="single" w:sz="4" w:space="0" w:color="231F20"/>
            </w:tcBorders>
          </w:tcPr>
          <w:p>
            <w:pPr>
              <w:pStyle w:val="TableParagraph"/>
              <w:spacing w:before="1"/>
              <w:ind w:left="51" w:right="78"/>
              <w:jc w:val="center"/>
              <w:rPr>
                <w:sz w:val="18"/>
              </w:rPr>
            </w:pPr>
            <w:r>
              <w:rPr>
                <w:color w:val="231F20"/>
                <w:sz w:val="18"/>
              </w:rPr>
              <w:t>12</w:t>
            </w:r>
          </w:p>
        </w:tc>
        <w:tc>
          <w:tcPr>
            <w:tcW w:w="100" w:type="dxa"/>
          </w:tcPr>
          <w:p>
            <w:pPr/>
          </w:p>
        </w:tc>
        <w:tc>
          <w:tcPr>
            <w:tcW w:w="750" w:type="dxa"/>
            <w:tcBorders>
              <w:bottom w:val="single" w:sz="4" w:space="0" w:color="231F20"/>
            </w:tcBorders>
          </w:tcPr>
          <w:p>
            <w:pPr/>
          </w:p>
        </w:tc>
        <w:tc>
          <w:tcPr>
            <w:tcW w:w="300" w:type="dxa"/>
            <w:tcBorders>
              <w:bottom w:val="single" w:sz="4" w:space="0" w:color="231F20"/>
            </w:tcBorders>
          </w:tcPr>
          <w:p>
            <w:pPr>
              <w:pStyle w:val="TableParagraph"/>
              <w:spacing w:before="1"/>
              <w:ind w:left="110"/>
              <w:jc w:val="center"/>
              <w:rPr>
                <w:sz w:val="18"/>
              </w:rPr>
            </w:pPr>
            <w:r>
              <w:rPr>
                <w:color w:val="231F20"/>
                <w:sz w:val="18"/>
              </w:rPr>
              <w:t>8</w:t>
            </w:r>
          </w:p>
        </w:tc>
      </w:tr>
      <w:tr>
        <w:trPr>
          <w:trHeight w:val="340" w:hRule="exact"/>
        </w:trPr>
        <w:tc>
          <w:tcPr>
            <w:tcW w:w="3775" w:type="dxa"/>
          </w:tcPr>
          <w:p>
            <w:pPr/>
          </w:p>
        </w:tc>
        <w:tc>
          <w:tcPr>
            <w:tcW w:w="155" w:type="dxa"/>
          </w:tcPr>
          <w:p>
            <w:pPr/>
          </w:p>
        </w:tc>
        <w:tc>
          <w:tcPr>
            <w:tcW w:w="75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50" w:type="dxa"/>
            <w:tcBorders>
              <w:top w:val="single" w:sz="4" w:space="0" w:color="231F20"/>
              <w:bottom w:val="single" w:sz="4" w:space="0" w:color="231F20"/>
            </w:tcBorders>
          </w:tcPr>
          <w:p>
            <w:pPr>
              <w:pStyle w:val="TableParagraph"/>
              <w:spacing w:before="52"/>
              <w:ind w:left="51" w:right="78"/>
              <w:jc w:val="center"/>
              <w:rPr>
                <w:sz w:val="18"/>
              </w:rPr>
            </w:pPr>
            <w:r>
              <w:rPr>
                <w:color w:val="231F20"/>
                <w:sz w:val="18"/>
              </w:rPr>
              <w:t>57</w:t>
            </w:r>
          </w:p>
        </w:tc>
        <w:tc>
          <w:tcPr>
            <w:tcW w:w="100" w:type="dxa"/>
          </w:tcPr>
          <w:p>
            <w:pPr/>
          </w:p>
        </w:tc>
        <w:tc>
          <w:tcPr>
            <w:tcW w:w="75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00" w:type="dxa"/>
            <w:tcBorders>
              <w:top w:val="single" w:sz="4" w:space="0" w:color="231F20"/>
              <w:bottom w:val="single" w:sz="4" w:space="0" w:color="231F20"/>
            </w:tcBorders>
          </w:tcPr>
          <w:p>
            <w:pPr>
              <w:pStyle w:val="TableParagraph"/>
              <w:spacing w:before="52"/>
              <w:ind w:left="49" w:right="30"/>
              <w:jc w:val="center"/>
              <w:rPr>
                <w:sz w:val="18"/>
              </w:rPr>
            </w:pPr>
            <w:r>
              <w:rPr>
                <w:color w:val="231F20"/>
                <w:sz w:val="18"/>
              </w:rPr>
              <w:t>37</w:t>
            </w:r>
          </w:p>
        </w:tc>
      </w:tr>
    </w:tbl>
    <w:p>
      <w:pPr>
        <w:pStyle w:val="BodyText"/>
        <w:rPr>
          <w:sz w:val="22"/>
        </w:rPr>
      </w:pPr>
    </w:p>
    <w:p>
      <w:pPr>
        <w:pStyle w:val="BodyText"/>
        <w:spacing w:line="249" w:lineRule="auto"/>
        <w:ind w:left="160" w:right="226" w:firstLine="490"/>
      </w:pPr>
      <w:r>
        <w:rPr/>
        <w:pict>
          <v:line style="position:absolute;mso-position-horizontal-relative:page;mso-position-vertical-relative:paragraph;z-index:-331504" from="263pt,-15.164078pt" to="313pt,-15.164078pt" stroked="true" strokeweight=".5pt" strokecolor="#231f20">
            <v:stroke dashstyle="solid"/>
            <w10:wrap type="none"/>
          </v:line>
        </w:pict>
      </w:r>
      <w:r>
        <w:rPr/>
        <w:pict>
          <v:line style="position:absolute;mso-position-horizontal-relative:page;mso-position-vertical-relative:paragraph;z-index:-331480" from="323pt,-15.164078pt" to="373pt,-15.164078pt" stroked="true" strokeweight=".5pt" strokecolor="#231f20">
            <v:stroke dashstyle="solid"/>
            <w10:wrap type="none"/>
          </v:line>
        </w:pict>
      </w:r>
      <w:r>
        <w:rPr>
          <w:color w:val="231F20"/>
        </w:rPr>
        <w:t>Total rental expense for operating leases, both aircraft and other, charged to operations in 2013, 2012, and 2011 was $997 million, $943 million, and $847 million, respectively. The majority of the Company’s terminal operations space, as well as 160 aircraft in the Company’s active fleet, were under operating leases at  December 31, 2013. For aircraft operating leases and for terminal operations leases, expense is included in Aircraft rentals and in Landing fees and other rentals, respectively, in the Consolidated Statement of</w:t>
      </w:r>
      <w:r>
        <w:rPr>
          <w:color w:val="231F20"/>
          <w:spacing w:val="12"/>
        </w:rPr>
        <w:t> </w:t>
      </w:r>
      <w:r>
        <w:rPr>
          <w:color w:val="231F20"/>
        </w:rPr>
        <w:t>Income.</w:t>
      </w:r>
    </w:p>
    <w:p>
      <w:pPr>
        <w:pStyle w:val="BodyText"/>
        <w:spacing w:line="249" w:lineRule="auto" w:before="1"/>
        <w:ind w:left="160" w:right="630"/>
      </w:pPr>
      <w:r>
        <w:rPr>
          <w:color w:val="231F20"/>
        </w:rPr>
        <w:t>Future minimum lease payments under capital leases and noncancelable operating leases and rentals to be received under subleases with initial or remaining terms in excess of one year at December 31, 2013, were:</w:t>
      </w:r>
    </w:p>
    <w:p>
      <w:pPr>
        <w:pStyle w:val="BodyText"/>
        <w:spacing w:before="6"/>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15"/>
        <w:gridCol w:w="155"/>
        <w:gridCol w:w="900"/>
        <w:gridCol w:w="200"/>
        <w:gridCol w:w="900"/>
        <w:gridCol w:w="200"/>
        <w:gridCol w:w="900"/>
        <w:gridCol w:w="200"/>
        <w:gridCol w:w="900"/>
      </w:tblGrid>
      <w:tr>
        <w:trPr>
          <w:trHeight w:val="450" w:hRule="exact"/>
        </w:trPr>
        <w:tc>
          <w:tcPr>
            <w:tcW w:w="4415" w:type="dxa"/>
            <w:tcBorders>
              <w:bottom w:val="single" w:sz="8" w:space="0" w:color="231F20"/>
            </w:tcBorders>
          </w:tcPr>
          <w:p>
            <w:pPr>
              <w:pStyle w:val="TableParagraph"/>
              <w:spacing w:before="5"/>
              <w:jc w:val="left"/>
              <w:rPr>
                <w:sz w:val="18"/>
              </w:rPr>
            </w:pPr>
          </w:p>
          <w:p>
            <w:pPr>
              <w:pStyle w:val="TableParagraph"/>
              <w:ind w:left="50"/>
              <w:jc w:val="left"/>
              <w:rPr>
                <w:b/>
                <w:sz w:val="18"/>
              </w:rPr>
            </w:pPr>
            <w:r>
              <w:rPr>
                <w:b/>
                <w:color w:val="231F20"/>
                <w:sz w:val="18"/>
              </w:rPr>
              <w:t>(in millions)</w:t>
            </w:r>
          </w:p>
        </w:tc>
        <w:tc>
          <w:tcPr>
            <w:tcW w:w="155" w:type="dxa"/>
          </w:tcPr>
          <w:p>
            <w:pPr/>
          </w:p>
        </w:tc>
        <w:tc>
          <w:tcPr>
            <w:tcW w:w="900" w:type="dxa"/>
            <w:tcBorders>
              <w:bottom w:val="single" w:sz="8" w:space="0" w:color="231F20"/>
            </w:tcBorders>
          </w:tcPr>
          <w:p>
            <w:pPr>
              <w:pStyle w:val="TableParagraph"/>
              <w:spacing w:line="254" w:lineRule="auto"/>
              <w:ind w:left="229" w:right="145" w:hanging="65"/>
              <w:jc w:val="left"/>
              <w:rPr>
                <w:b/>
                <w:sz w:val="18"/>
              </w:rPr>
            </w:pPr>
            <w:r>
              <w:rPr>
                <w:b/>
                <w:color w:val="231F20"/>
                <w:sz w:val="18"/>
              </w:rPr>
              <w:t>Capital leases</w:t>
            </w:r>
          </w:p>
        </w:tc>
        <w:tc>
          <w:tcPr>
            <w:tcW w:w="200" w:type="dxa"/>
          </w:tcPr>
          <w:p>
            <w:pPr/>
          </w:p>
        </w:tc>
        <w:tc>
          <w:tcPr>
            <w:tcW w:w="900" w:type="dxa"/>
            <w:tcBorders>
              <w:bottom w:val="single" w:sz="8" w:space="0" w:color="231F20"/>
            </w:tcBorders>
          </w:tcPr>
          <w:p>
            <w:pPr>
              <w:pStyle w:val="TableParagraph"/>
              <w:spacing w:line="254" w:lineRule="auto"/>
              <w:ind w:left="184" w:right="36" w:hanging="130"/>
              <w:jc w:val="left"/>
              <w:rPr>
                <w:b/>
                <w:sz w:val="18"/>
              </w:rPr>
            </w:pPr>
            <w:r>
              <w:rPr>
                <w:b/>
                <w:color w:val="231F20"/>
                <w:sz w:val="18"/>
              </w:rPr>
              <w:t>Operating leases*</w:t>
            </w:r>
          </w:p>
        </w:tc>
        <w:tc>
          <w:tcPr>
            <w:tcW w:w="200" w:type="dxa"/>
          </w:tcPr>
          <w:p>
            <w:pPr/>
          </w:p>
        </w:tc>
        <w:tc>
          <w:tcPr>
            <w:tcW w:w="900" w:type="dxa"/>
            <w:tcBorders>
              <w:bottom w:val="single" w:sz="8" w:space="0" w:color="231F20"/>
            </w:tcBorders>
          </w:tcPr>
          <w:p>
            <w:pPr>
              <w:pStyle w:val="TableParagraph"/>
              <w:spacing w:before="5"/>
              <w:jc w:val="left"/>
              <w:rPr>
                <w:sz w:val="18"/>
              </w:rPr>
            </w:pPr>
          </w:p>
          <w:p>
            <w:pPr>
              <w:pStyle w:val="TableParagraph"/>
              <w:ind w:right="77"/>
              <w:rPr>
                <w:b/>
                <w:sz w:val="18"/>
              </w:rPr>
            </w:pPr>
            <w:r>
              <w:rPr>
                <w:b/>
                <w:color w:val="231F20"/>
                <w:w w:val="95"/>
                <w:sz w:val="18"/>
              </w:rPr>
              <w:t>Subleases</w:t>
            </w:r>
          </w:p>
        </w:tc>
        <w:tc>
          <w:tcPr>
            <w:tcW w:w="200" w:type="dxa"/>
          </w:tcPr>
          <w:p>
            <w:pPr/>
          </w:p>
        </w:tc>
        <w:tc>
          <w:tcPr>
            <w:tcW w:w="900" w:type="dxa"/>
            <w:tcBorders>
              <w:bottom w:val="single" w:sz="8" w:space="0" w:color="231F20"/>
            </w:tcBorders>
          </w:tcPr>
          <w:p>
            <w:pPr>
              <w:pStyle w:val="TableParagraph"/>
              <w:spacing w:line="254" w:lineRule="auto"/>
              <w:ind w:left="65" w:right="36" w:hanging="11"/>
              <w:jc w:val="left"/>
              <w:rPr>
                <w:b/>
                <w:sz w:val="18"/>
              </w:rPr>
            </w:pPr>
            <w:r>
              <w:rPr>
                <w:b/>
                <w:color w:val="231F20"/>
                <w:sz w:val="18"/>
              </w:rPr>
              <w:t>Operating leases, net</w:t>
            </w:r>
          </w:p>
        </w:tc>
      </w:tr>
      <w:tr>
        <w:trPr>
          <w:trHeight w:val="280" w:hRule="exact"/>
        </w:trPr>
        <w:tc>
          <w:tcPr>
            <w:tcW w:w="4415" w:type="dxa"/>
            <w:tcBorders>
              <w:top w:val="single" w:sz="8" w:space="0" w:color="231F20"/>
            </w:tcBorders>
          </w:tcPr>
          <w:p>
            <w:pPr>
              <w:pStyle w:val="TableParagraph"/>
              <w:spacing w:before="52"/>
              <w:ind w:left="50"/>
              <w:jc w:val="left"/>
              <w:rPr>
                <w:sz w:val="18"/>
              </w:rPr>
            </w:pPr>
            <w:r>
              <w:rPr>
                <w:color w:val="231F20"/>
                <w:sz w:val="18"/>
              </w:rPr>
              <w:t>2014 . . . . . . . . . . . . . . . . . . . . . . . . . . . . . . . . . . . . . . . . . . . . </w:t>
            </w:r>
          </w:p>
        </w:tc>
        <w:tc>
          <w:tcPr>
            <w:tcW w:w="155" w:type="dxa"/>
          </w:tcPr>
          <w:p>
            <w:pPr/>
          </w:p>
        </w:tc>
        <w:tc>
          <w:tcPr>
            <w:tcW w:w="900" w:type="dxa"/>
            <w:tcBorders>
              <w:top w:val="single" w:sz="8" w:space="0" w:color="231F20"/>
            </w:tcBorders>
          </w:tcPr>
          <w:p>
            <w:pPr>
              <w:pStyle w:val="TableParagraph"/>
              <w:tabs>
                <w:tab w:pos="749" w:val="left" w:leader="none"/>
              </w:tabs>
              <w:spacing w:before="52"/>
              <w:ind w:right="57"/>
              <w:rPr>
                <w:sz w:val="18"/>
              </w:rPr>
            </w:pPr>
            <w:r>
              <w:rPr>
                <w:color w:val="231F20"/>
                <w:sz w:val="18"/>
              </w:rPr>
              <w:t>$</w:t>
              <w:tab/>
              <w:t>8</w:t>
            </w:r>
          </w:p>
        </w:tc>
        <w:tc>
          <w:tcPr>
            <w:tcW w:w="200" w:type="dxa"/>
          </w:tcPr>
          <w:p>
            <w:pPr/>
          </w:p>
        </w:tc>
        <w:tc>
          <w:tcPr>
            <w:tcW w:w="900" w:type="dxa"/>
            <w:tcBorders>
              <w:top w:val="single" w:sz="8" w:space="0" w:color="231F20"/>
            </w:tcBorders>
          </w:tcPr>
          <w:p>
            <w:pPr>
              <w:pStyle w:val="TableParagraph"/>
              <w:tabs>
                <w:tab w:pos="569" w:val="left" w:leader="none"/>
              </w:tabs>
              <w:spacing w:before="52"/>
              <w:ind w:right="57"/>
              <w:rPr>
                <w:sz w:val="18"/>
              </w:rPr>
            </w:pPr>
            <w:r>
              <w:rPr>
                <w:color w:val="231F20"/>
                <w:sz w:val="18"/>
              </w:rPr>
              <w:t>$</w:t>
              <w:tab/>
            </w:r>
            <w:r>
              <w:rPr>
                <w:color w:val="231F20"/>
                <w:spacing w:val="-1"/>
                <w:sz w:val="18"/>
              </w:rPr>
              <w:t>689</w:t>
            </w:r>
          </w:p>
        </w:tc>
        <w:tc>
          <w:tcPr>
            <w:tcW w:w="200" w:type="dxa"/>
          </w:tcPr>
          <w:p>
            <w:pPr/>
          </w:p>
        </w:tc>
        <w:tc>
          <w:tcPr>
            <w:tcW w:w="900" w:type="dxa"/>
            <w:tcBorders>
              <w:top w:val="single" w:sz="8" w:space="0" w:color="231F20"/>
            </w:tcBorders>
          </w:tcPr>
          <w:p>
            <w:pPr>
              <w:pStyle w:val="TableParagraph"/>
              <w:tabs>
                <w:tab w:pos="559" w:val="left" w:leader="none"/>
              </w:tabs>
              <w:spacing w:before="52"/>
              <w:ind w:right="38"/>
              <w:rPr>
                <w:sz w:val="18"/>
              </w:rPr>
            </w:pPr>
            <w:r>
              <w:rPr>
                <w:color w:val="231F20"/>
                <w:sz w:val="18"/>
              </w:rPr>
              <w:t>$</w:t>
              <w:tab/>
            </w:r>
            <w:r>
              <w:rPr>
                <w:color w:val="231F20"/>
                <w:spacing w:val="-1"/>
                <w:sz w:val="18"/>
              </w:rPr>
              <w:t>(52)</w:t>
            </w:r>
          </w:p>
        </w:tc>
        <w:tc>
          <w:tcPr>
            <w:tcW w:w="200" w:type="dxa"/>
          </w:tcPr>
          <w:p>
            <w:pPr/>
          </w:p>
        </w:tc>
        <w:tc>
          <w:tcPr>
            <w:tcW w:w="900" w:type="dxa"/>
            <w:tcBorders>
              <w:top w:val="single" w:sz="8" w:space="0" w:color="231F20"/>
            </w:tcBorders>
          </w:tcPr>
          <w:p>
            <w:pPr>
              <w:pStyle w:val="TableParagraph"/>
              <w:tabs>
                <w:tab w:pos="569" w:val="left" w:leader="none"/>
              </w:tabs>
              <w:spacing w:before="52"/>
              <w:ind w:right="58"/>
              <w:rPr>
                <w:sz w:val="18"/>
              </w:rPr>
            </w:pPr>
            <w:r>
              <w:rPr>
                <w:color w:val="231F20"/>
                <w:sz w:val="18"/>
              </w:rPr>
              <w:t>$</w:t>
              <w:tab/>
            </w:r>
            <w:r>
              <w:rPr>
                <w:color w:val="231F20"/>
                <w:spacing w:val="-1"/>
                <w:sz w:val="18"/>
              </w:rPr>
              <w:t>637</w:t>
            </w:r>
          </w:p>
        </w:tc>
      </w:tr>
      <w:tr>
        <w:trPr>
          <w:trHeight w:val="220" w:hRule="exact"/>
        </w:trPr>
        <w:tc>
          <w:tcPr>
            <w:tcW w:w="4415" w:type="dxa"/>
          </w:tcPr>
          <w:p>
            <w:pPr>
              <w:pStyle w:val="TableParagraph"/>
              <w:spacing w:before="1"/>
              <w:ind w:left="50"/>
              <w:jc w:val="left"/>
              <w:rPr>
                <w:sz w:val="18"/>
              </w:rPr>
            </w:pPr>
            <w:r>
              <w:rPr>
                <w:color w:val="231F20"/>
                <w:sz w:val="18"/>
              </w:rPr>
              <w:t>2015 . . . . . . . . . . . . . . . . . . . . . . . . . . . . . . . . . . . . . . . . . . . . </w:t>
            </w:r>
          </w:p>
        </w:tc>
        <w:tc>
          <w:tcPr>
            <w:tcW w:w="155" w:type="dxa"/>
          </w:tcPr>
          <w:p>
            <w:pPr/>
          </w:p>
        </w:tc>
        <w:tc>
          <w:tcPr>
            <w:tcW w:w="900" w:type="dxa"/>
          </w:tcPr>
          <w:p>
            <w:pPr>
              <w:pStyle w:val="TableParagraph"/>
              <w:spacing w:before="1"/>
              <w:ind w:right="57"/>
              <w:rPr>
                <w:sz w:val="18"/>
              </w:rPr>
            </w:pPr>
            <w:r>
              <w:rPr>
                <w:color w:val="231F20"/>
                <w:sz w:val="18"/>
              </w:rPr>
              <w:t>8</w:t>
            </w:r>
          </w:p>
        </w:tc>
        <w:tc>
          <w:tcPr>
            <w:tcW w:w="200" w:type="dxa"/>
          </w:tcPr>
          <w:p>
            <w:pPr/>
          </w:p>
        </w:tc>
        <w:tc>
          <w:tcPr>
            <w:tcW w:w="900" w:type="dxa"/>
          </w:tcPr>
          <w:p>
            <w:pPr>
              <w:pStyle w:val="TableParagraph"/>
              <w:spacing w:before="1"/>
              <w:ind w:right="57"/>
              <w:rPr>
                <w:sz w:val="18"/>
              </w:rPr>
            </w:pPr>
            <w:r>
              <w:rPr>
                <w:color w:val="231F20"/>
                <w:sz w:val="18"/>
              </w:rPr>
              <w:t>655</w:t>
            </w:r>
          </w:p>
        </w:tc>
        <w:tc>
          <w:tcPr>
            <w:tcW w:w="200" w:type="dxa"/>
          </w:tcPr>
          <w:p>
            <w:pPr/>
          </w:p>
        </w:tc>
        <w:tc>
          <w:tcPr>
            <w:tcW w:w="900" w:type="dxa"/>
          </w:tcPr>
          <w:p>
            <w:pPr>
              <w:pStyle w:val="TableParagraph"/>
              <w:spacing w:before="1"/>
              <w:ind w:right="38"/>
              <w:rPr>
                <w:sz w:val="18"/>
              </w:rPr>
            </w:pPr>
            <w:r>
              <w:rPr>
                <w:color w:val="231F20"/>
                <w:sz w:val="18"/>
              </w:rPr>
              <w:t>(90)</w:t>
            </w:r>
          </w:p>
        </w:tc>
        <w:tc>
          <w:tcPr>
            <w:tcW w:w="200" w:type="dxa"/>
          </w:tcPr>
          <w:p>
            <w:pPr/>
          </w:p>
        </w:tc>
        <w:tc>
          <w:tcPr>
            <w:tcW w:w="900" w:type="dxa"/>
          </w:tcPr>
          <w:p>
            <w:pPr>
              <w:pStyle w:val="TableParagraph"/>
              <w:spacing w:before="1"/>
              <w:ind w:right="58"/>
              <w:rPr>
                <w:sz w:val="18"/>
              </w:rPr>
            </w:pPr>
            <w:r>
              <w:rPr>
                <w:color w:val="231F20"/>
                <w:sz w:val="18"/>
              </w:rPr>
              <w:t>565</w:t>
            </w:r>
          </w:p>
        </w:tc>
      </w:tr>
      <w:tr>
        <w:trPr>
          <w:trHeight w:val="220" w:hRule="exact"/>
        </w:trPr>
        <w:tc>
          <w:tcPr>
            <w:tcW w:w="4415" w:type="dxa"/>
          </w:tcPr>
          <w:p>
            <w:pPr>
              <w:pStyle w:val="TableParagraph"/>
              <w:spacing w:before="1"/>
              <w:ind w:left="50"/>
              <w:jc w:val="left"/>
              <w:rPr>
                <w:sz w:val="18"/>
              </w:rPr>
            </w:pPr>
            <w:r>
              <w:rPr>
                <w:color w:val="231F20"/>
                <w:sz w:val="18"/>
              </w:rPr>
              <w:t>2016 . . . . . . . . . . . . . . . . . . . . . . . . . . . . . . . . . . . . . . . . . . . . </w:t>
            </w:r>
          </w:p>
        </w:tc>
        <w:tc>
          <w:tcPr>
            <w:tcW w:w="155" w:type="dxa"/>
          </w:tcPr>
          <w:p>
            <w:pPr/>
          </w:p>
        </w:tc>
        <w:tc>
          <w:tcPr>
            <w:tcW w:w="900" w:type="dxa"/>
          </w:tcPr>
          <w:p>
            <w:pPr>
              <w:pStyle w:val="TableParagraph"/>
              <w:spacing w:before="1"/>
              <w:ind w:right="57"/>
              <w:rPr>
                <w:sz w:val="18"/>
              </w:rPr>
            </w:pPr>
            <w:r>
              <w:rPr>
                <w:color w:val="231F20"/>
                <w:sz w:val="18"/>
              </w:rPr>
              <w:t>8</w:t>
            </w:r>
          </w:p>
        </w:tc>
        <w:tc>
          <w:tcPr>
            <w:tcW w:w="200" w:type="dxa"/>
          </w:tcPr>
          <w:p>
            <w:pPr/>
          </w:p>
        </w:tc>
        <w:tc>
          <w:tcPr>
            <w:tcW w:w="900" w:type="dxa"/>
          </w:tcPr>
          <w:p>
            <w:pPr>
              <w:pStyle w:val="TableParagraph"/>
              <w:spacing w:before="1"/>
              <w:ind w:right="57"/>
              <w:rPr>
                <w:sz w:val="18"/>
              </w:rPr>
            </w:pPr>
            <w:r>
              <w:rPr>
                <w:color w:val="231F20"/>
                <w:sz w:val="18"/>
              </w:rPr>
              <w:t>544</w:t>
            </w:r>
          </w:p>
        </w:tc>
        <w:tc>
          <w:tcPr>
            <w:tcW w:w="200" w:type="dxa"/>
          </w:tcPr>
          <w:p>
            <w:pPr/>
          </w:p>
        </w:tc>
        <w:tc>
          <w:tcPr>
            <w:tcW w:w="900" w:type="dxa"/>
          </w:tcPr>
          <w:p>
            <w:pPr>
              <w:pStyle w:val="TableParagraph"/>
              <w:spacing w:before="1"/>
              <w:ind w:right="38"/>
              <w:rPr>
                <w:sz w:val="18"/>
              </w:rPr>
            </w:pPr>
            <w:r>
              <w:rPr>
                <w:color w:val="231F20"/>
                <w:sz w:val="18"/>
              </w:rPr>
              <w:t>(106)</w:t>
            </w:r>
          </w:p>
        </w:tc>
        <w:tc>
          <w:tcPr>
            <w:tcW w:w="200" w:type="dxa"/>
          </w:tcPr>
          <w:p>
            <w:pPr/>
          </w:p>
        </w:tc>
        <w:tc>
          <w:tcPr>
            <w:tcW w:w="900" w:type="dxa"/>
          </w:tcPr>
          <w:p>
            <w:pPr>
              <w:pStyle w:val="TableParagraph"/>
              <w:spacing w:before="1"/>
              <w:ind w:right="58"/>
              <w:rPr>
                <w:sz w:val="18"/>
              </w:rPr>
            </w:pPr>
            <w:r>
              <w:rPr>
                <w:color w:val="231F20"/>
                <w:sz w:val="18"/>
              </w:rPr>
              <w:t>438</w:t>
            </w:r>
          </w:p>
        </w:tc>
      </w:tr>
      <w:tr>
        <w:trPr>
          <w:trHeight w:val="220" w:hRule="exact"/>
        </w:trPr>
        <w:tc>
          <w:tcPr>
            <w:tcW w:w="4415" w:type="dxa"/>
          </w:tcPr>
          <w:p>
            <w:pPr>
              <w:pStyle w:val="TableParagraph"/>
              <w:spacing w:before="1"/>
              <w:ind w:left="50"/>
              <w:jc w:val="left"/>
              <w:rPr>
                <w:sz w:val="18"/>
              </w:rPr>
            </w:pPr>
            <w:r>
              <w:rPr>
                <w:color w:val="231F20"/>
                <w:sz w:val="18"/>
              </w:rPr>
              <w:t>2017 . . . . . . . . . . . . . . . . . . . . . . . . . . . . . . . . . . . . . . . . . . . . </w:t>
            </w:r>
          </w:p>
        </w:tc>
        <w:tc>
          <w:tcPr>
            <w:tcW w:w="155" w:type="dxa"/>
          </w:tcPr>
          <w:p>
            <w:pPr/>
          </w:p>
        </w:tc>
        <w:tc>
          <w:tcPr>
            <w:tcW w:w="900" w:type="dxa"/>
          </w:tcPr>
          <w:p>
            <w:pPr>
              <w:pStyle w:val="TableParagraph"/>
              <w:spacing w:before="1"/>
              <w:ind w:right="57"/>
              <w:rPr>
                <w:sz w:val="18"/>
              </w:rPr>
            </w:pPr>
            <w:r>
              <w:rPr>
                <w:color w:val="231F20"/>
                <w:sz w:val="18"/>
              </w:rPr>
              <w:t>8</w:t>
            </w:r>
          </w:p>
        </w:tc>
        <w:tc>
          <w:tcPr>
            <w:tcW w:w="200" w:type="dxa"/>
          </w:tcPr>
          <w:p>
            <w:pPr/>
          </w:p>
        </w:tc>
        <w:tc>
          <w:tcPr>
            <w:tcW w:w="900" w:type="dxa"/>
          </w:tcPr>
          <w:p>
            <w:pPr>
              <w:pStyle w:val="TableParagraph"/>
              <w:spacing w:before="1"/>
              <w:ind w:right="57"/>
              <w:rPr>
                <w:sz w:val="18"/>
              </w:rPr>
            </w:pPr>
            <w:r>
              <w:rPr>
                <w:color w:val="231F20"/>
                <w:sz w:val="18"/>
              </w:rPr>
              <w:t>516</w:t>
            </w:r>
          </w:p>
        </w:tc>
        <w:tc>
          <w:tcPr>
            <w:tcW w:w="200" w:type="dxa"/>
          </w:tcPr>
          <w:p>
            <w:pPr/>
          </w:p>
        </w:tc>
        <w:tc>
          <w:tcPr>
            <w:tcW w:w="900" w:type="dxa"/>
          </w:tcPr>
          <w:p>
            <w:pPr>
              <w:pStyle w:val="TableParagraph"/>
              <w:spacing w:before="1"/>
              <w:ind w:right="38"/>
              <w:rPr>
                <w:sz w:val="18"/>
              </w:rPr>
            </w:pPr>
            <w:r>
              <w:rPr>
                <w:color w:val="231F20"/>
                <w:sz w:val="18"/>
              </w:rPr>
              <w:t>(106)</w:t>
            </w:r>
          </w:p>
        </w:tc>
        <w:tc>
          <w:tcPr>
            <w:tcW w:w="200" w:type="dxa"/>
          </w:tcPr>
          <w:p>
            <w:pPr/>
          </w:p>
        </w:tc>
        <w:tc>
          <w:tcPr>
            <w:tcW w:w="900" w:type="dxa"/>
          </w:tcPr>
          <w:p>
            <w:pPr>
              <w:pStyle w:val="TableParagraph"/>
              <w:spacing w:before="1"/>
              <w:ind w:right="58"/>
              <w:rPr>
                <w:sz w:val="18"/>
              </w:rPr>
            </w:pPr>
            <w:r>
              <w:rPr>
                <w:color w:val="231F20"/>
                <w:sz w:val="18"/>
              </w:rPr>
              <w:t>410</w:t>
            </w:r>
          </w:p>
        </w:tc>
      </w:tr>
      <w:tr>
        <w:trPr>
          <w:trHeight w:val="220" w:hRule="exact"/>
        </w:trPr>
        <w:tc>
          <w:tcPr>
            <w:tcW w:w="4415" w:type="dxa"/>
          </w:tcPr>
          <w:p>
            <w:pPr>
              <w:pStyle w:val="TableParagraph"/>
              <w:spacing w:before="1"/>
              <w:ind w:left="50"/>
              <w:jc w:val="left"/>
              <w:rPr>
                <w:sz w:val="18"/>
              </w:rPr>
            </w:pPr>
            <w:r>
              <w:rPr>
                <w:color w:val="231F20"/>
                <w:sz w:val="18"/>
              </w:rPr>
              <w:t>2018 . . . . . . . . . . . . . . . . . . . . . . . . . . . . . . . . . . . . . . . . . . . . </w:t>
            </w:r>
          </w:p>
        </w:tc>
        <w:tc>
          <w:tcPr>
            <w:tcW w:w="155" w:type="dxa"/>
          </w:tcPr>
          <w:p>
            <w:pPr/>
          </w:p>
        </w:tc>
        <w:tc>
          <w:tcPr>
            <w:tcW w:w="900" w:type="dxa"/>
          </w:tcPr>
          <w:p>
            <w:pPr>
              <w:pStyle w:val="TableParagraph"/>
              <w:spacing w:before="1"/>
              <w:ind w:right="57"/>
              <w:rPr>
                <w:sz w:val="18"/>
              </w:rPr>
            </w:pPr>
            <w:r>
              <w:rPr>
                <w:color w:val="231F20"/>
                <w:sz w:val="18"/>
              </w:rPr>
              <w:t>8</w:t>
            </w:r>
          </w:p>
        </w:tc>
        <w:tc>
          <w:tcPr>
            <w:tcW w:w="200" w:type="dxa"/>
          </w:tcPr>
          <w:p>
            <w:pPr/>
          </w:p>
        </w:tc>
        <w:tc>
          <w:tcPr>
            <w:tcW w:w="900" w:type="dxa"/>
          </w:tcPr>
          <w:p>
            <w:pPr>
              <w:pStyle w:val="TableParagraph"/>
              <w:spacing w:before="1"/>
              <w:ind w:right="57"/>
              <w:rPr>
                <w:sz w:val="18"/>
              </w:rPr>
            </w:pPr>
            <w:r>
              <w:rPr>
                <w:color w:val="231F20"/>
                <w:sz w:val="18"/>
              </w:rPr>
              <w:t>429</w:t>
            </w:r>
          </w:p>
        </w:tc>
        <w:tc>
          <w:tcPr>
            <w:tcW w:w="200" w:type="dxa"/>
          </w:tcPr>
          <w:p>
            <w:pPr/>
          </w:p>
        </w:tc>
        <w:tc>
          <w:tcPr>
            <w:tcW w:w="900" w:type="dxa"/>
          </w:tcPr>
          <w:p>
            <w:pPr>
              <w:pStyle w:val="TableParagraph"/>
              <w:spacing w:before="1"/>
              <w:ind w:right="38"/>
              <w:rPr>
                <w:sz w:val="18"/>
              </w:rPr>
            </w:pPr>
            <w:r>
              <w:rPr>
                <w:color w:val="231F20"/>
                <w:sz w:val="18"/>
              </w:rPr>
              <w:t>(102)</w:t>
            </w:r>
          </w:p>
        </w:tc>
        <w:tc>
          <w:tcPr>
            <w:tcW w:w="200" w:type="dxa"/>
          </w:tcPr>
          <w:p>
            <w:pPr/>
          </w:p>
        </w:tc>
        <w:tc>
          <w:tcPr>
            <w:tcW w:w="900" w:type="dxa"/>
          </w:tcPr>
          <w:p>
            <w:pPr>
              <w:pStyle w:val="TableParagraph"/>
              <w:spacing w:before="1"/>
              <w:ind w:right="58"/>
              <w:rPr>
                <w:sz w:val="18"/>
              </w:rPr>
            </w:pPr>
            <w:r>
              <w:rPr>
                <w:color w:val="231F20"/>
                <w:sz w:val="18"/>
              </w:rPr>
              <w:t>327</w:t>
            </w:r>
          </w:p>
        </w:tc>
      </w:tr>
      <w:tr>
        <w:trPr>
          <w:trHeight w:val="245" w:hRule="exact"/>
        </w:trPr>
        <w:tc>
          <w:tcPr>
            <w:tcW w:w="4415" w:type="dxa"/>
          </w:tcPr>
          <w:p>
            <w:pPr>
              <w:pStyle w:val="TableParagraph"/>
              <w:spacing w:before="1"/>
              <w:ind w:left="50"/>
              <w:jc w:val="left"/>
              <w:rPr>
                <w:sz w:val="18"/>
              </w:rPr>
            </w:pPr>
            <w:r>
              <w:rPr>
                <w:color w:val="231F20"/>
                <w:sz w:val="18"/>
              </w:rPr>
              <w:t>Thereafter  . . . . . . . . . . . . . . . . . . . . . . . . . . . . . . . . . . . . . . . </w:t>
            </w:r>
          </w:p>
        </w:tc>
        <w:tc>
          <w:tcPr>
            <w:tcW w:w="155" w:type="dxa"/>
          </w:tcPr>
          <w:p>
            <w:pPr/>
          </w:p>
        </w:tc>
        <w:tc>
          <w:tcPr>
            <w:tcW w:w="900" w:type="dxa"/>
            <w:tcBorders>
              <w:bottom w:val="single" w:sz="4" w:space="0" w:color="231F20"/>
            </w:tcBorders>
          </w:tcPr>
          <w:p>
            <w:pPr>
              <w:pStyle w:val="TableParagraph"/>
              <w:spacing w:before="1"/>
              <w:ind w:right="57"/>
              <w:rPr>
                <w:sz w:val="18"/>
              </w:rPr>
            </w:pPr>
            <w:r>
              <w:rPr>
                <w:color w:val="231F20"/>
                <w:sz w:val="18"/>
              </w:rPr>
              <w:t>29</w:t>
            </w:r>
          </w:p>
        </w:tc>
        <w:tc>
          <w:tcPr>
            <w:tcW w:w="200" w:type="dxa"/>
          </w:tcPr>
          <w:p>
            <w:pPr/>
          </w:p>
        </w:tc>
        <w:tc>
          <w:tcPr>
            <w:tcW w:w="900" w:type="dxa"/>
            <w:tcBorders>
              <w:bottom w:val="single" w:sz="4" w:space="0" w:color="231F20"/>
            </w:tcBorders>
          </w:tcPr>
          <w:p>
            <w:pPr>
              <w:pStyle w:val="TableParagraph"/>
              <w:spacing w:before="1"/>
              <w:ind w:right="57"/>
              <w:rPr>
                <w:sz w:val="18"/>
              </w:rPr>
            </w:pPr>
            <w:r>
              <w:rPr>
                <w:color w:val="231F20"/>
                <w:sz w:val="18"/>
              </w:rPr>
              <w:t>1,755</w:t>
            </w:r>
          </w:p>
        </w:tc>
        <w:tc>
          <w:tcPr>
            <w:tcW w:w="200" w:type="dxa"/>
          </w:tcPr>
          <w:p>
            <w:pPr/>
          </w:p>
        </w:tc>
        <w:tc>
          <w:tcPr>
            <w:tcW w:w="900" w:type="dxa"/>
            <w:tcBorders>
              <w:bottom w:val="single" w:sz="4" w:space="0" w:color="231F20"/>
            </w:tcBorders>
          </w:tcPr>
          <w:p>
            <w:pPr>
              <w:pStyle w:val="TableParagraph"/>
              <w:spacing w:before="1"/>
              <w:ind w:right="38"/>
              <w:rPr>
                <w:sz w:val="18"/>
              </w:rPr>
            </w:pPr>
            <w:r>
              <w:rPr>
                <w:color w:val="231F20"/>
                <w:sz w:val="18"/>
              </w:rPr>
              <w:t>(242)</w:t>
            </w:r>
          </w:p>
        </w:tc>
        <w:tc>
          <w:tcPr>
            <w:tcW w:w="200" w:type="dxa"/>
          </w:tcPr>
          <w:p>
            <w:pPr/>
          </w:p>
        </w:tc>
        <w:tc>
          <w:tcPr>
            <w:tcW w:w="900" w:type="dxa"/>
            <w:tcBorders>
              <w:bottom w:val="single" w:sz="4" w:space="0" w:color="231F20"/>
            </w:tcBorders>
          </w:tcPr>
          <w:p>
            <w:pPr>
              <w:pStyle w:val="TableParagraph"/>
              <w:spacing w:before="1"/>
              <w:ind w:right="57"/>
              <w:rPr>
                <w:sz w:val="18"/>
              </w:rPr>
            </w:pPr>
            <w:r>
              <w:rPr>
                <w:color w:val="231F20"/>
                <w:sz w:val="18"/>
              </w:rPr>
              <w:t>1,513</w:t>
            </w:r>
          </w:p>
        </w:tc>
      </w:tr>
      <w:tr>
        <w:trPr>
          <w:trHeight w:val="340" w:hRule="exact"/>
        </w:trPr>
        <w:tc>
          <w:tcPr>
            <w:tcW w:w="4415" w:type="dxa"/>
          </w:tcPr>
          <w:p>
            <w:pPr>
              <w:pStyle w:val="TableParagraph"/>
              <w:spacing w:before="57"/>
              <w:ind w:left="50"/>
              <w:jc w:val="left"/>
              <w:rPr>
                <w:sz w:val="18"/>
              </w:rPr>
            </w:pPr>
            <w:r>
              <w:rPr>
                <w:color w:val="231F20"/>
                <w:sz w:val="18"/>
              </w:rPr>
              <w:t>Total minimum lease payments   . . . . . . . . . . . . . . . . . . . . . . </w:t>
            </w:r>
          </w:p>
        </w:tc>
        <w:tc>
          <w:tcPr>
            <w:tcW w:w="155" w:type="dxa"/>
          </w:tcPr>
          <w:p>
            <w:pPr/>
          </w:p>
        </w:tc>
        <w:tc>
          <w:tcPr>
            <w:tcW w:w="900" w:type="dxa"/>
            <w:tcBorders>
              <w:top w:val="single" w:sz="4" w:space="0" w:color="231F20"/>
            </w:tcBorders>
          </w:tcPr>
          <w:p>
            <w:pPr>
              <w:pStyle w:val="TableParagraph"/>
              <w:spacing w:before="52"/>
              <w:ind w:right="57"/>
              <w:rPr>
                <w:sz w:val="18"/>
              </w:rPr>
            </w:pPr>
            <w:r>
              <w:rPr>
                <w:color w:val="231F20"/>
                <w:sz w:val="18"/>
              </w:rPr>
              <w:t>69</w:t>
            </w:r>
          </w:p>
        </w:tc>
        <w:tc>
          <w:tcPr>
            <w:tcW w:w="200" w:type="dxa"/>
          </w:tcPr>
          <w:p>
            <w:pPr/>
          </w:p>
        </w:tc>
        <w:tc>
          <w:tcPr>
            <w:tcW w:w="900" w:type="dxa"/>
            <w:tcBorders>
              <w:top w:val="single" w:sz="4" w:space="0" w:color="231F20"/>
              <w:bottom w:val="single" w:sz="4" w:space="0" w:color="231F20"/>
            </w:tcBorders>
          </w:tcPr>
          <w:p>
            <w:pPr>
              <w:pStyle w:val="TableParagraph"/>
              <w:tabs>
                <w:tab w:pos="434" w:val="left" w:leader="none"/>
              </w:tabs>
              <w:spacing w:before="52"/>
              <w:ind w:right="57"/>
              <w:rPr>
                <w:sz w:val="18"/>
              </w:rPr>
            </w:pPr>
            <w:r>
              <w:rPr>
                <w:color w:val="231F20"/>
                <w:sz w:val="18"/>
              </w:rPr>
              <w:t>$</w:t>
              <w:tab/>
            </w:r>
            <w:r>
              <w:rPr>
                <w:color w:val="231F20"/>
                <w:spacing w:val="-1"/>
                <w:sz w:val="18"/>
              </w:rPr>
              <w:t>4,588</w:t>
            </w:r>
          </w:p>
        </w:tc>
        <w:tc>
          <w:tcPr>
            <w:tcW w:w="200" w:type="dxa"/>
          </w:tcPr>
          <w:p>
            <w:pPr/>
          </w:p>
        </w:tc>
        <w:tc>
          <w:tcPr>
            <w:tcW w:w="900" w:type="dxa"/>
            <w:tcBorders>
              <w:top w:val="single" w:sz="4" w:space="0" w:color="231F20"/>
              <w:bottom w:val="single" w:sz="4" w:space="0" w:color="231F20"/>
            </w:tcBorders>
          </w:tcPr>
          <w:p>
            <w:pPr>
              <w:pStyle w:val="TableParagraph"/>
              <w:tabs>
                <w:tab w:pos="469" w:val="left" w:leader="none"/>
              </w:tabs>
              <w:spacing w:before="52"/>
              <w:ind w:right="38"/>
              <w:rPr>
                <w:sz w:val="18"/>
              </w:rPr>
            </w:pPr>
            <w:r>
              <w:rPr>
                <w:color w:val="231F20"/>
                <w:sz w:val="18"/>
              </w:rPr>
              <w:t>$</w:t>
              <w:tab/>
            </w:r>
            <w:r>
              <w:rPr>
                <w:color w:val="231F20"/>
                <w:spacing w:val="-1"/>
                <w:sz w:val="18"/>
              </w:rPr>
              <w:t>(698)</w:t>
            </w:r>
          </w:p>
        </w:tc>
        <w:tc>
          <w:tcPr>
            <w:tcW w:w="200" w:type="dxa"/>
          </w:tcPr>
          <w:p>
            <w:pPr/>
          </w:p>
        </w:tc>
        <w:tc>
          <w:tcPr>
            <w:tcW w:w="900" w:type="dxa"/>
            <w:tcBorders>
              <w:top w:val="single" w:sz="4" w:space="0" w:color="231F20"/>
              <w:bottom w:val="single" w:sz="4" w:space="0" w:color="231F20"/>
            </w:tcBorders>
          </w:tcPr>
          <w:p>
            <w:pPr>
              <w:pStyle w:val="TableParagraph"/>
              <w:tabs>
                <w:tab w:pos="434" w:val="left" w:leader="none"/>
              </w:tabs>
              <w:spacing w:before="52"/>
              <w:ind w:right="58"/>
              <w:rPr>
                <w:sz w:val="18"/>
              </w:rPr>
            </w:pPr>
            <w:r>
              <w:rPr>
                <w:color w:val="231F20"/>
                <w:sz w:val="18"/>
              </w:rPr>
              <w:t>$</w:t>
              <w:tab/>
            </w:r>
            <w:r>
              <w:rPr>
                <w:color w:val="231F20"/>
                <w:spacing w:val="-1"/>
                <w:sz w:val="18"/>
              </w:rPr>
              <w:t>3,890</w:t>
            </w:r>
          </w:p>
        </w:tc>
      </w:tr>
      <w:tr>
        <w:trPr>
          <w:trHeight w:val="402" w:hRule="exact"/>
        </w:trPr>
        <w:tc>
          <w:tcPr>
            <w:tcW w:w="4415" w:type="dxa"/>
          </w:tcPr>
          <w:p>
            <w:pPr>
              <w:pStyle w:val="TableParagraph"/>
              <w:spacing w:before="159"/>
              <w:ind w:left="50"/>
              <w:jc w:val="left"/>
              <w:rPr>
                <w:sz w:val="18"/>
              </w:rPr>
            </w:pPr>
            <w:r>
              <w:rPr>
                <w:color w:val="231F20"/>
                <w:sz w:val="18"/>
              </w:rPr>
              <w:t>Less amount representing interest . . . . . . . . . . . . . . . . . . . . . </w:t>
            </w:r>
          </w:p>
        </w:tc>
        <w:tc>
          <w:tcPr>
            <w:tcW w:w="155" w:type="dxa"/>
          </w:tcPr>
          <w:p>
            <w:pPr/>
          </w:p>
        </w:tc>
        <w:tc>
          <w:tcPr>
            <w:tcW w:w="900" w:type="dxa"/>
            <w:tcBorders>
              <w:bottom w:val="single" w:sz="4" w:space="0" w:color="231F20"/>
            </w:tcBorders>
          </w:tcPr>
          <w:p>
            <w:pPr>
              <w:pStyle w:val="TableParagraph"/>
              <w:spacing w:before="159"/>
              <w:ind w:right="57"/>
              <w:rPr>
                <w:sz w:val="18"/>
              </w:rPr>
            </w:pPr>
            <w:r>
              <w:rPr>
                <w:color w:val="231F20"/>
                <w:sz w:val="18"/>
              </w:rPr>
              <w:t>13</w:t>
            </w:r>
          </w:p>
        </w:tc>
        <w:tc>
          <w:tcPr>
            <w:tcW w:w="3300" w:type="dxa"/>
            <w:gridSpan w:val="6"/>
            <w:vMerge w:val="restart"/>
          </w:tcPr>
          <w:p>
            <w:pPr/>
          </w:p>
        </w:tc>
      </w:tr>
      <w:tr>
        <w:trPr>
          <w:trHeight w:val="275" w:hRule="exact"/>
        </w:trPr>
        <w:tc>
          <w:tcPr>
            <w:tcW w:w="4415" w:type="dxa"/>
          </w:tcPr>
          <w:p>
            <w:pPr>
              <w:pStyle w:val="TableParagraph"/>
              <w:spacing w:before="57"/>
              <w:ind w:left="50"/>
              <w:jc w:val="left"/>
              <w:rPr>
                <w:sz w:val="18"/>
              </w:rPr>
            </w:pPr>
            <w:r>
              <w:rPr>
                <w:color w:val="231F20"/>
                <w:sz w:val="18"/>
              </w:rPr>
              <w:t>Present value of minimum lease payments . . . . . . . . . . . . . . </w:t>
            </w:r>
          </w:p>
        </w:tc>
        <w:tc>
          <w:tcPr>
            <w:tcW w:w="155" w:type="dxa"/>
          </w:tcPr>
          <w:p>
            <w:pPr/>
          </w:p>
        </w:tc>
        <w:tc>
          <w:tcPr>
            <w:tcW w:w="900" w:type="dxa"/>
            <w:tcBorders>
              <w:top w:val="single" w:sz="4" w:space="0" w:color="231F20"/>
            </w:tcBorders>
          </w:tcPr>
          <w:p>
            <w:pPr>
              <w:pStyle w:val="TableParagraph"/>
              <w:spacing w:before="52"/>
              <w:ind w:right="57"/>
              <w:rPr>
                <w:sz w:val="18"/>
              </w:rPr>
            </w:pPr>
            <w:r>
              <w:rPr>
                <w:color w:val="231F20"/>
                <w:sz w:val="18"/>
              </w:rPr>
              <w:t>56</w:t>
            </w:r>
          </w:p>
        </w:tc>
        <w:tc>
          <w:tcPr>
            <w:tcW w:w="3300" w:type="dxa"/>
            <w:gridSpan w:val="6"/>
            <w:vMerge/>
          </w:tcPr>
          <w:p>
            <w:pPr/>
          </w:p>
        </w:tc>
      </w:tr>
      <w:tr>
        <w:trPr>
          <w:trHeight w:val="245" w:hRule="exact"/>
        </w:trPr>
        <w:tc>
          <w:tcPr>
            <w:tcW w:w="4415" w:type="dxa"/>
          </w:tcPr>
          <w:p>
            <w:pPr>
              <w:pStyle w:val="TableParagraph"/>
              <w:spacing w:before="1"/>
              <w:ind w:left="50"/>
              <w:jc w:val="left"/>
              <w:rPr>
                <w:sz w:val="18"/>
              </w:rPr>
            </w:pPr>
            <w:r>
              <w:rPr>
                <w:color w:val="231F20"/>
                <w:sz w:val="18"/>
              </w:rPr>
              <w:t>Less current portion   . . . . . . . . . . . . . . . . . . . . . . . . . . . . . . . </w:t>
            </w:r>
          </w:p>
        </w:tc>
        <w:tc>
          <w:tcPr>
            <w:tcW w:w="155" w:type="dxa"/>
          </w:tcPr>
          <w:p>
            <w:pPr/>
          </w:p>
        </w:tc>
        <w:tc>
          <w:tcPr>
            <w:tcW w:w="900" w:type="dxa"/>
            <w:tcBorders>
              <w:bottom w:val="single" w:sz="4" w:space="0" w:color="231F20"/>
            </w:tcBorders>
          </w:tcPr>
          <w:p>
            <w:pPr>
              <w:pStyle w:val="TableParagraph"/>
              <w:spacing w:before="1"/>
              <w:ind w:right="57"/>
              <w:rPr>
                <w:sz w:val="18"/>
              </w:rPr>
            </w:pPr>
            <w:r>
              <w:rPr>
                <w:color w:val="231F20"/>
                <w:sz w:val="18"/>
              </w:rPr>
              <w:t>6</w:t>
            </w:r>
          </w:p>
        </w:tc>
        <w:tc>
          <w:tcPr>
            <w:tcW w:w="3300" w:type="dxa"/>
            <w:gridSpan w:val="6"/>
            <w:vMerge/>
          </w:tcPr>
          <w:p>
            <w:pPr/>
          </w:p>
        </w:tc>
      </w:tr>
      <w:tr>
        <w:trPr>
          <w:trHeight w:val="320" w:hRule="exact"/>
        </w:trPr>
        <w:tc>
          <w:tcPr>
            <w:tcW w:w="4415" w:type="dxa"/>
          </w:tcPr>
          <w:p>
            <w:pPr>
              <w:pStyle w:val="TableParagraph"/>
              <w:spacing w:before="57"/>
              <w:ind w:left="50"/>
              <w:jc w:val="left"/>
              <w:rPr>
                <w:sz w:val="18"/>
              </w:rPr>
            </w:pPr>
            <w:r>
              <w:rPr>
                <w:color w:val="231F20"/>
                <w:sz w:val="18"/>
              </w:rPr>
              <w:t>Long-term portion . . . . . . . . . . . . . . . . . . . . . . . . . . . . . . . . . </w:t>
            </w:r>
          </w:p>
        </w:tc>
        <w:tc>
          <w:tcPr>
            <w:tcW w:w="155" w:type="dxa"/>
          </w:tcPr>
          <w:p>
            <w:pPr/>
          </w:p>
        </w:tc>
        <w:tc>
          <w:tcPr>
            <w:tcW w:w="900" w:type="dxa"/>
            <w:tcBorders>
              <w:top w:val="single" w:sz="4" w:space="0" w:color="231F20"/>
              <w:bottom w:val="double" w:sz="7" w:space="0" w:color="231F20"/>
            </w:tcBorders>
          </w:tcPr>
          <w:p>
            <w:pPr>
              <w:pStyle w:val="TableParagraph"/>
              <w:tabs>
                <w:tab w:pos="659" w:val="left" w:leader="none"/>
              </w:tabs>
              <w:spacing w:before="52"/>
              <w:ind w:right="57"/>
              <w:rPr>
                <w:sz w:val="18"/>
              </w:rPr>
            </w:pPr>
            <w:r>
              <w:rPr>
                <w:color w:val="231F20"/>
                <w:sz w:val="18"/>
              </w:rPr>
              <w:t>$</w:t>
              <w:tab/>
              <w:t>50</w:t>
            </w:r>
          </w:p>
        </w:tc>
        <w:tc>
          <w:tcPr>
            <w:tcW w:w="3300" w:type="dxa"/>
            <w:gridSpan w:val="6"/>
            <w:vMerge/>
          </w:tcPr>
          <w:p>
            <w:pPr/>
          </w:p>
        </w:tc>
      </w:tr>
      <w:tr>
        <w:trPr>
          <w:trHeight w:val="180" w:hRule="exact"/>
        </w:trPr>
        <w:tc>
          <w:tcPr>
            <w:tcW w:w="4415" w:type="dxa"/>
            <w:tcBorders>
              <w:bottom w:val="single" w:sz="4" w:space="0" w:color="231F20"/>
            </w:tcBorders>
          </w:tcPr>
          <w:p>
            <w:pPr/>
          </w:p>
        </w:tc>
        <w:tc>
          <w:tcPr>
            <w:tcW w:w="155" w:type="dxa"/>
          </w:tcPr>
          <w:p>
            <w:pPr/>
          </w:p>
        </w:tc>
        <w:tc>
          <w:tcPr>
            <w:tcW w:w="900" w:type="dxa"/>
            <w:tcBorders>
              <w:top w:val="double" w:sz="7" w:space="0" w:color="231F20"/>
            </w:tcBorders>
          </w:tcPr>
          <w:p>
            <w:pPr/>
          </w:p>
        </w:tc>
        <w:tc>
          <w:tcPr>
            <w:tcW w:w="3300" w:type="dxa"/>
            <w:gridSpan w:val="6"/>
            <w:vMerge/>
          </w:tcPr>
          <w:p>
            <w:pPr/>
          </w:p>
        </w:tc>
      </w:tr>
    </w:tbl>
    <w:p>
      <w:pPr>
        <w:pStyle w:val="BodyText"/>
        <w:tabs>
          <w:tab w:pos="559" w:val="left" w:leader="none"/>
        </w:tabs>
        <w:spacing w:line="249" w:lineRule="auto" w:before="48"/>
        <w:ind w:left="560" w:right="161" w:hanging="400"/>
      </w:pPr>
      <w:r>
        <w:rPr/>
        <w:pict>
          <v:line style="position:absolute;mso-position-horizontal-relative:page;mso-position-vertical-relative:paragraph;z-index:-331456" from="350pt,-73.614067pt" to="395pt,-73.614067pt" stroked="true" strokeweight=".5pt" strokecolor="#231f20">
            <v:stroke dashstyle="solid"/>
            <w10:wrap type="none"/>
          </v:line>
        </w:pict>
      </w:r>
      <w:r>
        <w:rPr/>
        <w:pict>
          <v:line style="position:absolute;mso-position-horizontal-relative:page;mso-position-vertical-relative:paragraph;z-index:-331432" from="405pt,-73.614067pt" to="450pt,-73.614067pt" stroked="true" strokeweight=".5pt" strokecolor="#231f20">
            <v:stroke dashstyle="solid"/>
            <w10:wrap type="none"/>
          </v:line>
        </w:pict>
      </w:r>
      <w:r>
        <w:rPr/>
        <w:pict>
          <v:line style="position:absolute;mso-position-horizontal-relative:page;mso-position-vertical-relative:paragraph;z-index:-331408" from="460pt,-73.614067pt" to="505pt,-73.614067pt" stroked="true" strokeweight=".5pt" strokecolor="#231f20">
            <v:stroke dashstyle="solid"/>
            <w10:wrap type="none"/>
          </v:line>
        </w:pict>
      </w:r>
      <w:r>
        <w:rPr>
          <w:color w:val="231F20"/>
        </w:rPr>
        <w:t>*</w:t>
        <w:tab/>
        <w:t>Includes LFMP airport rental payments of $23 in 2014, $24 in 2015, $24 in 2016, $24 in 2017, $25</w:t>
      </w:r>
      <w:r>
        <w:rPr>
          <w:color w:val="231F20"/>
          <w:spacing w:val="3"/>
        </w:rPr>
        <w:t> </w:t>
      </w:r>
      <w:r>
        <w:rPr>
          <w:color w:val="231F20"/>
        </w:rPr>
        <w:t>in 2018, and $685 thereafter. See Note</w:t>
      </w:r>
      <w:r>
        <w:rPr>
          <w:color w:val="231F20"/>
          <w:spacing w:val="2"/>
        </w:rPr>
        <w:t> </w:t>
      </w:r>
      <w:r>
        <w:rPr>
          <w:color w:val="231F20"/>
        </w:rPr>
        <w:t>4.</w:t>
      </w:r>
    </w:p>
    <w:p>
      <w:pPr>
        <w:spacing w:after="0" w:line="249" w:lineRule="auto"/>
        <w:sectPr>
          <w:pgSz w:w="11880" w:h="15480"/>
          <w:pgMar w:header="0" w:footer="1253" w:top="1240" w:bottom="1440" w:left="1220" w:right="1280"/>
        </w:sectPr>
      </w:pPr>
    </w:p>
    <w:p>
      <w:pPr>
        <w:pStyle w:val="BodyText"/>
        <w:spacing w:line="249" w:lineRule="auto" w:before="73"/>
        <w:ind w:left="100" w:right="209" w:firstLine="490"/>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pStyle w:val="BodyText"/>
        <w:spacing w:line="249" w:lineRule="auto" w:before="193"/>
        <w:ind w:left="100" w:right="113" w:firstLine="490"/>
      </w:pPr>
      <w:r>
        <w:rPr>
          <w:color w:val="231F20"/>
        </w:rPr>
        <w:t>During fourth quarter 2013, the Company entered into sale and leaseback transactions with a third party aircraft lessor for the sale and leaseback of two Boeing 737-800 aircraft. The transactions were closed on the date of delivery from Boeing, and resulted in the delivery payments being made by the aircraft lessor directly to Boeing, and Southwest being refunded the $12 million in progress payments it had previously made to Boeing during the period the aircraft was being constructed. These transactions resulted in deferred gains that are not material, which are being amortized over the terms of the respective leases, which are both 11 years. Both of the leases from these sale and leaseback transactions are accounted for as operating leases. Under the terms of the lease agreements, the Company will continue to operate and maintain the aircraft. Payments under the lease agreements are fixed. The lease agreements contain standard termination events, including termination upon a breach of the Company’s obligations to make rental payments and upon any other material breach of the Company’s obligations under the leases, and standard maintenance and return condition provisions. Upon a termination of the lease due to a breach by the Company, the Company would be liable for standard contractual damages, possibly including damages suffered by the lessor in connection with remarketing the aircraft or while the aircraft is not leased to another party.</w:t>
      </w:r>
    </w:p>
    <w:p>
      <w:pPr>
        <w:pStyle w:val="BodyText"/>
        <w:spacing w:line="249" w:lineRule="auto" w:before="193"/>
        <w:ind w:left="100" w:right="97" w:firstLine="490"/>
      </w:pPr>
      <w:r>
        <w:rPr>
          <w:color w:val="231F20"/>
        </w:rPr>
        <w:t>On July 9, 2012, the Company signed an agreement with Delta Air Lines, Inc. and Boeing Capital Corp. to lease or sublease all 88 of AirTran’s Boeing 717-200 aircraft (“B717s”) to Delta. The first converted B717 was delivered to Delta during late September 2013, and a total of 13 B717s were delivered to Delta during 2013. Over the expected term of the transition period for all B717s, the Company expects to average approximately three B717 conversions per month. A total of 78 of the B717s are on operating lease, eight are owned, and two are currently classified as capital leases.</w:t>
      </w:r>
    </w:p>
    <w:p>
      <w:pPr>
        <w:pStyle w:val="BodyText"/>
        <w:spacing w:line="249" w:lineRule="auto" w:before="193"/>
        <w:ind w:left="100" w:right="102" w:firstLine="490"/>
      </w:pPr>
      <w:r>
        <w:rPr>
          <w:color w:val="231F20"/>
        </w:rPr>
        <w:t>The B717s add complexity to the Company’s operations, as Southwest has historically operated an all- Boeing 737 fleet. From a fleet management perspective, the transition of approximately three B717s per month to Delta allows the Company to minimize the impact of this transaction on operations, as the B717 capacity lost is expected to be replaced through the capacity gained as a result of (i) the Company’s modification of the retirement dates for a portion of its 737-300 and 737-500 aircraft and (ii) its receipt of new 737 deliveries from Boeing or its acquisition of used 737s.</w:t>
      </w:r>
    </w:p>
    <w:p>
      <w:pPr>
        <w:pStyle w:val="BodyText"/>
        <w:spacing w:line="249" w:lineRule="auto" w:before="193"/>
        <w:ind w:left="100" w:right="146" w:firstLine="490"/>
      </w:pPr>
      <w:r>
        <w:rPr>
          <w:color w:val="231F20"/>
        </w:rPr>
        <w:t>The Company will lease and/or sublease all 88 of the B717s to Delta at agreed-upon lease rates. In addition, the Company will pay the majority of the costs to convert the aircraft to the Delta livery and perform certain maintenance checks prior to the delivery of each aircraft. The agreement to pay these conversion and maintenance costs is a “lease incentive” under applicable accounting guidance. The sublease terms for the 78 B717s currently on operating lease and the two B717s currently classified as capital leases coincide with the Company’s remaining lease terms for these aircraft from the original lessor, which range from approximately five years to approximately 11 years. The lease terms for the eight B717s that are owned by the Company are for a period of seven years, after which Delta will have the option to purchase the aircraft at the then-prevailing market value. The Company will account for the lease and sublease transactions with Delta as operating leases, except for the two aircraft classified by the Company as capital leases. The subleases of these two aircraft will be accounted for as direct financing leases. There are no contingent payments and no significant residual value conditions associated with the</w:t>
      </w:r>
      <w:r>
        <w:rPr>
          <w:color w:val="231F20"/>
          <w:spacing w:val="3"/>
        </w:rPr>
        <w:t> </w:t>
      </w:r>
      <w:r>
        <w:rPr>
          <w:color w:val="231F20"/>
        </w:rPr>
        <w:t>transaction.</w:t>
      </w:r>
    </w:p>
    <w:p>
      <w:pPr>
        <w:pStyle w:val="BodyText"/>
        <w:spacing w:line="249" w:lineRule="auto" w:before="193"/>
        <w:ind w:left="100" w:right="191" w:firstLine="490"/>
      </w:pPr>
      <w:r>
        <w:rPr>
          <w:color w:val="231F20"/>
        </w:rPr>
        <w:t>The accounting for this transaction is based on the guidance provided for lease transactions. For the components of this transaction finalized in third quarter 2012 and with respect to which the lease inception has been deemed to occur, the Company recorded a charge of approximately $137 million during third quarter 2012. The charge represents the remaining estimated cost, at the scheduled date of delivery of each B717 to Delta (including the conversion, maintenance, and other contractual costs to be incurred), of the Company’s lease of the 78 B717s that are currently accounted for as operating leases, net of the future sublease income from Delta and the remaining unfavorable aircraft lease liability established as of the acquisition date. The charges recorded</w:t>
      </w:r>
    </w:p>
    <w:p>
      <w:pPr>
        <w:spacing w:after="0" w:line="249" w:lineRule="auto"/>
        <w:sectPr>
          <w:pgSz w:w="11880" w:h="15480"/>
          <w:pgMar w:header="0" w:footer="1253" w:top="1240" w:bottom="1440" w:left="1280" w:right="1280"/>
        </w:sectPr>
      </w:pPr>
    </w:p>
    <w:p>
      <w:pPr>
        <w:pStyle w:val="BodyText"/>
        <w:spacing w:line="249" w:lineRule="auto" w:before="73"/>
        <w:ind w:left="100" w:right="262"/>
      </w:pPr>
      <w:r>
        <w:rPr>
          <w:color w:val="231F20"/>
        </w:rPr>
        <w:t>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is included as a component of Current liabilities and Other noncurrent liabilities in the Company’s Consolidated Balance Sheet. See Note 2 for further information on the Company’s Acquisition and integration costs. Following the initial recording of the $137 million liability in 2012, the Company paid $9 million in costs associated with the transaction, resulting in a liability balance of $128 million as of</w:t>
      </w:r>
    </w:p>
    <w:p>
      <w:pPr>
        <w:pStyle w:val="BodyText"/>
        <w:spacing w:line="249" w:lineRule="auto" w:before="1"/>
        <w:ind w:left="100" w:right="180"/>
      </w:pPr>
      <w:r>
        <w:rPr>
          <w:color w:val="231F20"/>
        </w:rPr>
        <w:t>December 31, 2012. During 2013, the Company paid $12 million in costs, and recorded $6 million in accretion of the liability, resulting in a liability balance of $122 million as of December 31, 2013. The Company may also incur other costs associated with this transaction, such as potential changes associated with the extension of the time between when the Company removes an aircraft from revenue service and the time it is delivered to Delta. The Company has anticipated a reasonable period of transition time for the conversion process, but for some aircraft this period of time will be longer than anticipated due to the Company’s plans to halt all B717 service on or around the end of 2014. The Company will follow “cease-use” date accounting guidance for these instances and thus may incur additional charges at the time the aircraft are removed from service. Any additional charges are not expected to be material.</w:t>
      </w:r>
    </w:p>
    <w:p>
      <w:pPr>
        <w:pStyle w:val="BodyText"/>
        <w:spacing w:before="10"/>
        <w:rPr>
          <w:sz w:val="30"/>
        </w:rPr>
      </w:pPr>
    </w:p>
    <w:p>
      <w:pPr>
        <w:pStyle w:val="Heading3"/>
        <w:numPr>
          <w:ilvl w:val="0"/>
          <w:numId w:val="13"/>
        </w:numPr>
        <w:tabs>
          <w:tab w:pos="300" w:val="left" w:leader="none"/>
        </w:tabs>
        <w:spacing w:line="240" w:lineRule="auto" w:before="0" w:after="0"/>
        <w:ind w:left="300" w:right="0" w:hanging="200"/>
        <w:jc w:val="left"/>
      </w:pPr>
      <w:r>
        <w:rPr>
          <w:color w:val="231F20"/>
        </w:rPr>
        <w:t>NET INCOME PER</w:t>
      </w:r>
      <w:r>
        <w:rPr>
          <w:color w:val="231F20"/>
          <w:spacing w:val="-4"/>
        </w:rPr>
        <w:t> </w:t>
      </w:r>
      <w:r>
        <w:rPr>
          <w:color w:val="231F20"/>
        </w:rPr>
        <w:t>SHARE</w:t>
      </w:r>
    </w:p>
    <w:p>
      <w:pPr>
        <w:pStyle w:val="BodyText"/>
        <w:spacing w:line="249" w:lineRule="auto" w:before="127"/>
        <w:ind w:left="100" w:right="117" w:firstLine="490"/>
      </w:pPr>
      <w:r>
        <w:rPr>
          <w:color w:val="231F20"/>
        </w:rPr>
        <w:t>The following table sets forth the computation of basic and diluted net income per share (in millions except per share amounts):</w:t>
      </w:r>
    </w:p>
    <w:p>
      <w:pPr>
        <w:pStyle w:val="BodyText"/>
        <w:spacing w:before="11"/>
        <w:rPr>
          <w:sz w:val="8"/>
        </w:rPr>
      </w:pPr>
    </w:p>
    <w:p>
      <w:pPr>
        <w:spacing w:after="0"/>
        <w:rPr>
          <w:sz w:val="8"/>
        </w:rPr>
        <w:sectPr>
          <w:pgSz w:w="11880" w:h="15480"/>
          <w:pgMar w:header="0" w:footer="1253" w:top="1240" w:bottom="1440" w:left="1280" w:right="1280"/>
        </w:sectPr>
      </w:pPr>
    </w:p>
    <w:p>
      <w:pPr>
        <w:pStyle w:val="BodyText"/>
      </w:pPr>
    </w:p>
    <w:p>
      <w:pPr>
        <w:pStyle w:val="BodyText"/>
      </w:pPr>
    </w:p>
    <w:p>
      <w:pPr>
        <w:pStyle w:val="BodyText"/>
        <w:spacing w:before="8"/>
        <w:rPr>
          <w:sz w:val="16"/>
        </w:rPr>
      </w:pPr>
    </w:p>
    <w:p>
      <w:pPr>
        <w:spacing w:before="0"/>
        <w:ind w:left="100" w:right="0" w:firstLine="0"/>
        <w:jc w:val="left"/>
        <w:rPr>
          <w:b/>
          <w:sz w:val="18"/>
        </w:rPr>
      </w:pPr>
      <w:r>
        <w:rPr>
          <w:b/>
          <w:color w:val="231F20"/>
          <w:sz w:val="18"/>
        </w:rPr>
        <w:t>NUMERATOR:</w:t>
      </w:r>
    </w:p>
    <w:p>
      <w:pPr>
        <w:spacing w:before="92"/>
        <w:ind w:left="0" w:right="1118" w:firstLine="0"/>
        <w:jc w:val="center"/>
        <w:rPr>
          <w:b/>
          <w:sz w:val="18"/>
        </w:rPr>
      </w:pPr>
      <w:r>
        <w:rPr/>
        <w:br w:type="column"/>
      </w:r>
      <w:r>
        <w:rPr>
          <w:b/>
          <w:color w:val="231F20"/>
          <w:sz w:val="18"/>
        </w:rPr>
        <w:t>Year ended December 31,</w:t>
      </w:r>
    </w:p>
    <w:p>
      <w:pPr>
        <w:tabs>
          <w:tab w:pos="1199" w:val="left" w:leader="none"/>
          <w:tab w:pos="2399" w:val="left" w:leader="none"/>
        </w:tabs>
        <w:spacing w:before="53"/>
        <w:ind w:left="0" w:right="1119" w:firstLine="0"/>
        <w:jc w:val="center"/>
        <w:rPr>
          <w:b/>
          <w:sz w:val="18"/>
        </w:rPr>
      </w:pPr>
      <w:r>
        <w:rPr/>
        <w:pict>
          <v:line style="position:absolute;mso-position-horizontal-relative:page;mso-position-vertical-relative:paragraph;z-index:5512" from="315pt,1.552344pt" to="485pt,1.552344pt" stroked="true" strokeweight="1pt" strokecolor="#231f20">
            <v:stroke dashstyle="solid"/>
            <w10:wrap type="none"/>
          </v:line>
        </w:pict>
      </w:r>
      <w:r>
        <w:rPr/>
        <w:pict>
          <v:line style="position:absolute;mso-position-horizontal-relative:page;mso-position-vertical-relative:paragraph;z-index:5536" from="315pt,14.552343pt" to="365pt,14.552343pt" stroked="true" strokeweight="1pt" strokecolor="#231f20">
            <v:stroke dashstyle="solid"/>
            <w10:wrap type="none"/>
          </v:line>
        </w:pict>
      </w:r>
      <w:r>
        <w:rPr>
          <w:b/>
          <w:color w:val="231F20"/>
          <w:sz w:val="18"/>
        </w:rPr>
        <w:t>2013</w:t>
        <w:tab/>
        <w:t>2012</w:t>
        <w:tab/>
        <w:t>2011</w:t>
      </w:r>
    </w:p>
    <w:p>
      <w:pPr>
        <w:spacing w:line="20" w:lineRule="exact"/>
        <w:ind w:left="970" w:right="0" w:firstLine="0"/>
        <w:rPr>
          <w:sz w:val="2"/>
        </w:rPr>
      </w:pPr>
      <w:r>
        <w:rPr>
          <w:sz w:val="2"/>
        </w:rPr>
        <w:pict>
          <v:group style="width:51pt;height:1pt;mso-position-horizontal-relative:char;mso-position-vertical-relative:line" coordorigin="0,0" coordsize="1020,20">
            <v:line style="position:absolute" from="10,10" to="1010,10" stroked="true" strokeweight="1pt" strokecolor="#231f20">
              <v:stroke dashstyle="solid"/>
            </v:line>
          </v:group>
        </w:pict>
      </w:r>
      <w:r>
        <w:rPr>
          <w:sz w:val="2"/>
        </w:rPr>
      </w:r>
      <w:r>
        <w:rPr>
          <w:spacing w:val="160"/>
          <w:sz w:val="2"/>
        </w:rPr>
        <w:t> </w:t>
      </w:r>
      <w:r>
        <w:rPr>
          <w:spacing w:val="160"/>
          <w:sz w:val="2"/>
        </w:rPr>
        <w:pict>
          <v:group style="width:51pt;height:1pt;mso-position-horizontal-relative:char;mso-position-vertical-relative:line" coordorigin="0,0" coordsize="1020,20">
            <v:line style="position:absolute" from="10,10" to="1010,10" stroked="true" strokeweight="1pt" strokecolor="#231f20">
              <v:stroke dashstyle="solid"/>
            </v:line>
          </v:group>
        </w:pict>
      </w:r>
      <w:r>
        <w:rPr>
          <w:spacing w:val="160"/>
          <w:sz w:val="2"/>
        </w:rPr>
      </w:r>
    </w:p>
    <w:p>
      <w:pPr>
        <w:spacing w:after="0" w:line="20" w:lineRule="exact"/>
        <w:rPr>
          <w:sz w:val="2"/>
        </w:rPr>
        <w:sectPr>
          <w:type w:val="continuous"/>
          <w:pgSz w:w="11880" w:h="15480"/>
          <w:pgMar w:top="1200" w:bottom="280" w:left="1280" w:right="1280"/>
          <w:cols w:num="2" w:equalWidth="0">
            <w:col w:w="1360" w:space="3880"/>
            <w:col w:w="4080"/>
          </w:cols>
        </w:sectPr>
      </w:pPr>
    </w:p>
    <w:p>
      <w:pPr>
        <w:tabs>
          <w:tab w:pos="5709" w:val="left" w:leader="none"/>
          <w:tab w:pos="6219" w:val="left" w:leader="none"/>
          <w:tab w:pos="6909" w:val="left" w:leader="none"/>
          <w:tab w:pos="7419" w:val="left" w:leader="none"/>
          <w:tab w:pos="8379" w:val="right" w:leader="none"/>
        </w:tabs>
        <w:spacing w:before="12"/>
        <w:ind w:left="280" w:right="0" w:firstLine="0"/>
        <w:jc w:val="left"/>
        <w:rPr>
          <w:sz w:val="18"/>
        </w:rPr>
      </w:pPr>
      <w:r>
        <w:rPr>
          <w:color w:val="231F20"/>
          <w:sz w:val="18"/>
        </w:rPr>
        <w:t>Net income . . . . . . . . . . . . . . . . . . . . . . . . . . . . . . . . . . . . . . . .</w:t>
      </w:r>
      <w:r>
        <w:rPr>
          <w:color w:val="231F20"/>
          <w:spacing w:val="15"/>
          <w:sz w:val="18"/>
        </w:rPr>
        <w:t> </w:t>
      </w:r>
      <w:r>
        <w:rPr>
          <w:color w:val="231F20"/>
          <w:sz w:val="18"/>
        </w:rPr>
        <w:t>.   </w:t>
      </w:r>
      <w:r>
        <w:rPr>
          <w:color w:val="231F20"/>
          <w:spacing w:val="20"/>
          <w:sz w:val="18"/>
        </w:rPr>
        <w:t> </w:t>
      </w:r>
      <w:r>
        <w:rPr>
          <w:color w:val="231F20"/>
          <w:sz w:val="18"/>
        </w:rPr>
        <w:t>$</w:t>
        <w:tab/>
        <w:t>754</w:t>
        <w:tab/>
        <w:t>$</w:t>
        <w:tab/>
        <w:t>421</w:t>
        <w:tab/>
        <w:t>$</w:t>
        <w:tab/>
        <w:t>178</w:t>
      </w:r>
    </w:p>
    <w:p>
      <w:pPr>
        <w:spacing w:before="12"/>
        <w:ind w:left="280" w:right="0" w:firstLine="0"/>
        <w:jc w:val="left"/>
        <w:rPr>
          <w:sz w:val="18"/>
        </w:rPr>
      </w:pPr>
      <w:r>
        <w:rPr>
          <w:color w:val="231F20"/>
          <w:sz w:val="18"/>
        </w:rPr>
        <w:t>Incremental income effect of interest on 5.25% convertible</w:t>
      </w:r>
    </w:p>
    <w:p>
      <w:pPr>
        <w:tabs>
          <w:tab w:pos="5429" w:val="left" w:leader="none"/>
          <w:tab w:pos="6629" w:val="left" w:leader="none"/>
          <w:tab w:pos="7649" w:val="left" w:leader="none"/>
        </w:tabs>
        <w:spacing w:before="12"/>
        <w:ind w:left="0" w:right="569" w:firstLine="0"/>
        <w:jc w:val="center"/>
        <w:rPr>
          <w:sz w:val="18"/>
        </w:rPr>
      </w:pPr>
      <w:r>
        <w:rPr/>
        <w:pict>
          <v:line style="position:absolute;mso-position-horizontal-relative:page;mso-position-vertical-relative:paragraph;z-index:5560" from="315pt,12.758326pt" to="365pt,12.758326pt" stroked="true" strokeweight=".5pt" strokecolor="#231f20">
            <v:stroke dashstyle="solid"/>
            <w10:wrap type="none"/>
          </v:line>
        </w:pict>
      </w:r>
      <w:r>
        <w:rPr/>
        <w:pict>
          <v:line style="position:absolute;mso-position-horizontal-relative:page;mso-position-vertical-relative:paragraph;z-index:5584" from="375pt,12.758326pt" to="425pt,12.758326pt" stroked="true" strokeweight=".5pt" strokecolor="#231f20">
            <v:stroke dashstyle="solid"/>
            <w10:wrap type="none"/>
          </v:line>
        </w:pict>
      </w:r>
      <w:r>
        <w:rPr/>
        <w:pict>
          <v:line style="position:absolute;mso-position-horizontal-relative:page;mso-position-vertical-relative:paragraph;z-index:5608" from="435pt,12.758326pt" to="485pt,12.758326pt" stroked="true" strokeweight=".5pt" strokecolor="#231f20">
            <v:stroke dashstyle="solid"/>
            <w10:wrap type="none"/>
          </v:line>
        </w:pict>
      </w:r>
      <w:r>
        <w:rPr>
          <w:color w:val="231F20"/>
          <w:sz w:val="18"/>
        </w:rPr>
        <w:t>notes . . . . . . . . . . . . . . . . . . . . . . . . . . . . . . . . . . . . . . . . . .</w:t>
      </w:r>
      <w:r>
        <w:rPr>
          <w:color w:val="231F20"/>
          <w:spacing w:val="19"/>
          <w:sz w:val="18"/>
        </w:rPr>
        <w:t> </w:t>
      </w:r>
      <w:r>
        <w:rPr>
          <w:color w:val="231F20"/>
          <w:sz w:val="18"/>
        </w:rPr>
        <w:t>. .</w:t>
        <w:tab/>
        <w:t>3</w:t>
        <w:tab/>
        <w:t>3</w:t>
        <w:tab/>
        <w:t>—</w:t>
      </w:r>
    </w:p>
    <w:p>
      <w:pPr>
        <w:tabs>
          <w:tab w:pos="5709" w:val="left" w:leader="none"/>
          <w:tab w:pos="6219" w:val="left" w:leader="none"/>
          <w:tab w:pos="6909" w:val="left" w:leader="none"/>
          <w:tab w:pos="7419" w:val="left" w:leader="none"/>
          <w:tab w:pos="8379" w:val="right" w:leader="none"/>
        </w:tabs>
        <w:spacing w:before="92"/>
        <w:ind w:left="280" w:right="0" w:firstLine="0"/>
        <w:jc w:val="left"/>
        <w:rPr>
          <w:sz w:val="18"/>
        </w:rPr>
      </w:pPr>
      <w:r>
        <w:rPr/>
        <w:pict>
          <v:line style="position:absolute;mso-position-horizontal-relative:page;mso-position-vertical-relative:paragraph;z-index:5632" from="315pt,16.752344pt" to="365pt,16.752344pt" stroked="true" strokeweight=".5pt" strokecolor="#231f20">
            <v:stroke dashstyle="solid"/>
            <w10:wrap type="none"/>
          </v:line>
        </w:pict>
      </w:r>
      <w:r>
        <w:rPr/>
        <w:pict>
          <v:line style="position:absolute;mso-position-horizontal-relative:page;mso-position-vertical-relative:paragraph;z-index:5656" from="375pt,16.752344pt" to="425pt,16.752344pt" stroked="true" strokeweight=".5pt" strokecolor="#231f20">
            <v:stroke dashstyle="solid"/>
            <w10:wrap type="none"/>
          </v:line>
        </w:pict>
      </w:r>
      <w:r>
        <w:rPr/>
        <w:pict>
          <v:line style="position:absolute;mso-position-horizontal-relative:page;mso-position-vertical-relative:paragraph;z-index:5680" from="435pt,16.752344pt" to="485pt,16.752344pt" stroked="true" strokeweight=".5pt" strokecolor="#231f20">
            <v:stroke dashstyle="solid"/>
            <w10:wrap type="none"/>
          </v:line>
        </w:pict>
      </w:r>
      <w:r>
        <w:rPr>
          <w:color w:val="231F20"/>
          <w:sz w:val="18"/>
        </w:rPr>
        <w:t>Net income after assumed conversion  . . . . . . . . . . . . . . . . . . .</w:t>
      </w:r>
      <w:r>
        <w:rPr>
          <w:color w:val="231F20"/>
          <w:spacing w:val="-15"/>
          <w:sz w:val="18"/>
        </w:rPr>
        <w:t> </w:t>
      </w:r>
      <w:r>
        <w:rPr>
          <w:color w:val="231F20"/>
          <w:sz w:val="18"/>
        </w:rPr>
        <w:t>.   </w:t>
      </w:r>
      <w:r>
        <w:rPr>
          <w:color w:val="231F20"/>
          <w:spacing w:val="20"/>
          <w:sz w:val="18"/>
        </w:rPr>
        <w:t> </w:t>
      </w:r>
      <w:r>
        <w:rPr>
          <w:color w:val="231F20"/>
          <w:sz w:val="18"/>
        </w:rPr>
        <w:t>$</w:t>
        <w:tab/>
        <w:t>757</w:t>
        <w:tab/>
        <w:t>$</w:t>
        <w:tab/>
        <w:t>424</w:t>
        <w:tab/>
        <w:t>$</w:t>
        <w:tab/>
        <w:t>178</w:t>
      </w:r>
    </w:p>
    <w:p>
      <w:pPr>
        <w:spacing w:before="92"/>
        <w:ind w:left="100" w:right="0" w:firstLine="0"/>
        <w:jc w:val="left"/>
        <w:rPr>
          <w:b/>
          <w:sz w:val="18"/>
        </w:rPr>
      </w:pPr>
      <w:r>
        <w:rPr>
          <w:b/>
          <w:color w:val="231F20"/>
          <w:sz w:val="18"/>
        </w:rPr>
        <w:t>DENOMINATOR:</w:t>
      </w:r>
    </w:p>
    <w:p>
      <w:pPr>
        <w:tabs>
          <w:tab w:pos="5709" w:val="left" w:leader="none"/>
          <w:tab w:pos="6909" w:val="left" w:leader="none"/>
          <w:tab w:pos="8379" w:val="right" w:leader="none"/>
        </w:tabs>
        <w:spacing w:before="12"/>
        <w:ind w:left="280" w:right="0" w:firstLine="0"/>
        <w:jc w:val="left"/>
        <w:rPr>
          <w:sz w:val="18"/>
        </w:rPr>
      </w:pPr>
      <w:r>
        <w:rPr/>
        <w:pict>
          <v:line style="position:absolute;mso-position-horizontal-relative:page;mso-position-vertical-relative:paragraph;z-index:5704" from="315pt,12.754328pt" to="365pt,12.754328pt" stroked="true" strokeweight=".5pt" strokecolor="#231f20">
            <v:stroke dashstyle="solid"/>
            <w10:wrap type="none"/>
          </v:line>
        </w:pict>
      </w:r>
      <w:r>
        <w:rPr/>
        <w:pict>
          <v:line style="position:absolute;mso-position-horizontal-relative:page;mso-position-vertical-relative:paragraph;z-index:5728" from="375pt,12.754328pt" to="425pt,12.754328pt" stroked="true" strokeweight=".5pt" strokecolor="#231f20">
            <v:stroke dashstyle="solid"/>
            <w10:wrap type="none"/>
          </v:line>
        </w:pict>
      </w:r>
      <w:r>
        <w:rPr/>
        <w:pict>
          <v:line style="position:absolute;mso-position-horizontal-relative:page;mso-position-vertical-relative:paragraph;z-index:5752" from="435pt,12.754328pt" to="485pt,12.754328pt" stroked="true" strokeweight=".5pt" strokecolor="#231f20">
            <v:stroke dashstyle="solid"/>
            <w10:wrap type="none"/>
          </v:line>
        </w:pict>
      </w:r>
      <w:r>
        <w:rPr>
          <w:color w:val="231F20"/>
          <w:sz w:val="18"/>
        </w:rPr>
        <w:t>Weighted-average shares outstanding, basic  . . . . . . . . . . . . .</w:t>
      </w:r>
      <w:r>
        <w:rPr>
          <w:color w:val="231F20"/>
          <w:spacing w:val="-15"/>
          <w:sz w:val="18"/>
        </w:rPr>
        <w:t> </w:t>
      </w:r>
      <w:r>
        <w:rPr>
          <w:color w:val="231F20"/>
          <w:sz w:val="18"/>
        </w:rPr>
        <w:t>. .</w:t>
        <w:tab/>
        <w:t>710</w:t>
        <w:tab/>
        <w:t>750</w:t>
        <w:tab/>
        <w:t>774</w:t>
      </w:r>
    </w:p>
    <w:p>
      <w:pPr>
        <w:spacing w:before="92"/>
        <w:ind w:left="280" w:right="0" w:firstLine="0"/>
        <w:jc w:val="left"/>
        <w:rPr>
          <w:sz w:val="18"/>
        </w:rPr>
      </w:pPr>
      <w:r>
        <w:rPr>
          <w:color w:val="231F20"/>
          <w:sz w:val="18"/>
        </w:rPr>
        <w:t>Dilutive effect of Employee stock options and restricted stock</w:t>
      </w:r>
    </w:p>
    <w:p>
      <w:pPr>
        <w:tabs>
          <w:tab w:pos="5429" w:val="left" w:leader="none"/>
          <w:tab w:pos="6629" w:val="left" w:leader="none"/>
          <w:tab w:pos="7919" w:val="right" w:leader="none"/>
        </w:tabs>
        <w:spacing w:before="12"/>
        <w:ind w:left="0" w:right="479" w:firstLine="0"/>
        <w:jc w:val="center"/>
        <w:rPr>
          <w:sz w:val="18"/>
        </w:rPr>
      </w:pPr>
      <w:r>
        <w:rPr>
          <w:color w:val="231F20"/>
          <w:sz w:val="18"/>
        </w:rPr>
        <w:t>units  . . . . . . . . . . . . . . . . . . . . . . . . . . . . . . . . . . . . . . . . . .</w:t>
      </w:r>
      <w:r>
        <w:rPr>
          <w:color w:val="231F20"/>
          <w:spacing w:val="4"/>
          <w:sz w:val="18"/>
        </w:rPr>
        <w:t> </w:t>
      </w:r>
      <w:r>
        <w:rPr>
          <w:color w:val="231F20"/>
          <w:sz w:val="18"/>
        </w:rPr>
        <w:t>. .</w:t>
        <w:tab/>
        <w:t>2</w:t>
        <w:tab/>
        <w:t>1</w:t>
        <w:tab/>
        <w:t>1</w:t>
      </w:r>
    </w:p>
    <w:p>
      <w:pPr>
        <w:tabs>
          <w:tab w:pos="5709" w:val="left" w:leader="none"/>
          <w:tab w:pos="5889" w:val="left" w:leader="none"/>
          <w:tab w:pos="6909" w:val="left" w:leader="none"/>
          <w:tab w:pos="7089" w:val="left" w:leader="none"/>
          <w:tab w:pos="8109" w:val="left" w:leader="none"/>
          <w:tab w:pos="8379" w:val="right" w:leader="none"/>
        </w:tabs>
        <w:spacing w:line="348" w:lineRule="auto" w:before="12"/>
        <w:ind w:left="280" w:right="939" w:firstLine="0"/>
        <w:jc w:val="left"/>
        <w:rPr>
          <w:sz w:val="18"/>
        </w:rPr>
      </w:pPr>
      <w:r>
        <w:rPr/>
        <w:pict>
          <v:line style="position:absolute;mso-position-horizontal-relative:page;mso-position-vertical-relative:paragraph;z-index:-331072" from="315pt,12.756342pt" to="365pt,12.756342pt" stroked="true" strokeweight=".5pt" strokecolor="#231f20">
            <v:stroke dashstyle="solid"/>
            <w10:wrap type="none"/>
          </v:line>
        </w:pict>
      </w:r>
      <w:r>
        <w:rPr/>
        <w:pict>
          <v:line style="position:absolute;mso-position-horizontal-relative:page;mso-position-vertical-relative:paragraph;z-index:-331048" from="375pt,12.756342pt" to="425pt,12.756342pt" stroked="true" strokeweight=".5pt" strokecolor="#231f20">
            <v:stroke dashstyle="solid"/>
            <w10:wrap type="none"/>
          </v:line>
        </w:pict>
      </w:r>
      <w:r>
        <w:rPr/>
        <w:pict>
          <v:line style="position:absolute;mso-position-horizontal-relative:page;mso-position-vertical-relative:paragraph;z-index:-331024" from="435pt,12.756342pt" to="485pt,12.756342pt" stroked="true" strokeweight=".5pt" strokecolor="#231f20">
            <v:stroke dashstyle="solid"/>
            <w10:wrap type="none"/>
          </v:line>
        </w:pict>
      </w:r>
      <w:r>
        <w:rPr/>
        <w:pict>
          <v:group style="position:absolute;margin-left:314.75pt;margin-top:27.506342pt;width:50.5pt;height:2.5pt;mso-position-horizontal-relative:page;mso-position-vertical-relative:paragraph;z-index:-331000" coordorigin="6295,550" coordsize="1010,50">
            <v:line style="position:absolute" from="6300,555" to="7300,555" stroked="true" strokeweight=".5pt" strokecolor="#231f20">
              <v:stroke dashstyle="solid"/>
            </v:line>
            <v:line style="position:absolute" from="6300,595" to="7300,595" stroked="true" strokeweight=".5pt" strokecolor="#231f20">
              <v:stroke dashstyle="solid"/>
            </v:line>
            <w10:wrap type="none"/>
          </v:group>
        </w:pict>
      </w:r>
      <w:r>
        <w:rPr/>
        <w:pict>
          <v:group style="position:absolute;margin-left:374.75pt;margin-top:27.506342pt;width:50.5pt;height:2.5pt;mso-position-horizontal-relative:page;mso-position-vertical-relative:paragraph;z-index:-330976" coordorigin="7495,550" coordsize="1010,50">
            <v:line style="position:absolute" from="7500,555" to="8500,555" stroked="true" strokeweight=".5pt" strokecolor="#231f20">
              <v:stroke dashstyle="solid"/>
            </v:line>
            <v:line style="position:absolute" from="7500,595" to="8500,595" stroked="true" strokeweight=".5pt" strokecolor="#231f20">
              <v:stroke dashstyle="solid"/>
            </v:line>
            <w10:wrap type="none"/>
          </v:group>
        </w:pict>
      </w:r>
      <w:r>
        <w:rPr/>
        <w:pict>
          <v:group style="position:absolute;margin-left:434.75pt;margin-top:27.506342pt;width:50.5pt;height:2.5pt;mso-position-horizontal-relative:page;mso-position-vertical-relative:paragraph;z-index:-330952" coordorigin="8695,550" coordsize="1010,50">
            <v:line style="position:absolute" from="8700,555" to="9700,555" stroked="true" strokeweight=".5pt" strokecolor="#231f20">
              <v:stroke dashstyle="solid"/>
            </v:line>
            <v:line style="position:absolute" from="8700,595" to="9700,595" stroked="true" strokeweight=".5pt" strokecolor="#231f20">
              <v:stroke dashstyle="solid"/>
            </v:line>
            <w10:wrap type="none"/>
          </v:group>
        </w:pict>
      </w:r>
      <w:r>
        <w:rPr>
          <w:color w:val="231F20"/>
          <w:sz w:val="18"/>
        </w:rPr>
        <w:t>Dilutive effect of 5.25% convertible notes   . . . . . . . . . . . . . .</w:t>
      </w:r>
      <w:r>
        <w:rPr>
          <w:color w:val="231F20"/>
          <w:spacing w:val="-20"/>
          <w:sz w:val="18"/>
        </w:rPr>
        <w:t> </w:t>
      </w:r>
      <w:r>
        <w:rPr>
          <w:color w:val="231F20"/>
          <w:sz w:val="18"/>
        </w:rPr>
        <w:t>. .</w:t>
        <w:tab/>
        <w:tab/>
        <w:t>6</w:t>
        <w:tab/>
        <w:tab/>
        <w:t>6</w:t>
        <w:tab/>
        <w:t>— Adjusted weighted-average shares outstanding, diluted  . . . .</w:t>
      </w:r>
      <w:r>
        <w:rPr>
          <w:color w:val="231F20"/>
          <w:spacing w:val="9"/>
          <w:sz w:val="18"/>
        </w:rPr>
        <w:t> </w:t>
      </w:r>
      <w:r>
        <w:rPr>
          <w:color w:val="231F20"/>
          <w:sz w:val="18"/>
        </w:rPr>
        <w:t>. .</w:t>
        <w:tab/>
        <w:t>718</w:t>
        <w:tab/>
        <w:t>757</w:t>
        <w:tab/>
        <w:tab/>
        <w:t>775</w:t>
      </w:r>
    </w:p>
    <w:p>
      <w:pPr>
        <w:spacing w:before="42"/>
        <w:ind w:left="100" w:right="0" w:firstLine="0"/>
        <w:jc w:val="left"/>
        <w:rPr>
          <w:b/>
          <w:sz w:val="18"/>
        </w:rPr>
      </w:pPr>
      <w:r>
        <w:rPr>
          <w:b/>
          <w:color w:val="231F20"/>
          <w:sz w:val="18"/>
        </w:rPr>
        <w:t>NET INCOME PER SHARE:</w:t>
      </w:r>
    </w:p>
    <w:p>
      <w:pPr>
        <w:tabs>
          <w:tab w:pos="5664" w:val="left" w:leader="none"/>
          <w:tab w:pos="6219" w:val="left" w:leader="none"/>
          <w:tab w:pos="6864" w:val="left" w:leader="none"/>
          <w:tab w:pos="7419" w:val="left" w:leader="none"/>
          <w:tab w:pos="8379" w:val="right" w:leader="none"/>
        </w:tabs>
        <w:spacing w:before="12"/>
        <w:ind w:left="280" w:right="0" w:firstLine="0"/>
        <w:jc w:val="left"/>
        <w:rPr>
          <w:sz w:val="18"/>
        </w:rPr>
      </w:pPr>
      <w:r>
        <w:rPr/>
        <w:pict>
          <v:group style="position:absolute;margin-left:314.75pt;margin-top:12.504328pt;width:50.5pt;height:2.5pt;mso-position-horizontal-relative:page;mso-position-vertical-relative:paragraph;z-index:5920" coordorigin="6295,250" coordsize="1010,50">
            <v:line style="position:absolute" from="6300,255" to="7300,255" stroked="true" strokeweight=".5pt" strokecolor="#231f20">
              <v:stroke dashstyle="solid"/>
            </v:line>
            <v:line style="position:absolute" from="6300,295" to="7300,295" stroked="true" strokeweight=".5pt" strokecolor="#231f20">
              <v:stroke dashstyle="solid"/>
            </v:line>
            <w10:wrap type="none"/>
          </v:group>
        </w:pict>
      </w:r>
      <w:r>
        <w:rPr/>
        <w:pict>
          <v:group style="position:absolute;margin-left:374.75pt;margin-top:12.504328pt;width:50.5pt;height:2.5pt;mso-position-horizontal-relative:page;mso-position-vertical-relative:paragraph;z-index:5944" coordorigin="7495,250" coordsize="1010,50">
            <v:line style="position:absolute" from="7500,255" to="8500,255" stroked="true" strokeweight=".5pt" strokecolor="#231f20">
              <v:stroke dashstyle="solid"/>
            </v:line>
            <v:line style="position:absolute" from="7500,295" to="8500,295" stroked="true" strokeweight=".5pt" strokecolor="#231f20">
              <v:stroke dashstyle="solid"/>
            </v:line>
            <w10:wrap type="none"/>
          </v:group>
        </w:pict>
      </w:r>
      <w:r>
        <w:rPr/>
        <w:pict>
          <v:group style="position:absolute;margin-left:434.75pt;margin-top:12.504328pt;width:50.5pt;height:2.5pt;mso-position-horizontal-relative:page;mso-position-vertical-relative:paragraph;z-index:5968" coordorigin="8695,250" coordsize="1010,50">
            <v:line style="position:absolute" from="8700,255" to="9700,255" stroked="true" strokeweight=".5pt" strokecolor="#231f20">
              <v:stroke dashstyle="solid"/>
            </v:line>
            <v:line style="position:absolute" from="8700,295" to="9700,295" stroked="true" strokeweight=".5pt" strokecolor="#231f20">
              <v:stroke dashstyle="solid"/>
            </v:line>
            <w10:wrap type="none"/>
          </v:group>
        </w:pict>
      </w:r>
      <w:r>
        <w:rPr>
          <w:color w:val="231F20"/>
          <w:sz w:val="18"/>
        </w:rPr>
        <w:t>Basic . . . . . . . . . . . . . . . . . . . . . . . . . . . . . . . . . . . . . . . . . . . . . .   </w:t>
      </w:r>
      <w:r>
        <w:rPr>
          <w:color w:val="231F20"/>
          <w:spacing w:val="20"/>
          <w:sz w:val="18"/>
        </w:rPr>
        <w:t> </w:t>
      </w:r>
      <w:r>
        <w:rPr>
          <w:color w:val="231F20"/>
          <w:sz w:val="18"/>
        </w:rPr>
        <w:t>$</w:t>
        <w:tab/>
        <w:t>1.06</w:t>
        <w:tab/>
        <w:t>$</w:t>
        <w:tab/>
        <w:t>0.56</w:t>
        <w:tab/>
        <w:t>$</w:t>
        <w:tab/>
        <w:t>0.23</w:t>
      </w:r>
    </w:p>
    <w:p>
      <w:pPr>
        <w:tabs>
          <w:tab w:pos="5664" w:val="left" w:leader="none"/>
          <w:tab w:pos="6219" w:val="left" w:leader="none"/>
          <w:tab w:pos="6864" w:val="left" w:leader="none"/>
          <w:tab w:pos="7419" w:val="left" w:leader="none"/>
          <w:tab w:pos="8379" w:val="right" w:leader="none"/>
        </w:tabs>
        <w:spacing w:before="132"/>
        <w:ind w:left="280" w:right="0" w:firstLine="0"/>
        <w:jc w:val="left"/>
        <w:rPr>
          <w:sz w:val="18"/>
        </w:rPr>
      </w:pPr>
      <w:r>
        <w:rPr/>
        <w:pict>
          <v:group style="position:absolute;margin-left:314.75pt;margin-top:18.502344pt;width:50.5pt;height:2.5pt;mso-position-horizontal-relative:page;mso-position-vertical-relative:paragraph;z-index:5992" coordorigin="6295,370" coordsize="1010,50">
            <v:line style="position:absolute" from="6300,375" to="7300,375" stroked="true" strokeweight=".5pt" strokecolor="#231f20">
              <v:stroke dashstyle="solid"/>
            </v:line>
            <v:line style="position:absolute" from="6300,415" to="7300,415" stroked="true" strokeweight=".5pt" strokecolor="#231f20">
              <v:stroke dashstyle="solid"/>
            </v:line>
            <w10:wrap type="none"/>
          </v:group>
        </w:pict>
      </w:r>
      <w:r>
        <w:rPr/>
        <w:pict>
          <v:group style="position:absolute;margin-left:374.75pt;margin-top:18.502344pt;width:50.5pt;height:2.5pt;mso-position-horizontal-relative:page;mso-position-vertical-relative:paragraph;z-index:6016" coordorigin="7495,370" coordsize="1010,50">
            <v:line style="position:absolute" from="7500,375" to="8500,375" stroked="true" strokeweight=".5pt" strokecolor="#231f20">
              <v:stroke dashstyle="solid"/>
            </v:line>
            <v:line style="position:absolute" from="7500,415" to="8500,415" stroked="true" strokeweight=".5pt" strokecolor="#231f20">
              <v:stroke dashstyle="solid"/>
            </v:line>
            <w10:wrap type="none"/>
          </v:group>
        </w:pict>
      </w:r>
      <w:r>
        <w:rPr/>
        <w:pict>
          <v:group style="position:absolute;margin-left:434.75pt;margin-top:18.502344pt;width:50.5pt;height:2.5pt;mso-position-horizontal-relative:page;mso-position-vertical-relative:paragraph;z-index:6040" coordorigin="8695,370" coordsize="1010,50">
            <v:line style="position:absolute" from="8700,375" to="9700,375" stroked="true" strokeweight=".5pt" strokecolor="#231f20">
              <v:stroke dashstyle="solid"/>
            </v:line>
            <v:line style="position:absolute" from="8700,415" to="9700,415" stroked="true" strokeweight=".5pt" strokecolor="#231f20">
              <v:stroke dashstyle="solid"/>
            </v:line>
            <w10:wrap type="none"/>
          </v:group>
        </w:pict>
      </w:r>
      <w:r>
        <w:rPr>
          <w:color w:val="231F20"/>
          <w:sz w:val="18"/>
        </w:rPr>
        <w:t>Diluted  . . . . . . . . . . . . . . . . . . . . . . . . . . . . . . . . . . . . . . . . . . .</w:t>
      </w:r>
      <w:r>
        <w:rPr>
          <w:color w:val="231F20"/>
          <w:spacing w:val="-6"/>
          <w:sz w:val="18"/>
        </w:rPr>
        <w:t> </w:t>
      </w:r>
      <w:r>
        <w:rPr>
          <w:color w:val="231F20"/>
          <w:sz w:val="18"/>
        </w:rPr>
        <w:t>.   </w:t>
      </w:r>
      <w:r>
        <w:rPr>
          <w:color w:val="231F20"/>
          <w:spacing w:val="20"/>
          <w:sz w:val="18"/>
        </w:rPr>
        <w:t> </w:t>
      </w:r>
      <w:r>
        <w:rPr>
          <w:color w:val="231F20"/>
          <w:sz w:val="18"/>
        </w:rPr>
        <w:t>$</w:t>
        <w:tab/>
        <w:t>1.05</w:t>
        <w:tab/>
        <w:t>$</w:t>
        <w:tab/>
        <w:t>0.56</w:t>
        <w:tab/>
        <w:t>$</w:t>
        <w:tab/>
        <w:t>0.23</w:t>
      </w:r>
    </w:p>
    <w:p>
      <w:pPr>
        <w:spacing w:before="132"/>
        <w:ind w:left="100" w:right="0" w:firstLine="0"/>
        <w:jc w:val="left"/>
        <w:rPr>
          <w:sz w:val="18"/>
        </w:rPr>
      </w:pPr>
      <w:r>
        <w:rPr>
          <w:color w:val="231F20"/>
          <w:sz w:val="18"/>
        </w:rPr>
        <w:t>Potentially dilutive amounts excluded from calculations:</w:t>
      </w:r>
    </w:p>
    <w:p>
      <w:pPr>
        <w:tabs>
          <w:tab w:pos="5889" w:val="left" w:leader="none"/>
          <w:tab w:pos="6999" w:val="left" w:leader="none"/>
          <w:tab w:pos="8379" w:val="right" w:leader="none"/>
        </w:tabs>
        <w:spacing w:before="12"/>
        <w:ind w:left="280" w:right="0" w:firstLine="0"/>
        <w:jc w:val="left"/>
        <w:rPr>
          <w:sz w:val="18"/>
        </w:rPr>
      </w:pPr>
      <w:r>
        <w:rPr>
          <w:color w:val="231F20"/>
          <w:sz w:val="18"/>
        </w:rPr>
        <w:t>Stock options and restricted stock units . . . . . . . . . . . . . . . . .</w:t>
      </w:r>
      <w:r>
        <w:rPr>
          <w:color w:val="231F20"/>
          <w:spacing w:val="4"/>
          <w:sz w:val="18"/>
        </w:rPr>
        <w:t> </w:t>
      </w:r>
      <w:r>
        <w:rPr>
          <w:color w:val="231F20"/>
          <w:sz w:val="18"/>
        </w:rPr>
        <w:t>. .</w:t>
        <w:tab/>
        <w:t>9</w:t>
        <w:tab/>
        <w:t>35</w:t>
        <w:tab/>
        <w:t>48</w:t>
      </w:r>
    </w:p>
    <w:p>
      <w:pPr>
        <w:tabs>
          <w:tab w:pos="5709" w:val="left" w:leader="none"/>
          <w:tab w:pos="6909" w:val="left" w:leader="none"/>
          <w:tab w:pos="8379" w:val="right" w:leader="none"/>
        </w:tabs>
        <w:spacing w:before="12"/>
        <w:ind w:left="280" w:right="0" w:firstLine="0"/>
        <w:jc w:val="left"/>
        <w:rPr>
          <w:sz w:val="18"/>
        </w:rPr>
      </w:pPr>
      <w:r>
        <w:rPr>
          <w:color w:val="231F20"/>
          <w:sz w:val="18"/>
        </w:rPr>
        <w:t>5.25% convertible notes . . . . . . . . . . . . . . . . . . . . . . . . . . . . .</w:t>
      </w:r>
      <w:r>
        <w:rPr>
          <w:color w:val="231F20"/>
          <w:spacing w:val="5"/>
          <w:sz w:val="18"/>
        </w:rPr>
        <w:t> </w:t>
      </w:r>
      <w:r>
        <w:rPr>
          <w:color w:val="231F20"/>
          <w:sz w:val="18"/>
        </w:rPr>
        <w:t>. .</w:t>
        <w:tab/>
        <w:t>—</w:t>
        <w:tab/>
        <w:t>—</w:t>
        <w:tab/>
        <w:t>6</w:t>
      </w:r>
    </w:p>
    <w:p>
      <w:pPr>
        <w:pStyle w:val="BodyText"/>
      </w:pPr>
    </w:p>
    <w:p>
      <w:pPr>
        <w:pStyle w:val="Heading3"/>
        <w:numPr>
          <w:ilvl w:val="0"/>
          <w:numId w:val="13"/>
        </w:numPr>
        <w:tabs>
          <w:tab w:pos="400" w:val="left" w:leader="none"/>
        </w:tabs>
        <w:spacing w:line="240" w:lineRule="auto" w:before="138" w:after="0"/>
        <w:ind w:left="400" w:right="0" w:hanging="300"/>
        <w:jc w:val="left"/>
      </w:pPr>
      <w:r>
        <w:rPr>
          <w:color w:val="231F20"/>
        </w:rPr>
        <w:t>FINANCIAL DERIVATIVE</w:t>
      </w:r>
      <w:r>
        <w:rPr>
          <w:color w:val="231F20"/>
          <w:spacing w:val="-7"/>
        </w:rPr>
        <w:t> </w:t>
      </w:r>
      <w:r>
        <w:rPr>
          <w:color w:val="231F20"/>
        </w:rPr>
        <w:t>INSTRUMENTS</w:t>
      </w:r>
    </w:p>
    <w:p>
      <w:pPr>
        <w:pStyle w:val="Heading4"/>
        <w:spacing w:before="128"/>
        <w:rPr>
          <w:i/>
        </w:rPr>
      </w:pPr>
      <w:r>
        <w:rPr>
          <w:i/>
          <w:color w:val="231F20"/>
        </w:rPr>
        <w:t>Fuel contracts</w:t>
      </w:r>
    </w:p>
    <w:p>
      <w:pPr>
        <w:pStyle w:val="BodyText"/>
        <w:spacing w:line="249" w:lineRule="auto" w:before="128"/>
        <w:ind w:left="100" w:right="180" w:firstLine="490"/>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w:t>
      </w:r>
    </w:p>
    <w:p>
      <w:pPr>
        <w:spacing w:after="0" w:line="249" w:lineRule="auto"/>
        <w:sectPr>
          <w:type w:val="continuous"/>
          <w:pgSz w:w="11880" w:h="15480"/>
          <w:pgMar w:top="1200" w:bottom="280" w:left="1280" w:right="1280"/>
        </w:sectPr>
      </w:pPr>
    </w:p>
    <w:p>
      <w:pPr>
        <w:pStyle w:val="BodyText"/>
        <w:spacing w:line="249" w:lineRule="auto" w:before="73"/>
        <w:ind w:left="160" w:right="166"/>
      </w:pPr>
      <w:r>
        <w:rPr>
          <w:color w:val="231F20"/>
        </w:rPr>
        <w:t>there are limited opportunities to hedge directly in jet fuel for time horizons longer than approximately 6 to 12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 purposes.</w:t>
      </w:r>
    </w:p>
    <w:p>
      <w:pPr>
        <w:pStyle w:val="BodyText"/>
        <w:rPr>
          <w:sz w:val="23"/>
        </w:rPr>
      </w:pPr>
    </w:p>
    <w:p>
      <w:pPr>
        <w:pStyle w:val="BodyText"/>
        <w:spacing w:line="249" w:lineRule="auto"/>
        <w:ind w:left="160" w:right="117"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w:t>
      </w:r>
      <w:r>
        <w:rPr>
          <w:color w:val="231F20"/>
          <w:spacing w:val="2"/>
        </w:rPr>
        <w:t> </w:t>
      </w:r>
      <w:r>
        <w:rPr>
          <w:color w:val="231F20"/>
        </w:rPr>
        <w:t>price.</w:t>
      </w:r>
    </w:p>
    <w:p>
      <w:pPr>
        <w:pStyle w:val="BodyText"/>
        <w:rPr>
          <w:sz w:val="23"/>
        </w:rPr>
      </w:pPr>
    </w:p>
    <w:p>
      <w:pPr>
        <w:pStyle w:val="BodyText"/>
        <w:spacing w:line="249" w:lineRule="auto"/>
        <w:ind w:left="160" w:right="131" w:firstLine="490"/>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hedged for a particular period is also dependent on current market prices for that period 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and may even produce hedging losses depending on market prices, the types of instruments held, and the strike prices of those instruments.</w:t>
      </w:r>
    </w:p>
    <w:p>
      <w:pPr>
        <w:pStyle w:val="BodyText"/>
        <w:rPr>
          <w:sz w:val="23"/>
        </w:rPr>
      </w:pPr>
    </w:p>
    <w:p>
      <w:pPr>
        <w:pStyle w:val="BodyText"/>
        <w:spacing w:line="249" w:lineRule="auto"/>
        <w:ind w:left="160" w:right="206" w:firstLine="490"/>
      </w:pPr>
      <w:r>
        <w:rPr>
          <w:color w:val="231F20"/>
        </w:rPr>
        <w:t>For 2013, the Company had fuel derivative instruments in place for 51 percent of its fuel consumption. As of December 31, 2013, the Company also had fuel derivative instruments in place to provide coverage for 43 percent of its 2014 estimated fuel consumption, depending on where market prices settle. The following table provides information about the Company’s volume of fuel hedging for the years 2014 through 2017 on an “economic” basis considering current market prices:</w:t>
      </w:r>
    </w:p>
    <w:p>
      <w:pPr>
        <w:pStyle w:val="BodyText"/>
        <w:spacing w:before="7"/>
        <w:rPr>
          <w:sz w:val="11"/>
        </w:rPr>
      </w:pPr>
    </w:p>
    <w:p>
      <w:pPr>
        <w:spacing w:after="0"/>
        <w:rPr>
          <w:sz w:val="11"/>
        </w:rPr>
        <w:sectPr>
          <w:pgSz w:w="11880" w:h="15480"/>
          <w:pgMar w:header="0" w:footer="1253" w:top="1240" w:bottom="1440" w:left="1220" w:right="1280"/>
        </w:sectPr>
      </w:pPr>
    </w:p>
    <w:p>
      <w:pPr>
        <w:pStyle w:val="BodyText"/>
        <w:rPr>
          <w:sz w:val="22"/>
        </w:rPr>
      </w:pPr>
    </w:p>
    <w:p>
      <w:pPr>
        <w:pStyle w:val="BodyText"/>
        <w:spacing w:before="8"/>
      </w:pPr>
    </w:p>
    <w:p>
      <w:pPr>
        <w:pStyle w:val="Heading3"/>
        <w:ind w:left="160"/>
      </w:pPr>
      <w:r>
        <w:rPr>
          <w:color w:val="231F20"/>
        </w:rPr>
        <w:t>Period (by year)</w:t>
      </w:r>
    </w:p>
    <w:p>
      <w:pPr>
        <w:spacing w:line="200" w:lineRule="exact" w:before="118"/>
        <w:ind w:left="159" w:right="0" w:firstLine="2"/>
        <w:jc w:val="center"/>
        <w:rPr>
          <w:b/>
          <w:sz w:val="20"/>
        </w:rPr>
      </w:pPr>
      <w:r>
        <w:rPr/>
        <w:br w:type="column"/>
      </w:r>
      <w:r>
        <w:rPr>
          <w:b/>
          <w:color w:val="231F20"/>
          <w:sz w:val="20"/>
        </w:rPr>
        <w:t>Fuel hedged as of December 31, 2013 (gallons in millions)(a)</w:t>
      </w:r>
    </w:p>
    <w:p>
      <w:pPr>
        <w:spacing w:line="200" w:lineRule="exact" w:before="118"/>
        <w:ind w:left="503" w:right="1121" w:hanging="250"/>
        <w:jc w:val="left"/>
        <w:rPr>
          <w:b/>
          <w:sz w:val="20"/>
        </w:rPr>
      </w:pPr>
      <w:r>
        <w:rPr/>
        <w:br w:type="column"/>
      </w:r>
      <w:r>
        <w:rPr>
          <w:b/>
          <w:color w:val="231F20"/>
          <w:sz w:val="20"/>
        </w:rPr>
        <w:t>Derivative underlying commodity type</w:t>
      </w:r>
    </w:p>
    <w:p>
      <w:pPr>
        <w:spacing w:line="203" w:lineRule="exact" w:before="0"/>
        <w:ind w:left="160" w:right="0" w:firstLine="0"/>
        <w:jc w:val="left"/>
        <w:rPr>
          <w:b/>
          <w:sz w:val="20"/>
        </w:rPr>
      </w:pPr>
      <w:r>
        <w:rPr>
          <w:b/>
          <w:color w:val="231F20"/>
          <w:sz w:val="20"/>
        </w:rPr>
        <w:t>as of December 31, 2013</w:t>
      </w:r>
    </w:p>
    <w:p>
      <w:pPr>
        <w:spacing w:after="0" w:line="203" w:lineRule="exact"/>
        <w:jc w:val="left"/>
        <w:rPr>
          <w:sz w:val="20"/>
        </w:rPr>
        <w:sectPr>
          <w:type w:val="continuous"/>
          <w:pgSz w:w="11880" w:h="15480"/>
          <w:pgMar w:top="1200" w:bottom="280" w:left="1220" w:right="1280"/>
          <w:cols w:num="3" w:equalWidth="0">
            <w:col w:w="1550" w:space="1902"/>
            <w:col w:w="2073" w:space="588"/>
            <w:col w:w="3267"/>
          </w:cols>
        </w:sectPr>
      </w:pPr>
    </w:p>
    <w:p>
      <w:pPr>
        <w:pStyle w:val="BodyText"/>
        <w:spacing w:before="3"/>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1"/>
        <w:gridCol w:w="2951"/>
        <w:gridCol w:w="50"/>
        <w:gridCol w:w="1996"/>
        <w:gridCol w:w="81"/>
        <w:gridCol w:w="3281"/>
      </w:tblGrid>
      <w:tr>
        <w:trPr>
          <w:trHeight w:val="304" w:hRule="exact"/>
        </w:trPr>
        <w:tc>
          <w:tcPr>
            <w:tcW w:w="501" w:type="dxa"/>
            <w:tcBorders>
              <w:top w:val="single" w:sz="8" w:space="0" w:color="231F20"/>
            </w:tcBorders>
          </w:tcPr>
          <w:p>
            <w:pPr>
              <w:pStyle w:val="TableParagraph"/>
              <w:spacing w:before="53"/>
              <w:ind w:left="50"/>
              <w:jc w:val="left"/>
              <w:rPr>
                <w:sz w:val="20"/>
              </w:rPr>
            </w:pPr>
            <w:r>
              <w:rPr>
                <w:color w:val="231F20"/>
                <w:sz w:val="20"/>
              </w:rPr>
              <w:t>2014</w:t>
            </w:r>
          </w:p>
        </w:tc>
        <w:tc>
          <w:tcPr>
            <w:tcW w:w="2951" w:type="dxa"/>
            <w:tcBorders>
              <w:top w:val="single" w:sz="8" w:space="0" w:color="231F20"/>
            </w:tcBorders>
          </w:tcPr>
          <w:p>
            <w:pPr>
              <w:pStyle w:val="TableParagraph"/>
              <w:spacing w:before="53"/>
              <w:rPr>
                <w:sz w:val="20"/>
              </w:rPr>
            </w:pPr>
            <w:r>
              <w:rPr>
                <w:color w:val="231F20"/>
                <w:sz w:val="20"/>
              </w:rPr>
              <w:t>. . . . . . . . . . . . . . . . . . . . . . . . . . . . . </w:t>
            </w:r>
          </w:p>
        </w:tc>
        <w:tc>
          <w:tcPr>
            <w:tcW w:w="50" w:type="dxa"/>
          </w:tcPr>
          <w:p>
            <w:pPr/>
          </w:p>
        </w:tc>
        <w:tc>
          <w:tcPr>
            <w:tcW w:w="1996" w:type="dxa"/>
            <w:tcBorders>
              <w:top w:val="single" w:sz="8" w:space="0" w:color="231F20"/>
            </w:tcBorders>
          </w:tcPr>
          <w:p>
            <w:pPr>
              <w:pStyle w:val="TableParagraph"/>
              <w:spacing w:before="53"/>
              <w:ind w:right="78"/>
              <w:rPr>
                <w:sz w:val="20"/>
              </w:rPr>
            </w:pPr>
            <w:r>
              <w:rPr>
                <w:color w:val="231F20"/>
                <w:sz w:val="20"/>
              </w:rPr>
              <w:t>764</w:t>
            </w:r>
          </w:p>
        </w:tc>
        <w:tc>
          <w:tcPr>
            <w:tcW w:w="81" w:type="dxa"/>
          </w:tcPr>
          <w:p>
            <w:pPr/>
          </w:p>
        </w:tc>
        <w:tc>
          <w:tcPr>
            <w:tcW w:w="3281" w:type="dxa"/>
            <w:tcBorders>
              <w:top w:val="single" w:sz="8" w:space="0" w:color="231F20"/>
            </w:tcBorders>
          </w:tcPr>
          <w:p>
            <w:pPr>
              <w:pStyle w:val="TableParagraph"/>
              <w:spacing w:before="53"/>
              <w:ind w:right="48"/>
              <w:jc w:val="center"/>
              <w:rPr>
                <w:sz w:val="20"/>
              </w:rPr>
            </w:pPr>
            <w:r>
              <w:rPr>
                <w:color w:val="231F20"/>
                <w:sz w:val="20"/>
              </w:rPr>
              <w:t>WTI crude, Brent crude oil, GC Jet Fuel</w:t>
            </w:r>
          </w:p>
        </w:tc>
      </w:tr>
      <w:tr>
        <w:trPr>
          <w:trHeight w:val="240" w:hRule="exact"/>
        </w:trPr>
        <w:tc>
          <w:tcPr>
            <w:tcW w:w="501" w:type="dxa"/>
          </w:tcPr>
          <w:p>
            <w:pPr>
              <w:pStyle w:val="TableParagraph"/>
              <w:spacing w:line="229" w:lineRule="exact"/>
              <w:ind w:left="50"/>
              <w:jc w:val="left"/>
              <w:rPr>
                <w:sz w:val="20"/>
              </w:rPr>
            </w:pPr>
            <w:r>
              <w:rPr>
                <w:color w:val="231F20"/>
                <w:sz w:val="20"/>
              </w:rPr>
              <w:t>2015</w:t>
            </w:r>
          </w:p>
        </w:tc>
        <w:tc>
          <w:tcPr>
            <w:tcW w:w="2951" w:type="dxa"/>
          </w:tcPr>
          <w:p>
            <w:pPr>
              <w:pStyle w:val="TableParagraph"/>
              <w:spacing w:line="229" w:lineRule="exact"/>
              <w:rPr>
                <w:sz w:val="20"/>
              </w:rPr>
            </w:pPr>
            <w:r>
              <w:rPr>
                <w:color w:val="231F20"/>
                <w:sz w:val="20"/>
              </w:rPr>
              <w:t>. . . . . . . . . . . . . . . . . . . . . . . . . . . . . </w:t>
            </w:r>
          </w:p>
        </w:tc>
        <w:tc>
          <w:tcPr>
            <w:tcW w:w="50" w:type="dxa"/>
          </w:tcPr>
          <w:p>
            <w:pPr/>
          </w:p>
        </w:tc>
        <w:tc>
          <w:tcPr>
            <w:tcW w:w="1996" w:type="dxa"/>
          </w:tcPr>
          <w:p>
            <w:pPr>
              <w:pStyle w:val="TableParagraph"/>
              <w:spacing w:line="229" w:lineRule="exact"/>
              <w:ind w:right="78"/>
              <w:rPr>
                <w:sz w:val="20"/>
              </w:rPr>
            </w:pPr>
            <w:r>
              <w:rPr>
                <w:color w:val="231F20"/>
                <w:sz w:val="20"/>
              </w:rPr>
              <w:t>1,156</w:t>
            </w:r>
          </w:p>
        </w:tc>
        <w:tc>
          <w:tcPr>
            <w:tcW w:w="81" w:type="dxa"/>
          </w:tcPr>
          <w:p>
            <w:pPr/>
          </w:p>
        </w:tc>
        <w:tc>
          <w:tcPr>
            <w:tcW w:w="3281" w:type="dxa"/>
          </w:tcPr>
          <w:p>
            <w:pPr>
              <w:pStyle w:val="TableParagraph"/>
              <w:spacing w:line="229" w:lineRule="exact"/>
              <w:ind w:right="49"/>
              <w:jc w:val="center"/>
              <w:rPr>
                <w:sz w:val="20"/>
              </w:rPr>
            </w:pPr>
            <w:r>
              <w:rPr>
                <w:color w:val="231F20"/>
                <w:sz w:val="20"/>
              </w:rPr>
              <w:t>WTI crude and Brent crude oil</w:t>
            </w:r>
          </w:p>
        </w:tc>
      </w:tr>
      <w:tr>
        <w:trPr>
          <w:trHeight w:val="240" w:hRule="exact"/>
        </w:trPr>
        <w:tc>
          <w:tcPr>
            <w:tcW w:w="501" w:type="dxa"/>
          </w:tcPr>
          <w:p>
            <w:pPr>
              <w:pStyle w:val="TableParagraph"/>
              <w:spacing w:line="229" w:lineRule="exact"/>
              <w:ind w:left="50"/>
              <w:jc w:val="left"/>
              <w:rPr>
                <w:sz w:val="20"/>
              </w:rPr>
            </w:pPr>
            <w:r>
              <w:rPr>
                <w:color w:val="231F20"/>
                <w:sz w:val="20"/>
              </w:rPr>
              <w:t>2016</w:t>
            </w:r>
          </w:p>
        </w:tc>
        <w:tc>
          <w:tcPr>
            <w:tcW w:w="2951" w:type="dxa"/>
          </w:tcPr>
          <w:p>
            <w:pPr>
              <w:pStyle w:val="TableParagraph"/>
              <w:spacing w:line="229" w:lineRule="exact"/>
              <w:rPr>
                <w:sz w:val="20"/>
              </w:rPr>
            </w:pPr>
            <w:r>
              <w:rPr>
                <w:color w:val="231F20"/>
                <w:sz w:val="20"/>
              </w:rPr>
              <w:t>. . . . . . . . . . . . . . . . . . . . . . . . . . . . . </w:t>
            </w:r>
          </w:p>
        </w:tc>
        <w:tc>
          <w:tcPr>
            <w:tcW w:w="50" w:type="dxa"/>
          </w:tcPr>
          <w:p>
            <w:pPr/>
          </w:p>
        </w:tc>
        <w:tc>
          <w:tcPr>
            <w:tcW w:w="1996" w:type="dxa"/>
          </w:tcPr>
          <w:p>
            <w:pPr>
              <w:pStyle w:val="TableParagraph"/>
              <w:spacing w:line="229" w:lineRule="exact"/>
              <w:ind w:right="78"/>
              <w:rPr>
                <w:sz w:val="20"/>
              </w:rPr>
            </w:pPr>
            <w:r>
              <w:rPr>
                <w:color w:val="231F20"/>
                <w:sz w:val="20"/>
              </w:rPr>
              <w:t>977</w:t>
            </w:r>
          </w:p>
        </w:tc>
        <w:tc>
          <w:tcPr>
            <w:tcW w:w="81" w:type="dxa"/>
          </w:tcPr>
          <w:p>
            <w:pPr/>
          </w:p>
        </w:tc>
        <w:tc>
          <w:tcPr>
            <w:tcW w:w="3281" w:type="dxa"/>
          </w:tcPr>
          <w:p>
            <w:pPr>
              <w:pStyle w:val="TableParagraph"/>
              <w:spacing w:line="229" w:lineRule="exact"/>
              <w:ind w:right="49"/>
              <w:jc w:val="center"/>
              <w:rPr>
                <w:sz w:val="20"/>
              </w:rPr>
            </w:pPr>
            <w:r>
              <w:rPr>
                <w:color w:val="231F20"/>
                <w:sz w:val="20"/>
              </w:rPr>
              <w:t>Brent crude oil</w:t>
            </w:r>
          </w:p>
        </w:tc>
      </w:tr>
      <w:tr>
        <w:trPr>
          <w:trHeight w:val="341" w:hRule="exact"/>
        </w:trPr>
        <w:tc>
          <w:tcPr>
            <w:tcW w:w="501" w:type="dxa"/>
            <w:tcBorders>
              <w:bottom w:val="single" w:sz="4" w:space="0" w:color="231F20"/>
            </w:tcBorders>
          </w:tcPr>
          <w:p>
            <w:pPr>
              <w:pStyle w:val="TableParagraph"/>
              <w:spacing w:line="229" w:lineRule="exact"/>
              <w:ind w:left="50"/>
              <w:jc w:val="left"/>
              <w:rPr>
                <w:sz w:val="20"/>
              </w:rPr>
            </w:pPr>
            <w:r>
              <w:rPr>
                <w:color w:val="231F20"/>
                <w:sz w:val="20"/>
              </w:rPr>
              <w:t>2017</w:t>
            </w:r>
          </w:p>
        </w:tc>
        <w:tc>
          <w:tcPr>
            <w:tcW w:w="2951" w:type="dxa"/>
          </w:tcPr>
          <w:p>
            <w:pPr>
              <w:pStyle w:val="TableParagraph"/>
              <w:spacing w:line="229" w:lineRule="exact"/>
              <w:rPr>
                <w:sz w:val="20"/>
              </w:rPr>
            </w:pPr>
            <w:r>
              <w:rPr>
                <w:color w:val="231F20"/>
                <w:sz w:val="20"/>
              </w:rPr>
              <w:t>. . . . . . . . . . . . . . . . . . . . . . . . . . . . . </w:t>
            </w:r>
          </w:p>
        </w:tc>
        <w:tc>
          <w:tcPr>
            <w:tcW w:w="50" w:type="dxa"/>
          </w:tcPr>
          <w:p>
            <w:pPr/>
          </w:p>
        </w:tc>
        <w:tc>
          <w:tcPr>
            <w:tcW w:w="1996" w:type="dxa"/>
          </w:tcPr>
          <w:p>
            <w:pPr>
              <w:pStyle w:val="TableParagraph"/>
              <w:spacing w:line="229" w:lineRule="exact"/>
              <w:ind w:right="78"/>
              <w:rPr>
                <w:sz w:val="20"/>
              </w:rPr>
            </w:pPr>
            <w:r>
              <w:rPr>
                <w:color w:val="231F20"/>
                <w:sz w:val="20"/>
              </w:rPr>
              <w:t>933</w:t>
            </w:r>
          </w:p>
        </w:tc>
        <w:tc>
          <w:tcPr>
            <w:tcW w:w="81" w:type="dxa"/>
          </w:tcPr>
          <w:p>
            <w:pPr/>
          </w:p>
        </w:tc>
        <w:tc>
          <w:tcPr>
            <w:tcW w:w="3281" w:type="dxa"/>
          </w:tcPr>
          <w:p>
            <w:pPr>
              <w:pStyle w:val="TableParagraph"/>
              <w:spacing w:line="229" w:lineRule="exact"/>
              <w:ind w:right="49"/>
              <w:jc w:val="center"/>
              <w:rPr>
                <w:sz w:val="20"/>
              </w:rPr>
            </w:pPr>
            <w:r>
              <w:rPr>
                <w:color w:val="231F20"/>
                <w:sz w:val="20"/>
              </w:rPr>
              <w:t>WTI crude and Brent crude oil</w:t>
            </w:r>
          </w:p>
        </w:tc>
      </w:tr>
    </w:tbl>
    <w:p>
      <w:pPr>
        <w:pStyle w:val="BodyText"/>
        <w:spacing w:line="249" w:lineRule="auto" w:before="48"/>
        <w:ind w:left="560" w:right="166" w:hanging="400"/>
      </w:pPr>
      <w:r>
        <w:rPr>
          <w:color w:val="231F20"/>
        </w:rPr>
        <w:t>(a) The Company determines gallons hedged based on market prices and forward curves as of December 31, 2013. Due to the types of derivatives utilized by the Company, these volumes may vary significantly as market prices fluctuate.</w:t>
      </w:r>
    </w:p>
    <w:p>
      <w:pPr>
        <w:pStyle w:val="BodyText"/>
        <w:spacing w:before="11"/>
        <w:rPr>
          <w:sz w:val="22"/>
        </w:rPr>
      </w:pPr>
    </w:p>
    <w:p>
      <w:pPr>
        <w:pStyle w:val="BodyText"/>
        <w:spacing w:line="249" w:lineRule="auto"/>
        <w:ind w:left="160" w:right="259" w:firstLine="490"/>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w:t>
      </w:r>
    </w:p>
    <w:p>
      <w:pPr>
        <w:spacing w:after="0" w:line="249" w:lineRule="auto"/>
        <w:sectPr>
          <w:type w:val="continuous"/>
          <w:pgSz w:w="11880" w:h="15480"/>
          <w:pgMar w:top="1200" w:bottom="280" w:left="1220" w:right="1280"/>
        </w:sectPr>
      </w:pPr>
    </w:p>
    <w:p>
      <w:pPr>
        <w:pStyle w:val="BodyText"/>
        <w:spacing w:line="249" w:lineRule="auto" w:before="73"/>
        <w:ind w:left="100" w:right="103"/>
      </w:pPr>
      <w:r>
        <w:rPr>
          <w:color w:val="231F20"/>
        </w:rPr>
        <w:t>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are concurrently marked to market through earnings. However, any changes in value related to hedges 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2011, 2012, or during the year ended December 31, 2013.</w:t>
      </w:r>
    </w:p>
    <w:p>
      <w:pPr>
        <w:pStyle w:val="BodyText"/>
        <w:spacing w:before="10"/>
      </w:pPr>
    </w:p>
    <w:p>
      <w:pPr>
        <w:pStyle w:val="BodyText"/>
        <w:spacing w:line="249" w:lineRule="auto" w:before="1"/>
        <w:ind w:left="100" w:right="129" w:firstLine="490"/>
      </w:pPr>
      <w:r>
        <w:rPr>
          <w:color w:val="231F20"/>
        </w:rPr>
        <w:t>In some situations, an entire commodity type used in hedging may cease to qualify for special hedge accounting treatment. As an example, during 2013, the Company’s routine statistical analysis performed to determine which commodities qualify for special hedge accounting treatment on a prospective basis dictated that WTI crude oil based derivatives no longer qualify for hedge accounting. This is primarily due to the fact that the correlation between WTI crude oil prices and jet fuel prices during recent periods has not been as strong as in the past, and therefore the Company can no longer demonstrate that derivatives based on WTI crude oil prices will result in effective hedges on a prospective basis. As such, the change in fair value of all of the Company’s derivatives based in WTI have been recorded to Other (gains) losses for the second half of 2013, and all future changes in the fair value of such instruments will continue to be recorded directly to earnings in future periods. The change in fair value of the Company’s WTI derivative contracts during the second half of 2013 was an increase of $15 million, which resulted in a gain in the Consolidated Statement of Income. Any amounts previously recorded to AOCI will remain there until such time as the original forecasted transaction occurs in accordance with hedge accounting requirements. The Company will continue to evaluate whether it can qualify for hedge accounting for WTI derivative contracts in future periods.</w:t>
      </w:r>
    </w:p>
    <w:p>
      <w:pPr>
        <w:pStyle w:val="BodyText"/>
        <w:spacing w:before="11"/>
      </w:pPr>
    </w:p>
    <w:p>
      <w:pPr>
        <w:pStyle w:val="BodyText"/>
        <w:spacing w:line="249" w:lineRule="auto"/>
        <w:ind w:left="100" w:right="112" w:firstLine="490"/>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5"/>
        </w:rPr>
        <w:t> </w:t>
      </w:r>
      <w:r>
        <w:rPr>
          <w:color w:val="231F20"/>
        </w:rPr>
        <w:t>costs.</w:t>
      </w:r>
    </w:p>
    <w:p>
      <w:pPr>
        <w:pStyle w:val="BodyText"/>
        <w:spacing w:before="10"/>
      </w:pPr>
    </w:p>
    <w:p>
      <w:pPr>
        <w:pStyle w:val="BodyText"/>
        <w:spacing w:line="249" w:lineRule="auto" w:before="1"/>
        <w:ind w:left="100" w:right="162" w:firstLine="490"/>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 purposes.</w:t>
      </w:r>
    </w:p>
    <w:p>
      <w:pPr>
        <w:spacing w:after="0" w:line="249" w:lineRule="auto"/>
        <w:sectPr>
          <w:footerReference w:type="default" r:id="rId37"/>
          <w:pgSz w:w="11880" w:h="15480"/>
          <w:pgMar w:footer="1253" w:header="0" w:top="1240" w:bottom="1440" w:left="1280" w:right="1280"/>
        </w:sectPr>
      </w:pPr>
    </w:p>
    <w:p>
      <w:pPr>
        <w:pStyle w:val="BodyText"/>
        <w:spacing w:line="249" w:lineRule="auto" w:before="73"/>
        <w:ind w:left="160" w:firstLine="490"/>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Heading3"/>
        <w:tabs>
          <w:tab w:pos="7477" w:val="left" w:leader="none"/>
        </w:tabs>
        <w:spacing w:line="280" w:lineRule="atLeast" w:before="106"/>
        <w:ind w:left="5471" w:right="178" w:firstLine="202"/>
      </w:pPr>
      <w:r>
        <w:rPr/>
        <w:pict>
          <v:group style="position:absolute;margin-left:333.100006pt;margin-top:20.136913pt;width:192.4pt;height:1pt;mso-position-horizontal-relative:page;mso-position-vertical-relative:paragraph;z-index:-330736" coordorigin="6662,403" coordsize="3848,20">
            <v:line style="position:absolute" from="6672,413" to="8556,413" stroked="true" strokeweight="1pt" strokecolor="#231f20">
              <v:stroke dashstyle="solid"/>
            </v:line>
            <v:line style="position:absolute" from="8616,413" to="10500,413" stroked="true" strokeweight="1pt" strokecolor="#231f20">
              <v:stroke dashstyle="solid"/>
            </v:line>
            <w10:wrap type="none"/>
          </v:group>
        </w:pict>
      </w:r>
      <w:r>
        <w:rPr>
          <w:color w:val="231F20"/>
        </w:rPr>
        <w:t>Asset derivatives</w:t>
        <w:tab/>
        <w:t>Liability</w:t>
      </w:r>
      <w:r>
        <w:rPr>
          <w:color w:val="231F20"/>
          <w:spacing w:val="1"/>
        </w:rPr>
        <w:t> </w:t>
      </w:r>
      <w:r>
        <w:rPr>
          <w:color w:val="231F20"/>
        </w:rPr>
        <w:t>derivatives</w:t>
      </w:r>
      <w:r>
        <w:rPr>
          <w:color w:val="231F20"/>
          <w:w w:val="100"/>
        </w:rPr>
        <w:t> </w:t>
      </w:r>
      <w:r>
        <w:rPr>
          <w:color w:val="231F20"/>
        </w:rPr>
        <w:t>Fair value  Fair value  Fair value  Fair</w:t>
      </w:r>
      <w:r>
        <w:rPr>
          <w:color w:val="231F20"/>
          <w:spacing w:val="-3"/>
        </w:rPr>
        <w:t> </w:t>
      </w:r>
      <w:r>
        <w:rPr>
          <w:color w:val="231F20"/>
        </w:rPr>
        <w:t>value</w:t>
      </w:r>
    </w:p>
    <w:p>
      <w:pPr>
        <w:spacing w:after="0" w:line="280" w:lineRule="atLeast"/>
        <w:sectPr>
          <w:footerReference w:type="default" r:id="rId38"/>
          <w:pgSz w:w="11880" w:h="15480"/>
          <w:pgMar w:footer="1253" w:header="0" w:top="1240" w:bottom="1440" w:left="1220" w:right="1220"/>
          <w:pgNumType w:start="101"/>
        </w:sectPr>
      </w:pPr>
    </w:p>
    <w:p>
      <w:pPr>
        <w:spacing w:line="179" w:lineRule="exact" w:before="0"/>
        <w:ind w:left="0" w:right="0" w:firstLine="0"/>
        <w:jc w:val="right"/>
        <w:rPr>
          <w:b/>
          <w:sz w:val="20"/>
        </w:rPr>
      </w:pPr>
      <w:r>
        <w:rPr>
          <w:b/>
          <w:color w:val="231F20"/>
          <w:sz w:val="20"/>
        </w:rPr>
        <w:t>Balance Sheet</w:t>
      </w:r>
    </w:p>
    <w:p>
      <w:pPr>
        <w:tabs>
          <w:tab w:pos="1897" w:val="left" w:leader="none"/>
        </w:tabs>
        <w:spacing w:line="179" w:lineRule="exact" w:before="0"/>
        <w:ind w:left="925" w:right="0" w:firstLine="0"/>
        <w:jc w:val="left"/>
        <w:rPr>
          <w:b/>
          <w:sz w:val="20"/>
        </w:rPr>
      </w:pPr>
      <w:r>
        <w:rPr/>
        <w:br w:type="column"/>
      </w:r>
      <w:r>
        <w:rPr>
          <w:b/>
          <w:color w:val="231F20"/>
          <w:sz w:val="20"/>
        </w:rPr>
        <w:t>at</w:t>
        <w:tab/>
        <w:t>at</w:t>
      </w:r>
    </w:p>
    <w:p>
      <w:pPr>
        <w:tabs>
          <w:tab w:pos="1737" w:val="left" w:leader="none"/>
        </w:tabs>
        <w:spacing w:line="179" w:lineRule="exact" w:before="0"/>
        <w:ind w:left="765" w:right="0" w:firstLine="0"/>
        <w:jc w:val="left"/>
        <w:rPr>
          <w:b/>
          <w:sz w:val="20"/>
        </w:rPr>
      </w:pPr>
      <w:r>
        <w:rPr/>
        <w:br w:type="column"/>
      </w:r>
      <w:r>
        <w:rPr>
          <w:b/>
          <w:color w:val="231F20"/>
          <w:sz w:val="20"/>
        </w:rPr>
        <w:t>at</w:t>
        <w:tab/>
        <w:t>at</w:t>
      </w:r>
    </w:p>
    <w:p>
      <w:pPr>
        <w:spacing w:after="0" w:line="179" w:lineRule="exact"/>
        <w:jc w:val="left"/>
        <w:rPr>
          <w:sz w:val="20"/>
        </w:rPr>
        <w:sectPr>
          <w:type w:val="continuous"/>
          <w:pgSz w:w="11880" w:h="15480"/>
          <w:pgMar w:top="1200" w:bottom="280" w:left="1220" w:right="1220"/>
          <w:cols w:num="3" w:equalWidth="0">
            <w:col w:w="4859" w:space="40"/>
            <w:col w:w="2064" w:space="40"/>
            <w:col w:w="2437"/>
          </w:cols>
        </w:sectPr>
      </w:pPr>
    </w:p>
    <w:p>
      <w:pPr>
        <w:spacing w:line="221" w:lineRule="exact" w:before="0"/>
        <w:ind w:left="160" w:right="0" w:firstLine="0"/>
        <w:jc w:val="left"/>
        <w:rPr>
          <w:b/>
          <w:sz w:val="20"/>
        </w:rPr>
      </w:pPr>
      <w:r>
        <w:rPr/>
        <w:pict>
          <v:group style="position:absolute;margin-left:68.5pt;margin-top:11.89pt;width:457pt;height:1pt;mso-position-horizontal-relative:page;mso-position-vertical-relative:paragraph;z-index:6088" coordorigin="1370,238" coordsize="9140,20">
            <v:line style="position:absolute" from="4292,248" to="6592,248" stroked="true" strokeweight="1pt" strokecolor="#231f20">
              <v:stroke dashstyle="solid"/>
            </v:line>
            <v:line style="position:absolute" from="1380,248" to="4292,248" stroked="true" strokeweight="1pt" strokecolor="#231f20">
              <v:stroke dashstyle="solid"/>
            </v:line>
            <v:line style="position:absolute" from="6672,248" to="7584,248" stroked="true" strokeweight="1pt" strokecolor="#231f20">
              <v:stroke dashstyle="solid"/>
            </v:line>
            <v:line style="position:absolute" from="7644,248" to="8556,248" stroked="true" strokeweight="1pt" strokecolor="#231f20">
              <v:stroke dashstyle="solid"/>
            </v:line>
            <v:line style="position:absolute" from="8616,248" to="9528,248" stroked="true" strokeweight="1pt" strokecolor="#231f20">
              <v:stroke dashstyle="solid"/>
            </v:line>
            <v:line style="position:absolute" from="9588,248" to="10500,248" stroked="true" strokeweight="1pt" strokecolor="#231f20">
              <v:stroke dashstyle="solid"/>
            </v:line>
            <w10:wrap type="none"/>
          </v:group>
        </w:pict>
      </w:r>
      <w:r>
        <w:rPr>
          <w:b/>
          <w:color w:val="231F20"/>
          <w:sz w:val="20"/>
        </w:rPr>
        <w:t>(in millions)</w:t>
      </w:r>
    </w:p>
    <w:p>
      <w:pPr>
        <w:spacing w:before="90"/>
        <w:ind w:left="160" w:right="0" w:firstLine="0"/>
        <w:jc w:val="left"/>
        <w:rPr>
          <w:b/>
          <w:sz w:val="20"/>
        </w:rPr>
      </w:pPr>
      <w:r>
        <w:rPr>
          <w:b/>
          <w:color w:val="231F20"/>
          <w:sz w:val="20"/>
        </w:rPr>
        <w:t>Derivatives designated as hedges*</w:t>
      </w:r>
    </w:p>
    <w:p>
      <w:pPr>
        <w:spacing w:line="221" w:lineRule="exact" w:before="0"/>
        <w:ind w:left="160" w:right="0" w:firstLine="0"/>
        <w:jc w:val="left"/>
        <w:rPr>
          <w:b/>
          <w:sz w:val="20"/>
        </w:rPr>
      </w:pPr>
      <w:r>
        <w:rPr/>
        <w:br w:type="column"/>
      </w:r>
      <w:r>
        <w:rPr>
          <w:b/>
          <w:color w:val="231F20"/>
          <w:sz w:val="20"/>
        </w:rPr>
        <w:t>location</w:t>
      </w:r>
    </w:p>
    <w:p>
      <w:pPr>
        <w:spacing w:line="221" w:lineRule="exact" w:before="0"/>
        <w:ind w:left="160" w:right="0" w:firstLine="0"/>
        <w:jc w:val="left"/>
        <w:rPr>
          <w:b/>
          <w:sz w:val="20"/>
        </w:rPr>
      </w:pPr>
      <w:r>
        <w:rPr/>
        <w:br w:type="column"/>
      </w:r>
      <w:r>
        <w:rPr>
          <w:b/>
          <w:color w:val="231F20"/>
          <w:sz w:val="20"/>
        </w:rPr>
        <w:t>12/31/2013 12/31/2012 12/31/2013 12/31/2012</w:t>
      </w:r>
    </w:p>
    <w:p>
      <w:pPr>
        <w:spacing w:after="0" w:line="221" w:lineRule="exact"/>
        <w:jc w:val="left"/>
        <w:rPr>
          <w:sz w:val="20"/>
        </w:rPr>
        <w:sectPr>
          <w:type w:val="continuous"/>
          <w:pgSz w:w="11880" w:h="15480"/>
          <w:pgMar w:top="1200" w:bottom="280" w:left="1220" w:right="1220"/>
          <w:cols w:num="3" w:equalWidth="0">
            <w:col w:w="3046" w:space="716"/>
            <w:col w:w="838" w:space="692"/>
            <w:col w:w="4148"/>
          </w:cols>
        </w:sectPr>
      </w:pPr>
    </w:p>
    <w:p>
      <w:pPr>
        <w:pStyle w:val="BodyText"/>
        <w:spacing w:before="10"/>
        <w:ind w:left="160"/>
      </w:pPr>
      <w:r>
        <w:rPr>
          <w:color w:val="231F20"/>
        </w:rPr>
        <w:t>Fuel derivative contracts (gross) . . .  Prepaid expenses and other</w:t>
      </w:r>
    </w:p>
    <w:p>
      <w:pPr>
        <w:pStyle w:val="BodyText"/>
        <w:spacing w:before="10"/>
        <w:ind w:left="3152"/>
      </w:pPr>
      <w:r>
        <w:rPr>
          <w:color w:val="231F20"/>
        </w:rPr>
        <w:t>current assets</w:t>
      </w:r>
    </w:p>
    <w:p>
      <w:pPr>
        <w:pStyle w:val="BodyText"/>
        <w:tabs>
          <w:tab w:pos="786" w:val="left" w:leader="none"/>
          <w:tab w:pos="1658" w:val="left" w:leader="none"/>
          <w:tab w:pos="2630" w:val="left" w:leader="none"/>
          <w:tab w:pos="3602" w:val="left" w:leader="none"/>
        </w:tabs>
        <w:spacing w:before="10"/>
        <w:ind w:left="74"/>
      </w:pPr>
      <w:r>
        <w:rPr/>
        <w:br w:type="column"/>
      </w:r>
      <w:r>
        <w:rPr>
          <w:color w:val="231F20"/>
        </w:rPr>
        <w:t>$</w:t>
        <w:tab/>
        <w:t>74</w:t>
      </w:r>
      <w:r>
        <w:rPr>
          <w:color w:val="231F20"/>
          <w:spacing w:val="10"/>
        </w:rPr>
        <w:t> </w:t>
      </w:r>
      <w:r>
        <w:rPr>
          <w:color w:val="231F20"/>
        </w:rPr>
        <w:t>$</w:t>
        <w:tab/>
        <w:t>—  </w:t>
      </w:r>
      <w:r>
        <w:rPr>
          <w:color w:val="231F20"/>
          <w:spacing w:val="10"/>
        </w:rPr>
        <w:t> </w:t>
      </w:r>
      <w:r>
        <w:rPr>
          <w:color w:val="231F20"/>
        </w:rPr>
        <w:t>$</w:t>
        <w:tab/>
        <w:t>—  </w:t>
      </w:r>
      <w:r>
        <w:rPr>
          <w:color w:val="231F20"/>
          <w:spacing w:val="10"/>
        </w:rPr>
        <w:t> </w:t>
      </w:r>
      <w:r>
        <w:rPr>
          <w:color w:val="231F20"/>
        </w:rPr>
        <w:t>$</w:t>
        <w:tab/>
        <w:t>—</w:t>
      </w:r>
    </w:p>
    <w:p>
      <w:pPr>
        <w:spacing w:after="0"/>
        <w:sectPr>
          <w:type w:val="continuous"/>
          <w:pgSz w:w="11880" w:h="15480"/>
          <w:pgMar w:top="1200" w:bottom="280" w:left="1220" w:right="1220"/>
          <w:cols w:num="2" w:equalWidth="0">
            <w:col w:w="5338" w:space="40"/>
            <w:col w:w="4062"/>
          </w:cols>
        </w:sectPr>
      </w:pPr>
    </w:p>
    <w:p>
      <w:pPr>
        <w:pStyle w:val="BodyText"/>
        <w:tabs>
          <w:tab w:pos="6063" w:val="left" w:leader="none"/>
          <w:tab w:pos="7035" w:val="left" w:leader="none"/>
          <w:tab w:pos="8207" w:val="left" w:leader="none"/>
          <w:tab w:pos="9279" w:val="right" w:leader="none"/>
        </w:tabs>
        <w:spacing w:before="10"/>
        <w:ind w:left="160"/>
      </w:pPr>
      <w:r>
        <w:rPr>
          <w:color w:val="231F20"/>
        </w:rPr>
        <w:t>Fuel derivative contracts (gross) . . . </w:t>
      </w:r>
      <w:r>
        <w:rPr>
          <w:color w:val="231F20"/>
          <w:spacing w:val="8"/>
        </w:rPr>
        <w:t> </w:t>
      </w:r>
      <w:r>
        <w:rPr>
          <w:color w:val="231F20"/>
        </w:rPr>
        <w:t>Other assets</w:t>
        <w:tab/>
        <w:t>209</w:t>
        <w:tab/>
        <w:t>355</w:t>
        <w:tab/>
        <w:t>1</w:t>
        <w:tab/>
        <w:t>16</w:t>
      </w:r>
    </w:p>
    <w:p>
      <w:pPr>
        <w:pStyle w:val="BodyText"/>
        <w:tabs>
          <w:tab w:pos="6063" w:val="left" w:leader="none"/>
          <w:tab w:pos="6163" w:val="left" w:leader="none"/>
          <w:tab w:pos="7035" w:val="left" w:leader="none"/>
          <w:tab w:pos="7135" w:val="left" w:leader="none"/>
          <w:tab w:pos="8007" w:val="left" w:leader="none"/>
          <w:tab w:pos="8107" w:val="left" w:leader="none"/>
          <w:tab w:pos="8979" w:val="left" w:leader="none"/>
          <w:tab w:pos="9279" w:val="right" w:leader="none"/>
        </w:tabs>
        <w:spacing w:line="249" w:lineRule="auto" w:before="10"/>
        <w:ind w:left="160" w:right="159"/>
        <w:jc w:val="both"/>
      </w:pPr>
      <w:r>
        <w:rPr/>
        <w:pict>
          <v:group style="position:absolute;margin-left:333.350006pt;margin-top:61.335938pt;width:191.9pt;height:.5pt;mso-position-horizontal-relative:page;mso-position-vertical-relative:paragraph;z-index:6136" coordorigin="6667,1227" coordsize="3838,10">
            <v:line style="position:absolute" from="6672,1232" to="7584,1232" stroked="true" strokeweight=".5pt" strokecolor="#231f20">
              <v:stroke dashstyle="solid"/>
            </v:line>
            <v:line style="position:absolute" from="7644,1232" to="8556,1232" stroked="true" strokeweight=".5pt" strokecolor="#231f20">
              <v:stroke dashstyle="solid"/>
            </v:line>
            <v:line style="position:absolute" from="8616,1232" to="9528,1232" stroked="true" strokeweight=".5pt" strokecolor="#231f20">
              <v:stroke dashstyle="solid"/>
            </v:line>
            <v:line style="position:absolute" from="9588,1232" to="10500,1232" stroked="true" strokeweight=".5pt" strokecolor="#231f20">
              <v:stroke dashstyle="solid"/>
            </v:line>
            <w10:wrap type="none"/>
          </v:group>
        </w:pict>
      </w:r>
      <w:r>
        <w:rPr>
          <w:color w:val="231F20"/>
        </w:rPr>
        <w:t>Fuel derivative contracts (gross) . . . </w:t>
      </w:r>
      <w:r>
        <w:rPr>
          <w:color w:val="231F20"/>
          <w:spacing w:val="8"/>
        </w:rPr>
        <w:t> </w:t>
      </w:r>
      <w:r>
        <w:rPr>
          <w:color w:val="231F20"/>
        </w:rPr>
        <w:t>Accrued liabilities</w:t>
        <w:tab/>
        <w:t>—</w:t>
        <w:tab/>
        <w:t>—</w:t>
        <w:tab/>
        <w:t>—</w:t>
        <w:tab/>
        <w:t>— Fuel derivative contracts (gross) . . .  Other</w:t>
      </w:r>
      <w:r>
        <w:rPr>
          <w:color w:val="231F20"/>
          <w:spacing w:val="8"/>
        </w:rPr>
        <w:t> </w:t>
      </w:r>
      <w:r>
        <w:rPr>
          <w:color w:val="231F20"/>
        </w:rPr>
        <w:t>noncurrent</w:t>
      </w:r>
      <w:r>
        <w:rPr>
          <w:color w:val="231F20"/>
          <w:spacing w:val="1"/>
        </w:rPr>
        <w:t> </w:t>
      </w:r>
      <w:r>
        <w:rPr>
          <w:color w:val="231F20"/>
        </w:rPr>
        <w:t>liabilities</w:t>
        <w:tab/>
        <w:t>—</w:t>
        <w:tab/>
        <w:t>—</w:t>
        <w:tab/>
        <w:t>—</w:t>
        <w:tab/>
        <w:t>— Interest rate derivative contracts  . . .</w:t>
      </w:r>
      <w:r>
        <w:rPr>
          <w:color w:val="231F20"/>
          <w:spacing w:val="20"/>
        </w:rPr>
        <w:t> </w:t>
      </w:r>
      <w:r>
        <w:rPr>
          <w:color w:val="231F20"/>
        </w:rPr>
        <w:t>Other assets</w:t>
        <w:tab/>
        <w:tab/>
        <w:t>20</w:t>
        <w:tab/>
        <w:tab/>
        <w:t>31</w:t>
        <w:tab/>
        <w:t>—</w:t>
        <w:tab/>
        <w:t>— Interest rate derivative contracts  . . .</w:t>
      </w:r>
      <w:r>
        <w:rPr>
          <w:color w:val="231F20"/>
          <w:spacing w:val="20"/>
        </w:rPr>
        <w:t> </w:t>
      </w:r>
      <w:r>
        <w:rPr>
          <w:color w:val="231F20"/>
        </w:rPr>
        <w:t>Accrued liabilities</w:t>
        <w:tab/>
        <w:t>—</w:t>
        <w:tab/>
        <w:t>—</w:t>
        <w:tab/>
        <w:t>—</w:t>
        <w:tab/>
        <w:t>— Interest rate derivative contracts  . . .  Other</w:t>
      </w:r>
      <w:r>
        <w:rPr>
          <w:color w:val="231F20"/>
          <w:spacing w:val="-30"/>
        </w:rPr>
        <w:t> </w:t>
      </w:r>
      <w:r>
        <w:rPr>
          <w:color w:val="231F20"/>
        </w:rPr>
        <w:t>noncurrent</w:t>
      </w:r>
      <w:r>
        <w:rPr>
          <w:color w:val="231F20"/>
          <w:spacing w:val="1"/>
        </w:rPr>
        <w:t> </w:t>
      </w:r>
      <w:r>
        <w:rPr>
          <w:color w:val="231F20"/>
        </w:rPr>
        <w:t>liabilities</w:t>
        <w:tab/>
        <w:t>—</w:t>
        <w:tab/>
        <w:t>—</w:t>
        <w:tab/>
        <w:tab/>
        <w:t>77</w:t>
        <w:tab/>
        <w:tab/>
        <w:t>126</w:t>
      </w:r>
    </w:p>
    <w:p>
      <w:pPr>
        <w:pStyle w:val="Heading3"/>
        <w:spacing w:before="81"/>
        <w:ind w:left="160"/>
        <w:jc w:val="both"/>
      </w:pPr>
      <w:r>
        <w:rPr>
          <w:color w:val="231F20"/>
        </w:rPr>
        <w:t>Total derivatives designated as</w:t>
      </w:r>
    </w:p>
    <w:p>
      <w:pPr>
        <w:pStyle w:val="BodyText"/>
        <w:tabs>
          <w:tab w:pos="5451" w:val="left" w:leader="none"/>
          <w:tab w:pos="6063" w:val="left" w:leader="none"/>
          <w:tab w:pos="7035" w:val="left" w:leader="none"/>
          <w:tab w:pos="8107" w:val="left" w:leader="none"/>
          <w:tab w:pos="9279" w:val="right" w:leader="none"/>
        </w:tabs>
        <w:spacing w:before="10"/>
        <w:ind w:left="360"/>
      </w:pPr>
      <w:r>
        <w:rPr/>
        <w:pict>
          <v:group style="position:absolute;margin-left:333.350006pt;margin-top:13.335938pt;width:191.9pt;height:.5pt;mso-position-horizontal-relative:page;mso-position-vertical-relative:paragraph;z-index:6160" coordorigin="6667,267" coordsize="3838,10">
            <v:line style="position:absolute" from="6672,272" to="7584,272" stroked="true" strokeweight=".5pt" strokecolor="#231f20">
              <v:stroke dashstyle="solid"/>
            </v:line>
            <v:line style="position:absolute" from="7644,272" to="8556,272" stroked="true" strokeweight=".5pt" strokecolor="#231f20">
              <v:stroke dashstyle="solid"/>
            </v:line>
            <v:line style="position:absolute" from="8616,272" to="9528,272" stroked="true" strokeweight=".5pt" strokecolor="#231f20">
              <v:stroke dashstyle="solid"/>
            </v:line>
            <v:line style="position:absolute" from="9588,272" to="10500,272" stroked="true" strokeweight=".5pt" strokecolor="#231f20">
              <v:stroke dashstyle="solid"/>
            </v:line>
            <w10:wrap type="none"/>
          </v:group>
        </w:pict>
      </w:r>
      <w:r>
        <w:rPr>
          <w:b/>
          <w:color w:val="231F20"/>
        </w:rPr>
        <w:t>hedges  </w:t>
      </w:r>
      <w:r>
        <w:rPr>
          <w:color w:val="231F20"/>
        </w:rPr>
        <w:t>. . . . . . . . . . . . . . . . . . .</w:t>
      </w:r>
      <w:r>
        <w:rPr>
          <w:color w:val="231F20"/>
          <w:spacing w:val="-17"/>
        </w:rPr>
        <w:t> </w:t>
      </w:r>
      <w:r>
        <w:rPr>
          <w:color w:val="231F20"/>
        </w:rPr>
        <w:t>. .</w:t>
        <w:tab/>
        <w:t>$</w:t>
        <w:tab/>
        <w:t>303</w:t>
      </w:r>
      <w:r>
        <w:rPr>
          <w:color w:val="231F20"/>
          <w:spacing w:val="10"/>
        </w:rPr>
        <w:t> </w:t>
      </w:r>
      <w:r>
        <w:rPr>
          <w:color w:val="231F20"/>
        </w:rPr>
        <w:t>$</w:t>
        <w:tab/>
        <w:t>386</w:t>
      </w:r>
      <w:r>
        <w:rPr>
          <w:color w:val="231F20"/>
          <w:spacing w:val="10"/>
        </w:rPr>
        <w:t> </w:t>
      </w:r>
      <w:r>
        <w:rPr>
          <w:color w:val="231F20"/>
        </w:rPr>
        <w:t>$</w:t>
        <w:tab/>
        <w:t>78</w:t>
      </w:r>
      <w:r>
        <w:rPr>
          <w:color w:val="231F20"/>
          <w:spacing w:val="10"/>
        </w:rPr>
        <w:t> </w:t>
      </w:r>
      <w:r>
        <w:rPr>
          <w:color w:val="231F20"/>
        </w:rPr>
        <w:t>$</w:t>
        <w:tab/>
        <w:t>142</w:t>
      </w:r>
    </w:p>
    <w:p>
      <w:pPr>
        <w:pStyle w:val="Heading3"/>
        <w:spacing w:line="249" w:lineRule="auto" w:before="90"/>
        <w:ind w:left="360" w:right="6776" w:hanging="200"/>
      </w:pPr>
      <w:r>
        <w:rPr>
          <w:color w:val="231F20"/>
        </w:rPr>
        <w:t>Derivatives not designated as hedges*</w:t>
      </w:r>
    </w:p>
    <w:p>
      <w:pPr>
        <w:spacing w:after="0" w:line="249" w:lineRule="auto"/>
        <w:sectPr>
          <w:type w:val="continuous"/>
          <w:pgSz w:w="11880" w:h="15480"/>
          <w:pgMar w:top="1200" w:bottom="280" w:left="1220" w:right="1220"/>
        </w:sectPr>
      </w:pPr>
    </w:p>
    <w:p>
      <w:pPr>
        <w:pStyle w:val="BodyText"/>
        <w:spacing w:before="1"/>
        <w:ind w:left="160"/>
      </w:pPr>
      <w:r>
        <w:rPr>
          <w:color w:val="231F20"/>
        </w:rPr>
        <w:t>Fuel derivative contracts (gross) . . .  Prepaid expenses and other</w:t>
      </w:r>
    </w:p>
    <w:p>
      <w:pPr>
        <w:pStyle w:val="BodyText"/>
        <w:spacing w:before="10"/>
        <w:ind w:left="3152"/>
      </w:pPr>
      <w:r>
        <w:rPr>
          <w:color w:val="231F20"/>
        </w:rPr>
        <w:t>current assets</w:t>
      </w:r>
    </w:p>
    <w:p>
      <w:pPr>
        <w:pStyle w:val="BodyText"/>
        <w:tabs>
          <w:tab w:pos="686" w:val="left" w:leader="none"/>
          <w:tab w:pos="1658" w:val="left" w:leader="none"/>
          <w:tab w:pos="2630" w:val="left" w:leader="none"/>
          <w:tab w:pos="3602" w:val="left" w:leader="none"/>
        </w:tabs>
        <w:spacing w:before="1"/>
        <w:ind w:left="74"/>
      </w:pPr>
      <w:r>
        <w:rPr/>
        <w:br w:type="column"/>
      </w:r>
      <w:r>
        <w:rPr>
          <w:color w:val="231F20"/>
        </w:rPr>
        <w:t>$</w:t>
        <w:tab/>
        <w:t>175</w:t>
      </w:r>
      <w:r>
        <w:rPr>
          <w:color w:val="231F20"/>
          <w:spacing w:val="10"/>
        </w:rPr>
        <w:t> </w:t>
      </w:r>
      <w:r>
        <w:rPr>
          <w:color w:val="231F20"/>
        </w:rPr>
        <w:t>$</w:t>
        <w:tab/>
        <w:t>375</w:t>
      </w:r>
      <w:r>
        <w:rPr>
          <w:color w:val="231F20"/>
          <w:spacing w:val="10"/>
        </w:rPr>
        <w:t> </w:t>
      </w:r>
      <w:r>
        <w:rPr>
          <w:color w:val="231F20"/>
        </w:rPr>
        <w:t>$</w:t>
        <w:tab/>
        <w:t>182</w:t>
      </w:r>
      <w:r>
        <w:rPr>
          <w:color w:val="231F20"/>
          <w:spacing w:val="10"/>
        </w:rPr>
        <w:t> </w:t>
      </w:r>
      <w:r>
        <w:rPr>
          <w:color w:val="231F20"/>
        </w:rPr>
        <w:t>$</w:t>
        <w:tab/>
        <w:t>327</w:t>
      </w:r>
    </w:p>
    <w:p>
      <w:pPr>
        <w:spacing w:after="0"/>
        <w:sectPr>
          <w:type w:val="continuous"/>
          <w:pgSz w:w="11880" w:h="15480"/>
          <w:pgMar w:top="1200" w:bottom="280" w:left="1220" w:right="1220"/>
          <w:cols w:num="2" w:equalWidth="0">
            <w:col w:w="5338" w:space="40"/>
            <w:col w:w="4062"/>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6"/>
        <w:gridCol w:w="3944"/>
      </w:tblGrid>
      <w:tr>
        <w:trPr>
          <w:trHeight w:val="229" w:hRule="exact"/>
        </w:trPr>
        <w:tc>
          <w:tcPr>
            <w:tcW w:w="5276" w:type="dxa"/>
          </w:tcPr>
          <w:p>
            <w:pPr>
              <w:pStyle w:val="TableParagraph"/>
              <w:spacing w:line="219" w:lineRule="exact"/>
              <w:ind w:left="50"/>
              <w:jc w:val="left"/>
              <w:rPr>
                <w:sz w:val="20"/>
              </w:rPr>
            </w:pPr>
            <w:r>
              <w:rPr>
                <w:color w:val="231F20"/>
                <w:sz w:val="20"/>
              </w:rPr>
              <w:t>Fuel derivative contracts (gross) . . .  Other assets</w:t>
            </w:r>
          </w:p>
        </w:tc>
        <w:tc>
          <w:tcPr>
            <w:tcW w:w="3944" w:type="dxa"/>
          </w:tcPr>
          <w:p>
            <w:pPr>
              <w:pStyle w:val="TableParagraph"/>
              <w:tabs>
                <w:tab w:pos="871" w:val="left" w:leader="none"/>
                <w:tab w:pos="1943" w:val="left" w:leader="none"/>
                <w:tab w:pos="2815" w:val="left" w:leader="none"/>
              </w:tabs>
              <w:spacing w:line="219" w:lineRule="exact"/>
              <w:ind w:right="48"/>
              <w:rPr>
                <w:sz w:val="20"/>
              </w:rPr>
            </w:pPr>
            <w:r>
              <w:rPr>
                <w:color w:val="231F20"/>
                <w:sz w:val="20"/>
              </w:rPr>
              <w:t>16</w:t>
              <w:tab/>
              <w:t>233</w:t>
              <w:tab/>
              <w:t>99</w:t>
              <w:tab/>
              <w:t>351</w:t>
            </w:r>
          </w:p>
        </w:tc>
      </w:tr>
      <w:tr>
        <w:trPr>
          <w:trHeight w:val="240" w:hRule="exact"/>
        </w:trPr>
        <w:tc>
          <w:tcPr>
            <w:tcW w:w="5276" w:type="dxa"/>
          </w:tcPr>
          <w:p>
            <w:pPr>
              <w:pStyle w:val="TableParagraph"/>
              <w:spacing w:line="229" w:lineRule="exact"/>
              <w:ind w:left="50"/>
              <w:jc w:val="left"/>
              <w:rPr>
                <w:sz w:val="20"/>
              </w:rPr>
            </w:pPr>
            <w:r>
              <w:rPr>
                <w:color w:val="231F20"/>
                <w:sz w:val="20"/>
              </w:rPr>
              <w:t>Fuel derivative contracts (gross) . . .  Accrued liabilities</w:t>
            </w:r>
          </w:p>
        </w:tc>
        <w:tc>
          <w:tcPr>
            <w:tcW w:w="3944" w:type="dxa"/>
          </w:tcPr>
          <w:p>
            <w:pPr>
              <w:pStyle w:val="TableParagraph"/>
              <w:tabs>
                <w:tab w:pos="871" w:val="left" w:leader="none"/>
                <w:tab w:pos="1843" w:val="left" w:leader="none"/>
                <w:tab w:pos="2815" w:val="left" w:leader="none"/>
              </w:tabs>
              <w:spacing w:line="229" w:lineRule="exact"/>
              <w:ind w:right="48"/>
              <w:rPr>
                <w:sz w:val="20"/>
              </w:rPr>
            </w:pPr>
            <w:r>
              <w:rPr>
                <w:color w:val="231F20"/>
                <w:sz w:val="20"/>
              </w:rPr>
              <w:t>9</w:t>
              <w:tab/>
              <w:t>10</w:t>
              <w:tab/>
              <w:t>21</w:t>
              <w:tab/>
              <w:t>60</w:t>
            </w:r>
          </w:p>
        </w:tc>
      </w:tr>
      <w:tr>
        <w:trPr>
          <w:trHeight w:val="261" w:hRule="exact"/>
        </w:trPr>
        <w:tc>
          <w:tcPr>
            <w:tcW w:w="5276" w:type="dxa"/>
          </w:tcPr>
          <w:p>
            <w:pPr>
              <w:pStyle w:val="TableParagraph"/>
              <w:spacing w:line="229" w:lineRule="exact"/>
              <w:ind w:left="50"/>
              <w:jc w:val="left"/>
              <w:rPr>
                <w:sz w:val="20"/>
              </w:rPr>
            </w:pPr>
            <w:r>
              <w:rPr>
                <w:color w:val="231F20"/>
                <w:sz w:val="20"/>
              </w:rPr>
              <w:t>Fuel derivative contracts (gross) . . .  Other noncurrent liabilities</w:t>
            </w:r>
          </w:p>
        </w:tc>
        <w:tc>
          <w:tcPr>
            <w:tcW w:w="3944" w:type="dxa"/>
            <w:tcBorders>
              <w:bottom w:val="single" w:sz="4" w:space="0" w:color="231F20"/>
            </w:tcBorders>
          </w:tcPr>
          <w:p>
            <w:pPr>
              <w:pStyle w:val="TableParagraph"/>
              <w:tabs>
                <w:tab w:pos="971" w:val="left" w:leader="none"/>
                <w:tab w:pos="1943" w:val="left" w:leader="none"/>
                <w:tab w:pos="2915" w:val="left" w:leader="none"/>
              </w:tabs>
              <w:spacing w:line="229" w:lineRule="exact"/>
              <w:ind w:right="148"/>
              <w:rPr>
                <w:sz w:val="20"/>
              </w:rPr>
            </w:pPr>
            <w:r>
              <w:rPr>
                <w:color w:val="231F20"/>
                <w:sz w:val="20"/>
              </w:rPr>
              <w:t>—</w:t>
              <w:tab/>
              <w:t>—</w:t>
              <w:tab/>
              <w:t>—</w:t>
              <w:tab/>
              <w:t>—</w:t>
            </w:r>
          </w:p>
        </w:tc>
      </w:tr>
      <w:tr>
        <w:trPr>
          <w:trHeight w:val="560" w:hRule="exact"/>
        </w:trPr>
        <w:tc>
          <w:tcPr>
            <w:tcW w:w="5276" w:type="dxa"/>
          </w:tcPr>
          <w:p>
            <w:pPr>
              <w:pStyle w:val="TableParagraph"/>
              <w:spacing w:before="58"/>
              <w:ind w:left="50"/>
              <w:jc w:val="left"/>
              <w:rPr>
                <w:b/>
                <w:sz w:val="20"/>
              </w:rPr>
            </w:pPr>
            <w:r>
              <w:rPr>
                <w:b/>
                <w:color w:val="231F20"/>
                <w:sz w:val="20"/>
              </w:rPr>
              <w:t>Total derivatives not designated</w:t>
            </w:r>
          </w:p>
          <w:p>
            <w:pPr>
              <w:pStyle w:val="TableParagraph"/>
              <w:spacing w:before="9"/>
              <w:ind w:left="250"/>
              <w:jc w:val="left"/>
              <w:rPr>
                <w:sz w:val="20"/>
              </w:rPr>
            </w:pPr>
            <w:r>
              <w:rPr>
                <w:b/>
                <w:color w:val="231F20"/>
                <w:sz w:val="20"/>
              </w:rPr>
              <w:t>as hedges </w:t>
            </w:r>
            <w:r>
              <w:rPr>
                <w:color w:val="231F20"/>
                <w:sz w:val="20"/>
              </w:rPr>
              <w:t>. . . . . . . . . . . . . . . . . . . </w:t>
            </w:r>
          </w:p>
        </w:tc>
        <w:tc>
          <w:tcPr>
            <w:tcW w:w="3944" w:type="dxa"/>
            <w:tcBorders>
              <w:top w:val="single" w:sz="4" w:space="0" w:color="231F20"/>
              <w:bottom w:val="single" w:sz="4" w:space="0" w:color="231F20"/>
            </w:tcBorders>
          </w:tcPr>
          <w:p>
            <w:pPr>
              <w:pStyle w:val="TableParagraph"/>
              <w:spacing w:before="5"/>
              <w:jc w:val="left"/>
              <w:rPr>
                <w:sz w:val="25"/>
              </w:rPr>
            </w:pPr>
          </w:p>
          <w:p>
            <w:pPr>
              <w:pStyle w:val="TableParagraph"/>
              <w:tabs>
                <w:tab w:pos="611" w:val="left" w:leader="none"/>
                <w:tab w:pos="1583" w:val="left" w:leader="none"/>
                <w:tab w:pos="2555" w:val="left" w:leader="none"/>
                <w:tab w:pos="3527" w:val="left" w:leader="none"/>
              </w:tabs>
              <w:spacing w:before="1"/>
              <w:ind w:right="48"/>
              <w:rPr>
                <w:sz w:val="20"/>
              </w:rPr>
            </w:pPr>
            <w:r>
              <w:rPr>
                <w:color w:val="231F20"/>
                <w:sz w:val="20"/>
              </w:rPr>
              <w:t>$</w:t>
              <w:tab/>
              <w:t>200</w:t>
            </w:r>
            <w:r>
              <w:rPr>
                <w:color w:val="231F20"/>
                <w:spacing w:val="10"/>
                <w:sz w:val="20"/>
              </w:rPr>
              <w:t> </w:t>
            </w:r>
            <w:r>
              <w:rPr>
                <w:color w:val="231F20"/>
                <w:sz w:val="20"/>
              </w:rPr>
              <w:t>$</w:t>
              <w:tab/>
              <w:t>618</w:t>
            </w:r>
            <w:r>
              <w:rPr>
                <w:color w:val="231F20"/>
                <w:spacing w:val="10"/>
                <w:sz w:val="20"/>
              </w:rPr>
              <w:t> </w:t>
            </w:r>
            <w:r>
              <w:rPr>
                <w:color w:val="231F20"/>
                <w:sz w:val="20"/>
              </w:rPr>
              <w:t>$</w:t>
              <w:tab/>
              <w:t>302</w:t>
            </w:r>
            <w:r>
              <w:rPr>
                <w:color w:val="231F20"/>
                <w:spacing w:val="10"/>
                <w:sz w:val="20"/>
              </w:rPr>
              <w:t> </w:t>
            </w:r>
            <w:r>
              <w:rPr>
                <w:color w:val="231F20"/>
                <w:sz w:val="20"/>
              </w:rPr>
              <w:t>$</w:t>
              <w:tab/>
              <w:t>738</w:t>
            </w:r>
          </w:p>
        </w:tc>
      </w:tr>
      <w:tr>
        <w:trPr>
          <w:trHeight w:val="320" w:hRule="exact"/>
        </w:trPr>
        <w:tc>
          <w:tcPr>
            <w:tcW w:w="5276" w:type="dxa"/>
          </w:tcPr>
          <w:p>
            <w:pPr>
              <w:pStyle w:val="TableParagraph"/>
              <w:spacing w:before="58"/>
              <w:ind w:left="50"/>
              <w:jc w:val="left"/>
              <w:rPr>
                <w:sz w:val="20"/>
              </w:rPr>
            </w:pPr>
            <w:r>
              <w:rPr>
                <w:b/>
                <w:color w:val="231F20"/>
                <w:sz w:val="20"/>
              </w:rPr>
              <w:t>Total derivatives  </w:t>
            </w:r>
            <w:r>
              <w:rPr>
                <w:color w:val="231F20"/>
                <w:sz w:val="20"/>
              </w:rPr>
              <w:t>. . . . . . . . . . . . . . </w:t>
            </w:r>
          </w:p>
        </w:tc>
        <w:tc>
          <w:tcPr>
            <w:tcW w:w="3944" w:type="dxa"/>
            <w:tcBorders>
              <w:top w:val="single" w:sz="4" w:space="0" w:color="231F20"/>
              <w:bottom w:val="double" w:sz="7" w:space="0" w:color="231F20"/>
            </w:tcBorders>
          </w:tcPr>
          <w:p>
            <w:pPr>
              <w:pStyle w:val="TableParagraph"/>
              <w:tabs>
                <w:tab w:pos="611" w:val="left" w:leader="none"/>
                <w:tab w:pos="1433" w:val="left" w:leader="none"/>
                <w:tab w:pos="2555" w:val="left" w:leader="none"/>
                <w:tab w:pos="3527" w:val="left" w:leader="none"/>
              </w:tabs>
              <w:spacing w:before="53"/>
              <w:ind w:right="48"/>
              <w:rPr>
                <w:sz w:val="20"/>
              </w:rPr>
            </w:pPr>
            <w:r>
              <w:rPr>
                <w:color w:val="231F20"/>
                <w:sz w:val="20"/>
              </w:rPr>
              <w:t>$</w:t>
              <w:tab/>
              <w:t>503</w:t>
            </w:r>
            <w:r>
              <w:rPr>
                <w:color w:val="231F20"/>
                <w:spacing w:val="10"/>
                <w:sz w:val="20"/>
              </w:rPr>
              <w:t> </w:t>
            </w:r>
            <w:r>
              <w:rPr>
                <w:color w:val="231F20"/>
                <w:sz w:val="20"/>
              </w:rPr>
              <w:t>$</w:t>
              <w:tab/>
              <w:t>1,004</w:t>
            </w:r>
            <w:r>
              <w:rPr>
                <w:color w:val="231F20"/>
                <w:spacing w:val="10"/>
                <w:sz w:val="20"/>
              </w:rPr>
              <w:t> </w:t>
            </w:r>
            <w:r>
              <w:rPr>
                <w:color w:val="231F20"/>
                <w:sz w:val="20"/>
              </w:rPr>
              <w:t>$</w:t>
              <w:tab/>
              <w:t>380</w:t>
            </w:r>
            <w:r>
              <w:rPr>
                <w:color w:val="231F20"/>
                <w:spacing w:val="10"/>
                <w:sz w:val="20"/>
              </w:rPr>
              <w:t> </w:t>
            </w:r>
            <w:r>
              <w:rPr>
                <w:color w:val="231F20"/>
                <w:sz w:val="20"/>
              </w:rPr>
              <w:t>$</w:t>
              <w:tab/>
              <w:t>880</w:t>
            </w:r>
          </w:p>
        </w:tc>
      </w:tr>
      <w:tr>
        <w:trPr>
          <w:trHeight w:val="200" w:hRule="exact"/>
        </w:trPr>
        <w:tc>
          <w:tcPr>
            <w:tcW w:w="5276" w:type="dxa"/>
          </w:tcPr>
          <w:p>
            <w:pPr/>
          </w:p>
        </w:tc>
        <w:tc>
          <w:tcPr>
            <w:tcW w:w="3944" w:type="dxa"/>
            <w:tcBorders>
              <w:top w:val="double" w:sz="7" w:space="0" w:color="231F20"/>
            </w:tcBorders>
          </w:tcPr>
          <w:p>
            <w:pPr/>
          </w:p>
        </w:tc>
      </w:tr>
    </w:tbl>
    <w:p>
      <w:pPr>
        <w:pStyle w:val="BodyText"/>
        <w:tabs>
          <w:tab w:pos="559" w:val="left" w:leader="none"/>
        </w:tabs>
        <w:spacing w:line="249" w:lineRule="auto" w:before="69"/>
        <w:ind w:left="560" w:right="196" w:hanging="400"/>
      </w:pPr>
      <w:r>
        <w:rPr>
          <w:color w:val="231F20"/>
        </w:rPr>
        <w:t>*</w:t>
        <w:tab/>
        <w:t>Represents the position of each trade before consideration of offsetting positions with each</w:t>
      </w:r>
      <w:r>
        <w:rPr>
          <w:color w:val="231F20"/>
          <w:spacing w:val="9"/>
        </w:rPr>
        <w:t> </w:t>
      </w:r>
      <w:r>
        <w:rPr>
          <w:color w:val="231F20"/>
        </w:rPr>
        <w:t>counterparty</w:t>
      </w:r>
      <w:r>
        <w:rPr>
          <w:color w:val="231F20"/>
          <w:spacing w:val="2"/>
        </w:rPr>
        <w:t> </w:t>
      </w:r>
      <w:r>
        <w:rPr>
          <w:color w:val="231F20"/>
        </w:rPr>
        <w:t>and</w:t>
      </w:r>
      <w:r>
        <w:rPr>
          <w:color w:val="231F20"/>
          <w:w w:val="100"/>
        </w:rPr>
        <w:t> </w:t>
      </w:r>
      <w:r>
        <w:rPr>
          <w:color w:val="231F20"/>
        </w:rPr>
        <w:t>does not include the impact of cash collateral deposits provided to or received from counterparties. See discussion of credit risk and collateral following in this</w:t>
      </w:r>
      <w:r>
        <w:rPr>
          <w:color w:val="231F20"/>
          <w:spacing w:val="7"/>
        </w:rPr>
        <w:t> </w:t>
      </w:r>
      <w:r>
        <w:rPr>
          <w:color w:val="231F20"/>
        </w:rPr>
        <w:t>Note.</w:t>
      </w:r>
    </w:p>
    <w:p>
      <w:pPr>
        <w:pStyle w:val="BodyText"/>
        <w:spacing w:line="249" w:lineRule="auto" w:before="195"/>
        <w:ind w:left="160" w:right="355" w:firstLine="490"/>
      </w:pPr>
      <w:r>
        <w:rPr>
          <w:color w:val="231F20"/>
        </w:rPr>
        <w:t>In addition, the Company also had the following amounts associated with fuel derivative instruments and hedging activities in its Consolidated Balance Sheet:</w:t>
      </w:r>
    </w:p>
    <w:p>
      <w:pPr>
        <w:spacing w:after="0" w:line="249" w:lineRule="auto"/>
        <w:sectPr>
          <w:type w:val="continuous"/>
          <w:pgSz w:w="11880" w:h="15480"/>
          <w:pgMar w:top="1200" w:bottom="280" w:left="1220" w:right="1220"/>
        </w:sectPr>
      </w:pPr>
    </w:p>
    <w:p>
      <w:pPr>
        <w:pStyle w:val="BodyText"/>
        <w:spacing w:before="10"/>
        <w:rPr>
          <w:sz w:val="30"/>
        </w:rPr>
      </w:pPr>
    </w:p>
    <w:p>
      <w:pPr>
        <w:pStyle w:val="Heading3"/>
        <w:ind w:left="160"/>
      </w:pPr>
      <w:r>
        <w:rPr/>
        <w:pict>
          <v:line style="position:absolute;mso-position-horizontal-relative:page;mso-position-vertical-relative:paragraph;z-index:6184" from="69pt,12.835938pt" to="228.65pt,12.835938pt" stroked="true" strokeweight="1pt" strokecolor="#231f20">
            <v:stroke dashstyle="solid"/>
            <w10:wrap type="none"/>
          </v:line>
        </w:pict>
      </w:r>
      <w:r>
        <w:rPr>
          <w:color w:val="231F20"/>
        </w:rPr>
        <w:t>(in millions)</w:t>
      </w:r>
    </w:p>
    <w:p>
      <w:pPr>
        <w:pStyle w:val="BodyText"/>
        <w:spacing w:line="220" w:lineRule="exact" w:before="80"/>
        <w:ind w:left="360" w:hanging="200"/>
      </w:pPr>
      <w:r>
        <w:rPr>
          <w:color w:val="231F20"/>
        </w:rPr>
        <w:t>Cash collateral deposits provided to counterparties for interest</w:t>
      </w:r>
      <w:r>
        <w:rPr>
          <w:color w:val="231F20"/>
          <w:spacing w:val="5"/>
        </w:rPr>
        <w:t> </w:t>
      </w:r>
      <w:r>
        <w:rPr>
          <w:color w:val="231F20"/>
        </w:rPr>
        <w:t>rate</w:t>
      </w:r>
    </w:p>
    <w:p>
      <w:pPr>
        <w:pStyle w:val="Heading3"/>
        <w:spacing w:line="200" w:lineRule="exact" w:before="182"/>
        <w:ind w:left="163"/>
        <w:jc w:val="center"/>
      </w:pPr>
      <w:r>
        <w:rPr>
          <w:b w:val="0"/>
        </w:rPr>
        <w:br w:type="column"/>
      </w:r>
      <w:r>
        <w:rPr>
          <w:color w:val="231F20"/>
        </w:rPr>
        <w:t>Balance Sheet</w:t>
      </w:r>
      <w:r>
        <w:rPr>
          <w:color w:val="231F20"/>
          <w:w w:val="100"/>
        </w:rPr>
        <w:t> </w:t>
      </w:r>
      <w:r>
        <w:rPr>
          <w:color w:val="231F20"/>
        </w:rPr>
        <w:t>location</w:t>
      </w:r>
    </w:p>
    <w:p>
      <w:pPr>
        <w:pStyle w:val="BodyText"/>
        <w:spacing w:before="5"/>
        <w:rPr>
          <w:b/>
          <w:sz w:val="25"/>
        </w:rPr>
      </w:pPr>
    </w:p>
    <w:p>
      <w:pPr>
        <w:pStyle w:val="BodyText"/>
        <w:ind w:left="160"/>
        <w:jc w:val="center"/>
      </w:pPr>
      <w:r>
        <w:rPr/>
        <w:pict>
          <v:line style="position:absolute;mso-position-horizontal-relative:page;mso-position-vertical-relative:paragraph;z-index:6208" from="238.649994pt,-13.164063pt" to="388.299994pt,-13.164063pt" stroked="true" strokeweight="1pt" strokecolor="#231f20">
            <v:stroke dashstyle="solid"/>
            <w10:wrap type="none"/>
          </v:line>
        </w:pict>
      </w:r>
      <w:r>
        <w:rPr>
          <w:color w:val="231F20"/>
        </w:rPr>
        <w:t>Offset against Other</w:t>
      </w:r>
    </w:p>
    <w:p>
      <w:pPr>
        <w:pStyle w:val="Heading3"/>
        <w:spacing w:line="215" w:lineRule="exact" w:before="155"/>
        <w:ind w:left="160"/>
        <w:jc w:val="center"/>
      </w:pPr>
      <w:r>
        <w:rPr>
          <w:b w:val="0"/>
        </w:rPr>
        <w:br w:type="column"/>
      </w:r>
      <w:r>
        <w:rPr>
          <w:color w:val="231F20"/>
        </w:rPr>
        <w:t>December 31,</w:t>
      </w:r>
    </w:p>
    <w:p>
      <w:pPr>
        <w:spacing w:line="215" w:lineRule="exact" w:before="0"/>
        <w:ind w:left="158" w:right="0" w:firstLine="0"/>
        <w:jc w:val="center"/>
        <w:rPr>
          <w:b/>
          <w:sz w:val="20"/>
        </w:rPr>
      </w:pPr>
      <w:r>
        <w:rPr/>
        <w:pict>
          <v:line style="position:absolute;mso-position-horizontal-relative:page;mso-position-vertical-relative:paragraph;z-index:6232" from="398.300018pt,12.086426pt" to="456.650018pt,12.086426pt" stroked="true" strokeweight="1pt" strokecolor="#231f20">
            <v:stroke dashstyle="solid"/>
            <w10:wrap type="none"/>
          </v:line>
        </w:pict>
      </w:r>
      <w:r>
        <w:rPr>
          <w:b/>
          <w:color w:val="231F20"/>
          <w:sz w:val="20"/>
        </w:rPr>
        <w:t>2013</w:t>
      </w:r>
    </w:p>
    <w:p>
      <w:pPr>
        <w:spacing w:line="215" w:lineRule="exact" w:before="155"/>
        <w:ind w:left="139" w:right="139" w:firstLine="0"/>
        <w:jc w:val="center"/>
        <w:rPr>
          <w:b/>
          <w:sz w:val="20"/>
        </w:rPr>
      </w:pPr>
      <w:r>
        <w:rPr/>
        <w:br w:type="column"/>
      </w:r>
      <w:r>
        <w:rPr>
          <w:b/>
          <w:color w:val="231F20"/>
          <w:sz w:val="20"/>
        </w:rPr>
        <w:t>December 31,</w:t>
      </w:r>
    </w:p>
    <w:p>
      <w:pPr>
        <w:spacing w:line="215" w:lineRule="exact" w:before="0"/>
        <w:ind w:left="138" w:right="139" w:firstLine="0"/>
        <w:jc w:val="center"/>
        <w:rPr>
          <w:b/>
          <w:sz w:val="20"/>
        </w:rPr>
      </w:pPr>
      <w:r>
        <w:rPr>
          <w:b/>
          <w:color w:val="231F20"/>
          <w:sz w:val="20"/>
        </w:rPr>
        <w:t>2012</w:t>
      </w:r>
    </w:p>
    <w:p>
      <w:pPr>
        <w:pStyle w:val="BodyText"/>
        <w:spacing w:line="20" w:lineRule="exact"/>
        <w:ind w:left="150"/>
        <w:rPr>
          <w:sz w:val="2"/>
        </w:rPr>
      </w:pPr>
      <w:r>
        <w:rPr>
          <w:sz w:val="2"/>
        </w:rPr>
        <w:pict>
          <v:group style="width:59.35pt;height:1pt;mso-position-horizontal-relative:char;mso-position-vertical-relative:line" coordorigin="0,0" coordsize="1187,20">
            <v:line style="position:absolute" from="10,10" to="1177,10" stroked="true" strokeweight="1pt" strokecolor="#231f20">
              <v:stroke dashstyle="solid"/>
            </v:line>
          </v:group>
        </w:pict>
      </w:r>
      <w:r>
        <w:rPr>
          <w:sz w:val="2"/>
        </w:rPr>
      </w:r>
    </w:p>
    <w:p>
      <w:pPr>
        <w:spacing w:after="0" w:line="20" w:lineRule="exact"/>
        <w:rPr>
          <w:sz w:val="2"/>
        </w:rPr>
        <w:sectPr>
          <w:type w:val="continuous"/>
          <w:pgSz w:w="11880" w:h="15480"/>
          <w:pgMar w:top="1200" w:bottom="280" w:left="1220" w:right="1220"/>
          <w:cols w:num="4" w:equalWidth="0">
            <w:col w:w="2977" w:space="1100"/>
            <w:col w:w="1785" w:space="724"/>
            <w:col w:w="1328" w:space="40"/>
            <w:col w:w="1486"/>
          </w:cols>
        </w:sectPr>
      </w:pPr>
    </w:p>
    <w:p>
      <w:pPr>
        <w:pStyle w:val="BodyText"/>
        <w:spacing w:line="214" w:lineRule="exact"/>
        <w:ind w:left="360"/>
      </w:pPr>
      <w:r>
        <w:rPr>
          <w:color w:val="231F20"/>
        </w:rPr>
        <w:t>contracts — noncurrent . . . . . . . . . . . </w:t>
      </w:r>
    </w:p>
    <w:p>
      <w:pPr>
        <w:pStyle w:val="BodyText"/>
        <w:spacing w:line="220" w:lineRule="exact"/>
        <w:ind w:left="160"/>
      </w:pPr>
      <w:r>
        <w:rPr>
          <w:color w:val="231F20"/>
        </w:rPr>
        <w:t>Receivable from third parties for</w:t>
      </w:r>
    </w:p>
    <w:p>
      <w:pPr>
        <w:pStyle w:val="BodyText"/>
        <w:spacing w:line="220" w:lineRule="exact" w:before="5"/>
        <w:ind w:left="160" w:firstLine="200"/>
      </w:pPr>
      <w:r>
        <w:rPr>
          <w:color w:val="231F20"/>
        </w:rPr>
        <w:t>fuel contracts — current . . . . . . . . . . Receivable from third parties for</w:t>
      </w:r>
    </w:p>
    <w:p>
      <w:pPr>
        <w:pStyle w:val="BodyText"/>
        <w:tabs>
          <w:tab w:pos="3656" w:val="left" w:leader="none"/>
          <w:tab w:pos="5223" w:val="right" w:leader="none"/>
        </w:tabs>
        <w:spacing w:line="214" w:lineRule="exact"/>
        <w:ind w:left="160"/>
      </w:pPr>
      <w:r>
        <w:rPr/>
        <w:br w:type="column"/>
      </w:r>
      <w:r>
        <w:rPr>
          <w:color w:val="231F20"/>
        </w:rPr>
        <w:t>noncurrent</w:t>
      </w:r>
      <w:r>
        <w:rPr>
          <w:color w:val="231F20"/>
          <w:spacing w:val="1"/>
        </w:rPr>
        <w:t> </w:t>
      </w:r>
      <w:r>
        <w:rPr>
          <w:color w:val="231F20"/>
        </w:rPr>
        <w:t>liabilities</w:t>
        <w:tab/>
        <w:t>32</w:t>
        <w:tab/>
        <w:t>89</w:t>
      </w:r>
    </w:p>
    <w:p>
      <w:pPr>
        <w:pStyle w:val="BodyText"/>
        <w:spacing w:line="220" w:lineRule="exact"/>
        <w:ind w:left="215"/>
      </w:pPr>
      <w:r>
        <w:rPr>
          <w:color w:val="231F20"/>
        </w:rPr>
        <w:t>Accounts and other</w:t>
      </w:r>
    </w:p>
    <w:p>
      <w:pPr>
        <w:pStyle w:val="BodyText"/>
        <w:tabs>
          <w:tab w:pos="3656" w:val="left" w:leader="none"/>
          <w:tab w:pos="4923" w:val="left" w:leader="none"/>
        </w:tabs>
        <w:spacing w:line="225" w:lineRule="exact"/>
        <w:ind w:left="542"/>
      </w:pPr>
      <w:r>
        <w:rPr>
          <w:color w:val="231F20"/>
        </w:rPr>
        <w:t>receivables</w:t>
        <w:tab/>
        <w:t>57</w:t>
        <w:tab/>
        <w:t>—</w:t>
      </w:r>
    </w:p>
    <w:p>
      <w:pPr>
        <w:spacing w:after="0" w:line="225" w:lineRule="exact"/>
        <w:sectPr>
          <w:type w:val="continuous"/>
          <w:pgSz w:w="11880" w:h="15480"/>
          <w:pgMar w:top="1200" w:bottom="280" w:left="1220" w:right="1220"/>
          <w:cols w:num="2" w:equalWidth="0">
            <w:col w:w="3404" w:space="652"/>
            <w:col w:w="5384"/>
          </w:cols>
        </w:sectPr>
      </w:pPr>
    </w:p>
    <w:p>
      <w:pPr>
        <w:pStyle w:val="BodyText"/>
        <w:tabs>
          <w:tab w:pos="4561" w:val="left" w:leader="none"/>
          <w:tab w:pos="7612" w:val="left" w:leader="none"/>
          <w:tab w:pos="9279" w:val="right" w:leader="none"/>
        </w:tabs>
        <w:spacing w:line="219" w:lineRule="exact"/>
        <w:ind w:left="360"/>
      </w:pPr>
      <w:r>
        <w:rPr>
          <w:color w:val="231F20"/>
        </w:rPr>
        <w:t>fuel contracts — noncurrent  . . . . .</w:t>
      </w:r>
      <w:r>
        <w:rPr>
          <w:color w:val="231F20"/>
          <w:spacing w:val="-7"/>
        </w:rPr>
        <w:t> </w:t>
      </w:r>
      <w:r>
        <w:rPr>
          <w:color w:val="231F20"/>
        </w:rPr>
        <w:t>. .</w:t>
        <w:tab/>
        <w:t>Other assets</w:t>
        <w:tab/>
        <w:t>—</w:t>
        <w:tab/>
        <w:t>54</w:t>
      </w:r>
    </w:p>
    <w:p>
      <w:pPr>
        <w:spacing w:after="0" w:line="219" w:lineRule="exact"/>
        <w:sectPr>
          <w:type w:val="continuous"/>
          <w:pgSz w:w="11880" w:h="15480"/>
          <w:pgMar w:top="1200" w:bottom="280" w:left="1220" w:right="1220"/>
        </w:sectPr>
      </w:pPr>
    </w:p>
    <w:p>
      <w:pPr>
        <w:pStyle w:val="BodyText"/>
        <w:spacing w:line="215" w:lineRule="exact"/>
        <w:ind w:left="160"/>
      </w:pPr>
      <w:r>
        <w:rPr>
          <w:color w:val="231F20"/>
        </w:rPr>
        <w:t>Prepaid settlements for</w:t>
      </w:r>
    </w:p>
    <w:p>
      <w:pPr>
        <w:pStyle w:val="BodyText"/>
        <w:spacing w:line="225" w:lineRule="exact"/>
        <w:ind w:left="360"/>
      </w:pPr>
      <w:r>
        <w:rPr>
          <w:color w:val="231F20"/>
        </w:rPr>
        <w:t>fuel contracts — current  . . . . . . . . . . </w:t>
      </w:r>
    </w:p>
    <w:p>
      <w:pPr>
        <w:pStyle w:val="BodyText"/>
        <w:spacing w:line="215" w:lineRule="exact"/>
        <w:ind w:left="160"/>
      </w:pPr>
      <w:r>
        <w:rPr/>
        <w:br w:type="column"/>
      </w:r>
      <w:r>
        <w:rPr>
          <w:color w:val="231F20"/>
        </w:rPr>
        <w:t>Prepaid expenses and</w:t>
      </w:r>
    </w:p>
    <w:p>
      <w:pPr>
        <w:pStyle w:val="BodyText"/>
        <w:tabs>
          <w:tab w:pos="3585" w:val="left" w:leader="none"/>
          <w:tab w:pos="5252" w:val="right" w:leader="none"/>
        </w:tabs>
        <w:spacing w:line="225" w:lineRule="exact"/>
        <w:ind w:left="248"/>
      </w:pPr>
      <w:r>
        <w:rPr>
          <w:color w:val="231F20"/>
        </w:rPr>
        <w:t>other</w:t>
      </w:r>
      <w:r>
        <w:rPr>
          <w:color w:val="231F20"/>
          <w:spacing w:val="1"/>
        </w:rPr>
        <w:t> </w:t>
      </w:r>
      <w:r>
        <w:rPr>
          <w:color w:val="231F20"/>
        </w:rPr>
        <w:t>current</w:t>
      </w:r>
      <w:r>
        <w:rPr>
          <w:color w:val="231F20"/>
          <w:spacing w:val="1"/>
        </w:rPr>
        <w:t> </w:t>
      </w:r>
      <w:r>
        <w:rPr>
          <w:color w:val="231F20"/>
        </w:rPr>
        <w:t>assets</w:t>
        <w:tab/>
        <w:t>—</w:t>
        <w:tab/>
        <w:t>15</w:t>
      </w:r>
    </w:p>
    <w:p>
      <w:pPr>
        <w:spacing w:after="0" w:line="225" w:lineRule="exact"/>
        <w:sectPr>
          <w:type w:val="continuous"/>
          <w:pgSz w:w="11880" w:h="15480"/>
          <w:pgMar w:top="1200" w:bottom="280" w:left="1220" w:right="1220"/>
          <w:cols w:num="2" w:equalWidth="0">
            <w:col w:w="3404" w:space="623"/>
            <w:col w:w="5413"/>
          </w:cols>
        </w:sectPr>
      </w:pPr>
    </w:p>
    <w:p>
      <w:pPr>
        <w:pStyle w:val="BodyText"/>
        <w:spacing w:line="249" w:lineRule="auto" w:before="205"/>
        <w:ind w:left="160" w:right="301" w:firstLine="490"/>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w:t>
      </w:r>
    </w:p>
    <w:p>
      <w:pPr>
        <w:spacing w:after="0" w:line="249" w:lineRule="auto"/>
        <w:sectPr>
          <w:type w:val="continuous"/>
          <w:pgSz w:w="11880" w:h="15480"/>
          <w:pgMar w:top="1200" w:bottom="280" w:left="1220" w:right="1220"/>
        </w:sectPr>
      </w:pPr>
    </w:p>
    <w:p>
      <w:pPr>
        <w:pStyle w:val="BodyText"/>
        <w:spacing w:line="249" w:lineRule="auto" w:before="73"/>
        <w:ind w:left="120" w:right="150"/>
      </w:pPr>
      <w:r>
        <w:rPr>
          <w:color w:val="231F20"/>
        </w:rPr>
        <w:t>Balance Sheet are those in which the Company pays or receives cash for transactions with the same counterparty that settle on the same day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before="10"/>
      </w:pPr>
    </w:p>
    <w:p>
      <w:pPr>
        <w:pStyle w:val="BodyText"/>
        <w:spacing w:line="249" w:lineRule="auto" w:before="1"/>
        <w:ind w:left="120" w:right="228" w:firstLine="490"/>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 instruments. At December 31, 2013, and December 31, 2012, no cash collateral deposits, letters of credit, and/or aircraft collateral were provided by or held by the Company associated with its outstanding fuel derivative instruments.</w:t>
      </w:r>
    </w:p>
    <w:p>
      <w:pPr>
        <w:pStyle w:val="BodyText"/>
        <w:spacing w:before="11"/>
      </w:pPr>
    </w:p>
    <w:p>
      <w:pPr>
        <w:pStyle w:val="BodyText"/>
        <w:spacing w:line="249" w:lineRule="auto"/>
        <w:ind w:left="120" w:right="243" w:firstLine="490"/>
      </w:pPr>
      <w:r>
        <w:rPr>
          <w:color w:val="231F20"/>
        </w:rPr>
        <w:t>As of December 31, 2013, $31 million had been provided to one counterparty associated with interest rate derivatives based on the Company’s outstanding net liability derivative position with that counterparty. In addition, in connection with interest rate swaps entered into by AirTran, $1 million had been provided to one counterparty at December 31, 2013, as a result of the outstanding net liability derivative position with that counterparty. The outstanding interest rate net derivative positions with all other counterparties at December 31, 2013, were assets to the Company.</w:t>
      </w:r>
    </w:p>
    <w:p>
      <w:pPr>
        <w:pStyle w:val="BodyText"/>
        <w:spacing w:before="10"/>
      </w:pPr>
    </w:p>
    <w:p>
      <w:pPr>
        <w:pStyle w:val="BodyText"/>
        <w:spacing w:line="249" w:lineRule="auto" w:before="1"/>
        <w:ind w:left="120" w:right="132" w:firstLine="490"/>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pStyle w:val="BodyText"/>
        <w:spacing w:before="5"/>
        <w:rPr>
          <w:sz w:val="23"/>
        </w:rPr>
      </w:pPr>
    </w:p>
    <w:p>
      <w:pPr>
        <w:spacing w:after="0"/>
        <w:rPr>
          <w:sz w:val="23"/>
        </w:rPr>
        <w:sectPr>
          <w:pgSz w:w="11880" w:h="15480"/>
          <w:pgMar w:header="0" w:footer="1253" w:top="1240" w:bottom="1440" w:left="1260" w:right="1260"/>
        </w:sectPr>
      </w:pPr>
    </w:p>
    <w:p>
      <w:pPr>
        <w:pStyle w:val="Heading3"/>
        <w:spacing w:before="91"/>
        <w:ind w:left="120"/>
      </w:pPr>
      <w:r>
        <w:rPr>
          <w:color w:val="231F20"/>
        </w:rPr>
        <w:t>Offsetting of derivative assets</w:t>
      </w:r>
    </w:p>
    <w:p>
      <w:pPr>
        <w:pStyle w:val="BodyText"/>
        <w:rPr>
          <w:b/>
          <w:sz w:val="18"/>
        </w:rPr>
      </w:pPr>
      <w:r>
        <w:rPr/>
        <w:br w:type="column"/>
      </w:r>
      <w:r>
        <w:rPr>
          <w:b/>
          <w:sz w:val="18"/>
        </w:rPr>
      </w:r>
    </w:p>
    <w:p>
      <w:pPr>
        <w:pStyle w:val="BodyText"/>
        <w:spacing w:before="6"/>
        <w:rPr>
          <w:b/>
          <w:sz w:val="17"/>
        </w:rPr>
      </w:pPr>
    </w:p>
    <w:p>
      <w:pPr>
        <w:tabs>
          <w:tab w:pos="830" w:val="left" w:leader="none"/>
          <w:tab w:pos="1280" w:val="left" w:leader="none"/>
          <w:tab w:pos="2568" w:val="left" w:leader="none"/>
          <w:tab w:pos="3279" w:val="left" w:leader="none"/>
          <w:tab w:pos="3729" w:val="left" w:leader="none"/>
        </w:tabs>
        <w:spacing w:line="167" w:lineRule="exact" w:before="0"/>
        <w:ind w:left="120" w:right="0" w:firstLine="0"/>
        <w:jc w:val="left"/>
        <w:rPr>
          <w:b/>
          <w:sz w:val="16"/>
        </w:rPr>
      </w:pPr>
      <w:r>
        <w:rPr>
          <w:b/>
          <w:color w:val="231F20"/>
          <w:sz w:val="16"/>
        </w:rPr>
        <w:t>(i)</w:t>
        <w:tab/>
        <w:t>(ii)</w:t>
        <w:tab/>
        <w:t>(iii) = (i)</w:t>
      </w:r>
      <w:r>
        <w:rPr>
          <w:b/>
          <w:color w:val="231F20"/>
          <w:spacing w:val="-6"/>
          <w:sz w:val="16"/>
        </w:rPr>
        <w:t> </w:t>
      </w:r>
      <w:r>
        <w:rPr>
          <w:b/>
          <w:color w:val="231F20"/>
          <w:sz w:val="16"/>
        </w:rPr>
        <w:t>+</w:t>
      </w:r>
      <w:r>
        <w:rPr>
          <w:b/>
          <w:color w:val="231F20"/>
          <w:spacing w:val="-1"/>
          <w:sz w:val="16"/>
        </w:rPr>
        <w:t> </w:t>
      </w:r>
      <w:r>
        <w:rPr>
          <w:b/>
          <w:color w:val="231F20"/>
          <w:sz w:val="16"/>
        </w:rPr>
        <w:t>(ii)</w:t>
        <w:tab/>
        <w:t>(i)</w:t>
        <w:tab/>
        <w:t>(ii)</w:t>
        <w:tab/>
        <w:t>(iii) = (i) +</w:t>
      </w:r>
      <w:r>
        <w:rPr>
          <w:b/>
          <w:color w:val="231F20"/>
          <w:spacing w:val="-7"/>
          <w:sz w:val="16"/>
        </w:rPr>
        <w:t> </w:t>
      </w:r>
      <w:r>
        <w:rPr>
          <w:b/>
          <w:color w:val="231F20"/>
          <w:sz w:val="16"/>
        </w:rPr>
        <w:t>(ii)</w:t>
      </w:r>
    </w:p>
    <w:p>
      <w:pPr>
        <w:spacing w:after="0" w:line="167" w:lineRule="exact"/>
        <w:jc w:val="left"/>
        <w:rPr>
          <w:sz w:val="16"/>
        </w:rPr>
        <w:sectPr>
          <w:type w:val="continuous"/>
          <w:pgSz w:w="11880" w:h="15480"/>
          <w:pgMar w:top="1200" w:bottom="280" w:left="1260" w:right="1260"/>
          <w:cols w:num="2" w:equalWidth="0">
            <w:col w:w="2641" w:space="1945"/>
            <w:col w:w="4774"/>
          </w:cols>
        </w:sectPr>
      </w:pPr>
    </w:p>
    <w:p>
      <w:pPr>
        <w:tabs>
          <w:tab w:pos="4949" w:val="left" w:leader="none"/>
          <w:tab w:pos="7398" w:val="left" w:leader="none"/>
        </w:tabs>
        <w:spacing w:line="176" w:lineRule="exact" w:before="0"/>
        <w:ind w:left="119" w:right="0" w:firstLine="0"/>
        <w:jc w:val="left"/>
        <w:rPr>
          <w:b/>
          <w:sz w:val="16"/>
        </w:rPr>
      </w:pPr>
      <w:r>
        <w:rPr/>
        <w:pict>
          <v:group style="position:absolute;margin-left:282.600006pt;margin-top:10.078895pt;width:242.9pt;height:1pt;mso-position-horizontal-relative:page;mso-position-vertical-relative:paragraph;z-index:6304" coordorigin="5652,202" coordsize="4858,20">
            <v:line style="position:absolute" from="5662,212" to="8051,212" stroked="true" strokeweight="1pt" strokecolor="#231f20">
              <v:stroke dashstyle="solid"/>
            </v:line>
            <v:line style="position:absolute" from="8111,212" to="10500,212" stroked="true" strokeweight="1pt" strokecolor="#231f20">
              <v:stroke dashstyle="solid"/>
            </v:line>
            <w10:wrap type="none"/>
          </v:group>
        </w:pict>
      </w:r>
      <w:r>
        <w:rPr>
          <w:b/>
          <w:color w:val="231F20"/>
          <w:sz w:val="16"/>
        </w:rPr>
        <w:t>(in</w:t>
      </w:r>
      <w:r>
        <w:rPr>
          <w:b/>
          <w:color w:val="231F20"/>
          <w:spacing w:val="-1"/>
          <w:sz w:val="16"/>
        </w:rPr>
        <w:t> </w:t>
      </w:r>
      <w:r>
        <w:rPr>
          <w:b/>
          <w:color w:val="231F20"/>
          <w:sz w:val="16"/>
        </w:rPr>
        <w:t>millions)</w:t>
        <w:tab/>
        <w:t>December 31, 2013</w:t>
        <w:tab/>
        <w:t>December 31, 2012</w:t>
      </w:r>
    </w:p>
    <w:p>
      <w:pPr>
        <w:spacing w:after="0" w:line="176" w:lineRule="exact"/>
        <w:jc w:val="left"/>
        <w:rPr>
          <w:sz w:val="16"/>
        </w:rPr>
        <w:sectPr>
          <w:type w:val="continuous"/>
          <w:pgSz w:w="11880" w:h="15480"/>
          <w:pgMar w:top="1200" w:bottom="280" w:left="1260" w:right="1260"/>
        </w:sectPr>
      </w:pPr>
    </w:p>
    <w:p>
      <w:pPr>
        <w:pStyle w:val="BodyText"/>
        <w:spacing w:before="2"/>
        <w:rPr>
          <w:b/>
          <w:sz w:val="2"/>
        </w:rPr>
      </w:pPr>
    </w:p>
    <w:p>
      <w:pPr>
        <w:pStyle w:val="BodyText"/>
        <w:spacing w:line="20" w:lineRule="exact"/>
        <w:ind w:left="110"/>
        <w:rPr>
          <w:sz w:val="2"/>
        </w:rPr>
      </w:pPr>
      <w:r>
        <w:rPr>
          <w:sz w:val="2"/>
        </w:rPr>
        <w:pict>
          <v:group style="width:106.55pt;height:1pt;mso-position-horizontal-relative:char;mso-position-vertical-relative:line" coordorigin="0,0" coordsize="2131,20">
            <v:line style="position:absolute" from="10,10" to="2121,10" stroked="true" strokeweight="1pt" strokecolor="#231f20">
              <v:stroke dashstyle="solid"/>
            </v:line>
          </v:group>
        </w:pict>
      </w:r>
      <w:r>
        <w:rPr>
          <w:sz w:val="2"/>
        </w:rPr>
      </w:r>
    </w:p>
    <w:p>
      <w:pPr>
        <w:spacing w:line="172" w:lineRule="exact" w:before="11"/>
        <w:ind w:left="0" w:right="1046" w:firstLine="0"/>
        <w:jc w:val="right"/>
        <w:rPr>
          <w:b/>
          <w:sz w:val="16"/>
        </w:rPr>
      </w:pPr>
      <w:r>
        <w:rPr>
          <w:b/>
          <w:color w:val="231F20"/>
          <w:sz w:val="16"/>
        </w:rPr>
        <w:t>Gross</w:t>
      </w:r>
    </w:p>
    <w:p>
      <w:pPr>
        <w:spacing w:line="155" w:lineRule="exact" w:before="0"/>
        <w:ind w:left="0" w:right="0" w:firstLine="0"/>
        <w:jc w:val="right"/>
        <w:rPr>
          <w:b/>
          <w:sz w:val="16"/>
        </w:rPr>
      </w:pPr>
      <w:r>
        <w:rPr>
          <w:b/>
          <w:color w:val="231F20"/>
          <w:sz w:val="16"/>
        </w:rPr>
        <w:t>amounts  Net amounts</w:t>
      </w:r>
    </w:p>
    <w:p>
      <w:pPr>
        <w:spacing w:line="172" w:lineRule="exact" w:before="56"/>
        <w:ind w:left="941" w:right="1175" w:firstLine="0"/>
        <w:jc w:val="center"/>
        <w:rPr>
          <w:b/>
          <w:sz w:val="16"/>
        </w:rPr>
      </w:pPr>
      <w:r>
        <w:rPr/>
        <w:br w:type="column"/>
      </w:r>
      <w:r>
        <w:rPr>
          <w:b/>
          <w:color w:val="231F20"/>
          <w:sz w:val="16"/>
        </w:rPr>
        <w:t>Gross</w:t>
      </w:r>
    </w:p>
    <w:p>
      <w:pPr>
        <w:spacing w:line="155" w:lineRule="exact" w:before="0"/>
        <w:ind w:left="867" w:right="0" w:firstLine="0"/>
        <w:jc w:val="left"/>
        <w:rPr>
          <w:b/>
          <w:sz w:val="16"/>
        </w:rPr>
      </w:pPr>
      <w:r>
        <w:rPr>
          <w:b/>
          <w:color w:val="231F20"/>
          <w:sz w:val="16"/>
        </w:rPr>
        <w:t>amounts  Net amounts</w:t>
      </w:r>
    </w:p>
    <w:p>
      <w:pPr>
        <w:spacing w:after="0" w:line="155" w:lineRule="exact"/>
        <w:jc w:val="left"/>
        <w:rPr>
          <w:sz w:val="16"/>
        </w:rPr>
        <w:sectPr>
          <w:type w:val="continuous"/>
          <w:pgSz w:w="11880" w:h="15480"/>
          <w:pgMar w:top="1200" w:bottom="280" w:left="1260" w:right="1260"/>
          <w:cols w:num="2" w:equalWidth="0">
            <w:col w:w="6763" w:space="40"/>
            <w:col w:w="2557"/>
          </w:cols>
        </w:sectPr>
      </w:pPr>
    </w:p>
    <w:p>
      <w:pPr>
        <w:spacing w:line="160" w:lineRule="exact" w:before="14"/>
        <w:ind w:left="4402" w:right="-19" w:firstLine="180"/>
        <w:jc w:val="left"/>
        <w:rPr>
          <w:b/>
          <w:sz w:val="16"/>
        </w:rPr>
      </w:pPr>
      <w:r>
        <w:rPr>
          <w:b/>
          <w:color w:val="231F20"/>
          <w:sz w:val="16"/>
        </w:rPr>
        <w:t>Gross amounts</w:t>
      </w:r>
      <w:r>
        <w:rPr>
          <w:b/>
          <w:color w:val="231F20"/>
          <w:spacing w:val="-2"/>
          <w:sz w:val="16"/>
        </w:rPr>
        <w:t> </w:t>
      </w:r>
      <w:r>
        <w:rPr>
          <w:b/>
          <w:color w:val="231F20"/>
          <w:sz w:val="16"/>
        </w:rPr>
        <w:t>of</w:t>
      </w:r>
    </w:p>
    <w:p>
      <w:pPr>
        <w:spacing w:line="160" w:lineRule="exact" w:before="14"/>
        <w:ind w:left="205" w:right="-19" w:hanging="167"/>
        <w:jc w:val="left"/>
        <w:rPr>
          <w:b/>
          <w:sz w:val="16"/>
        </w:rPr>
      </w:pPr>
      <w:r>
        <w:rPr/>
        <w:br w:type="column"/>
      </w:r>
      <w:r>
        <w:rPr>
          <w:b/>
          <w:color w:val="231F20"/>
          <w:sz w:val="16"/>
        </w:rPr>
        <w:t>offset in the</w:t>
      </w:r>
    </w:p>
    <w:p>
      <w:pPr>
        <w:spacing w:line="160" w:lineRule="exact" w:before="14"/>
        <w:ind w:left="82" w:right="-19" w:firstLine="137"/>
        <w:jc w:val="left"/>
        <w:rPr>
          <w:b/>
          <w:sz w:val="16"/>
        </w:rPr>
      </w:pPr>
      <w:r>
        <w:rPr/>
        <w:br w:type="column"/>
      </w:r>
      <w:r>
        <w:rPr>
          <w:b/>
          <w:color w:val="231F20"/>
          <w:sz w:val="16"/>
        </w:rPr>
        <w:t>of assets presented in</w:t>
      </w:r>
    </w:p>
    <w:p>
      <w:pPr>
        <w:spacing w:line="160" w:lineRule="exact" w:before="14"/>
        <w:ind w:left="62" w:right="-19" w:firstLine="180"/>
        <w:jc w:val="left"/>
        <w:rPr>
          <w:b/>
          <w:sz w:val="16"/>
        </w:rPr>
      </w:pPr>
      <w:r>
        <w:rPr/>
        <w:br w:type="column"/>
      </w:r>
      <w:r>
        <w:rPr>
          <w:b/>
          <w:color w:val="231F20"/>
          <w:sz w:val="16"/>
        </w:rPr>
        <w:t>Gross amounts</w:t>
      </w:r>
      <w:r>
        <w:rPr>
          <w:b/>
          <w:color w:val="231F20"/>
          <w:spacing w:val="-2"/>
          <w:sz w:val="16"/>
        </w:rPr>
        <w:t> </w:t>
      </w:r>
      <w:r>
        <w:rPr>
          <w:b/>
          <w:color w:val="231F20"/>
          <w:sz w:val="16"/>
        </w:rPr>
        <w:t>of</w:t>
      </w:r>
    </w:p>
    <w:p>
      <w:pPr>
        <w:spacing w:line="160" w:lineRule="exact" w:before="14"/>
        <w:ind w:left="205" w:right="-19" w:hanging="167"/>
        <w:jc w:val="left"/>
        <w:rPr>
          <w:b/>
          <w:sz w:val="16"/>
        </w:rPr>
      </w:pPr>
      <w:r>
        <w:rPr/>
        <w:br w:type="column"/>
      </w:r>
      <w:r>
        <w:rPr>
          <w:b/>
          <w:color w:val="231F20"/>
          <w:sz w:val="16"/>
        </w:rPr>
        <w:t>offset in the</w:t>
      </w:r>
    </w:p>
    <w:p>
      <w:pPr>
        <w:spacing w:line="160" w:lineRule="exact" w:before="14"/>
        <w:ind w:left="82" w:right="0" w:firstLine="137"/>
        <w:jc w:val="left"/>
        <w:rPr>
          <w:b/>
          <w:sz w:val="16"/>
        </w:rPr>
      </w:pPr>
      <w:r>
        <w:rPr/>
        <w:br w:type="column"/>
      </w:r>
      <w:r>
        <w:rPr>
          <w:b/>
          <w:color w:val="231F20"/>
          <w:sz w:val="16"/>
        </w:rPr>
        <w:t>of assets presented in</w:t>
      </w:r>
    </w:p>
    <w:p>
      <w:pPr>
        <w:spacing w:after="0" w:line="160" w:lineRule="exact"/>
        <w:jc w:val="left"/>
        <w:rPr>
          <w:sz w:val="16"/>
        </w:rPr>
        <w:sectPr>
          <w:type w:val="continuous"/>
          <w:pgSz w:w="11880" w:h="15480"/>
          <w:pgMar w:top="1200" w:bottom="280" w:left="1260" w:right="1260"/>
          <w:cols w:num="6" w:equalWidth="0">
            <w:col w:w="5162" w:space="40"/>
            <w:col w:w="586" w:space="40"/>
            <w:col w:w="923" w:space="40"/>
            <w:col w:w="822" w:space="40"/>
            <w:col w:w="586" w:space="40"/>
            <w:col w:w="1081"/>
          </w:cols>
        </w:sectPr>
      </w:pPr>
    </w:p>
    <w:p>
      <w:pPr>
        <w:spacing w:line="146" w:lineRule="exact" w:before="0"/>
        <w:ind w:left="0" w:right="0" w:firstLine="0"/>
        <w:jc w:val="right"/>
        <w:rPr>
          <w:b/>
          <w:sz w:val="16"/>
        </w:rPr>
      </w:pPr>
      <w:r>
        <w:rPr>
          <w:b/>
          <w:color w:val="231F20"/>
          <w:sz w:val="16"/>
        </w:rPr>
        <w:t>Balance Sheet</w:t>
      </w:r>
    </w:p>
    <w:p>
      <w:pPr>
        <w:spacing w:line="146" w:lineRule="exact" w:before="0"/>
        <w:ind w:left="578" w:right="0" w:firstLine="0"/>
        <w:jc w:val="left"/>
        <w:rPr>
          <w:b/>
          <w:sz w:val="16"/>
        </w:rPr>
      </w:pPr>
      <w:r>
        <w:rPr/>
        <w:br w:type="column"/>
      </w:r>
      <w:r>
        <w:rPr>
          <w:b/>
          <w:color w:val="231F20"/>
          <w:sz w:val="16"/>
        </w:rPr>
        <w:t>recognized  Balance</w:t>
      </w:r>
    </w:p>
    <w:p>
      <w:pPr>
        <w:spacing w:line="146" w:lineRule="exact" w:before="0"/>
        <w:ind w:left="105" w:right="0" w:firstLine="0"/>
        <w:jc w:val="left"/>
        <w:rPr>
          <w:b/>
          <w:sz w:val="16"/>
        </w:rPr>
      </w:pPr>
      <w:r>
        <w:rPr/>
        <w:br w:type="column"/>
      </w:r>
      <w:r>
        <w:rPr>
          <w:b/>
          <w:color w:val="231F20"/>
          <w:sz w:val="16"/>
        </w:rPr>
        <w:t>the Balance</w:t>
      </w:r>
    </w:p>
    <w:p>
      <w:pPr>
        <w:spacing w:line="146" w:lineRule="exact" w:before="0"/>
        <w:ind w:left="95" w:right="0" w:firstLine="0"/>
        <w:jc w:val="left"/>
        <w:rPr>
          <w:b/>
          <w:sz w:val="16"/>
        </w:rPr>
      </w:pPr>
      <w:r>
        <w:rPr/>
        <w:br w:type="column"/>
      </w:r>
      <w:r>
        <w:rPr>
          <w:b/>
          <w:color w:val="231F20"/>
          <w:sz w:val="16"/>
        </w:rPr>
        <w:t>recognized  Balance</w:t>
      </w:r>
    </w:p>
    <w:p>
      <w:pPr>
        <w:spacing w:line="146" w:lineRule="exact" w:before="0"/>
        <w:ind w:left="105" w:right="0" w:firstLine="0"/>
        <w:jc w:val="left"/>
        <w:rPr>
          <w:b/>
          <w:sz w:val="16"/>
        </w:rPr>
      </w:pPr>
      <w:r>
        <w:rPr/>
        <w:br w:type="column"/>
      </w:r>
      <w:r>
        <w:rPr>
          <w:b/>
          <w:color w:val="231F20"/>
          <w:sz w:val="16"/>
        </w:rPr>
        <w:t>the Balance</w:t>
      </w:r>
    </w:p>
    <w:p>
      <w:pPr>
        <w:spacing w:after="0" w:line="146" w:lineRule="exact"/>
        <w:jc w:val="left"/>
        <w:rPr>
          <w:sz w:val="16"/>
        </w:rPr>
        <w:sectPr>
          <w:type w:val="continuous"/>
          <w:pgSz w:w="11880" w:h="15480"/>
          <w:pgMar w:top="1200" w:bottom="280" w:left="1260" w:right="1260"/>
          <w:cols w:num="5" w:equalWidth="0">
            <w:col w:w="3795" w:space="40"/>
            <w:col w:w="1952" w:space="40"/>
            <w:col w:w="902" w:space="40"/>
            <w:col w:w="1468" w:space="40"/>
            <w:col w:w="1083"/>
          </w:cols>
        </w:sectPr>
      </w:pPr>
    </w:p>
    <w:p>
      <w:pPr>
        <w:spacing w:line="177" w:lineRule="exact" w:before="0"/>
        <w:ind w:left="120" w:right="0" w:firstLine="0"/>
        <w:jc w:val="left"/>
        <w:rPr>
          <w:b/>
          <w:sz w:val="16"/>
        </w:rPr>
      </w:pPr>
      <w:r>
        <w:rPr/>
        <w:pict>
          <v:group style="position:absolute;margin-left:68.5pt;margin-top:10.1121pt;width:457pt;height:1pt;mso-position-horizontal-relative:page;mso-position-vertical-relative:paragraph;z-index:6328" coordorigin="1370,202" coordsize="9140,20">
            <v:line style="position:absolute" from="1380,212" to="3491,212" stroked="true" strokeweight="1pt" strokecolor="#231f20">
              <v:stroke dashstyle="solid"/>
            </v:line>
            <v:line style="position:absolute" from="3551,212" to="5602,212" stroked="true" strokeweight="1pt" strokecolor="#231f20">
              <v:stroke dashstyle="solid"/>
            </v:line>
            <v:line style="position:absolute" from="5662,212" to="6421,212" stroked="true" strokeweight="1pt" strokecolor="#231f20">
              <v:stroke dashstyle="solid"/>
            </v:line>
            <v:line style="position:absolute" from="6481,212" to="7067,212" stroked="true" strokeweight="1pt" strokecolor="#231f20">
              <v:stroke dashstyle="solid"/>
            </v:line>
            <v:line style="position:absolute" from="7127,212" to="8051,212" stroked="true" strokeweight="1pt" strokecolor="#231f20">
              <v:stroke dashstyle="solid"/>
            </v:line>
            <v:line style="position:absolute" from="8111,212" to="8870,212" stroked="true" strokeweight="1pt" strokecolor="#231f20">
              <v:stroke dashstyle="solid"/>
            </v:line>
            <v:line style="position:absolute" from="8930,212" to="9516,212" stroked="true" strokeweight="1pt" strokecolor="#231f20">
              <v:stroke dashstyle="solid"/>
            </v:line>
            <v:line style="position:absolute" from="9576,212" to="10500,212" stroked="true" strokeweight="1pt" strokecolor="#231f20">
              <v:stroke dashstyle="solid"/>
            </v:line>
            <w10:wrap type="none"/>
          </v:group>
        </w:pict>
      </w:r>
      <w:r>
        <w:rPr>
          <w:b/>
          <w:color w:val="231F20"/>
          <w:sz w:val="16"/>
        </w:rPr>
        <w:t>Description</w:t>
      </w:r>
    </w:p>
    <w:p>
      <w:pPr>
        <w:spacing w:line="177" w:lineRule="exact" w:before="0"/>
        <w:ind w:left="120" w:right="0" w:firstLine="0"/>
        <w:jc w:val="left"/>
        <w:rPr>
          <w:b/>
          <w:sz w:val="16"/>
        </w:rPr>
      </w:pPr>
      <w:r>
        <w:rPr/>
        <w:br w:type="column"/>
      </w:r>
      <w:r>
        <w:rPr>
          <w:b/>
          <w:color w:val="231F20"/>
          <w:sz w:val="16"/>
        </w:rPr>
        <w:t>location</w:t>
      </w:r>
    </w:p>
    <w:p>
      <w:pPr>
        <w:spacing w:line="177" w:lineRule="exact" w:before="0"/>
        <w:ind w:left="120" w:right="0" w:firstLine="0"/>
        <w:jc w:val="left"/>
        <w:rPr>
          <w:b/>
          <w:sz w:val="16"/>
        </w:rPr>
      </w:pPr>
      <w:r>
        <w:rPr/>
        <w:br w:type="column"/>
      </w:r>
      <w:r>
        <w:rPr>
          <w:b/>
          <w:color w:val="231F20"/>
          <w:sz w:val="16"/>
        </w:rPr>
        <w:t>assets</w:t>
      </w:r>
    </w:p>
    <w:p>
      <w:pPr>
        <w:spacing w:line="177" w:lineRule="exact" w:before="0"/>
        <w:ind w:left="120" w:right="0" w:firstLine="0"/>
        <w:jc w:val="left"/>
        <w:rPr>
          <w:b/>
          <w:sz w:val="16"/>
        </w:rPr>
      </w:pPr>
      <w:r>
        <w:rPr/>
        <w:br w:type="column"/>
      </w:r>
      <w:r>
        <w:rPr>
          <w:b/>
          <w:color w:val="231F20"/>
          <w:sz w:val="16"/>
        </w:rPr>
        <w:t>Sheet</w:t>
      </w:r>
    </w:p>
    <w:p>
      <w:pPr>
        <w:spacing w:line="177" w:lineRule="exact" w:before="0"/>
        <w:ind w:left="120" w:right="0" w:firstLine="0"/>
        <w:jc w:val="left"/>
        <w:rPr>
          <w:b/>
          <w:sz w:val="16"/>
        </w:rPr>
      </w:pPr>
      <w:r>
        <w:rPr/>
        <w:br w:type="column"/>
      </w:r>
      <w:r>
        <w:rPr>
          <w:b/>
          <w:color w:val="231F20"/>
          <w:sz w:val="16"/>
        </w:rPr>
        <w:t>Sheet</w:t>
      </w:r>
    </w:p>
    <w:p>
      <w:pPr>
        <w:spacing w:line="177" w:lineRule="exact" w:before="0"/>
        <w:ind w:left="120" w:right="0" w:firstLine="0"/>
        <w:jc w:val="left"/>
        <w:rPr>
          <w:b/>
          <w:sz w:val="16"/>
        </w:rPr>
      </w:pPr>
      <w:r>
        <w:rPr/>
        <w:br w:type="column"/>
      </w:r>
      <w:r>
        <w:rPr>
          <w:b/>
          <w:color w:val="231F20"/>
          <w:sz w:val="16"/>
        </w:rPr>
        <w:t>assets</w:t>
      </w:r>
    </w:p>
    <w:p>
      <w:pPr>
        <w:spacing w:line="177" w:lineRule="exact" w:before="0"/>
        <w:ind w:left="120" w:right="0" w:firstLine="0"/>
        <w:jc w:val="left"/>
        <w:rPr>
          <w:b/>
          <w:sz w:val="16"/>
        </w:rPr>
      </w:pPr>
      <w:r>
        <w:rPr/>
        <w:br w:type="column"/>
      </w:r>
      <w:r>
        <w:rPr>
          <w:b/>
          <w:color w:val="231F20"/>
          <w:sz w:val="16"/>
        </w:rPr>
        <w:t>Sheet</w:t>
      </w:r>
    </w:p>
    <w:p>
      <w:pPr>
        <w:spacing w:line="177" w:lineRule="exact" w:before="0"/>
        <w:ind w:left="120" w:right="0" w:firstLine="0"/>
        <w:jc w:val="left"/>
        <w:rPr>
          <w:b/>
          <w:sz w:val="16"/>
        </w:rPr>
      </w:pPr>
      <w:r>
        <w:rPr/>
        <w:br w:type="column"/>
      </w:r>
      <w:r>
        <w:rPr>
          <w:b/>
          <w:color w:val="231F20"/>
          <w:sz w:val="16"/>
        </w:rPr>
        <w:t>Sheet</w:t>
      </w:r>
    </w:p>
    <w:p>
      <w:pPr>
        <w:spacing w:after="0" w:line="177" w:lineRule="exact"/>
        <w:jc w:val="left"/>
        <w:rPr>
          <w:sz w:val="16"/>
        </w:rPr>
        <w:sectPr>
          <w:type w:val="continuous"/>
          <w:pgSz w:w="11880" w:h="15480"/>
          <w:pgMar w:top="1200" w:bottom="280" w:left="1260" w:right="1260"/>
          <w:cols w:num="8" w:equalWidth="0">
            <w:col w:w="912" w:space="2014"/>
            <w:col w:w="663" w:space="877"/>
            <w:col w:w="512" w:space="230"/>
            <w:col w:w="494" w:space="321"/>
            <w:col w:w="494" w:space="399"/>
            <w:col w:w="512" w:space="230"/>
            <w:col w:w="494" w:space="321"/>
            <w:col w:w="887"/>
          </w:cols>
        </w:sectPr>
      </w:pPr>
    </w:p>
    <w:p>
      <w:pPr>
        <w:spacing w:line="199" w:lineRule="exact" w:before="67"/>
        <w:ind w:left="120" w:right="0" w:firstLine="0"/>
        <w:jc w:val="left"/>
        <w:rPr>
          <w:sz w:val="18"/>
        </w:rPr>
      </w:pPr>
      <w:r>
        <w:rPr>
          <w:color w:val="231F20"/>
          <w:sz w:val="18"/>
        </w:rPr>
        <w:t>Fuel derivative contracts  . . .  Prepaid expenses and other</w:t>
      </w:r>
    </w:p>
    <w:p>
      <w:pPr>
        <w:spacing w:line="191" w:lineRule="exact" w:before="0"/>
        <w:ind w:left="2829" w:right="0" w:firstLine="0"/>
        <w:jc w:val="left"/>
        <w:rPr>
          <w:sz w:val="18"/>
        </w:rPr>
      </w:pPr>
      <w:r>
        <w:rPr>
          <w:color w:val="231F20"/>
          <w:sz w:val="18"/>
        </w:rPr>
        <w:t>current assets</w:t>
      </w:r>
    </w:p>
    <w:p>
      <w:pPr>
        <w:tabs>
          <w:tab w:pos="821" w:val="left" w:leader="none"/>
          <w:tab w:pos="1666" w:val="left" w:leader="none"/>
          <w:tab w:pos="2568" w:val="left" w:leader="none"/>
          <w:tab w:pos="3270" w:val="left" w:leader="none"/>
          <w:tab w:pos="4115" w:val="left" w:leader="none"/>
        </w:tabs>
        <w:spacing w:before="67"/>
        <w:ind w:left="120" w:right="0" w:firstLine="0"/>
        <w:jc w:val="left"/>
        <w:rPr>
          <w:sz w:val="18"/>
        </w:rPr>
      </w:pPr>
      <w:r>
        <w:rPr/>
        <w:br w:type="column"/>
      </w:r>
      <w:r>
        <w:rPr>
          <w:color w:val="231F20"/>
          <w:sz w:val="18"/>
        </w:rPr>
        <w:t>$249</w:t>
        <w:tab/>
        <w:t>$(182)</w:t>
        <w:tab/>
        <w:t>$  67(a)</w:t>
        <w:tab/>
        <w:t>$375</w:t>
        <w:tab/>
        <w:t>$(327)</w:t>
        <w:tab/>
        <w:t>$  48(a)</w:t>
      </w:r>
    </w:p>
    <w:p>
      <w:pPr>
        <w:spacing w:after="0"/>
        <w:jc w:val="left"/>
        <w:rPr>
          <w:sz w:val="18"/>
        </w:rPr>
        <w:sectPr>
          <w:type w:val="continuous"/>
          <w:pgSz w:w="11880" w:h="15480"/>
          <w:pgMar w:top="1200" w:bottom="280" w:left="1260" w:right="1260"/>
          <w:cols w:num="2" w:equalWidth="0">
            <w:col w:w="4299" w:space="183"/>
            <w:col w:w="4878"/>
          </w:cols>
        </w:sectPr>
      </w:pPr>
    </w:p>
    <w:p>
      <w:pPr>
        <w:tabs>
          <w:tab w:pos="2653" w:val="left" w:leader="none"/>
          <w:tab w:pos="2878" w:val="left" w:leader="none"/>
          <w:tab w:pos="4601" w:val="left" w:leader="none"/>
          <w:tab w:pos="5303" w:val="left" w:leader="none"/>
          <w:tab w:pos="6148" w:val="left" w:leader="none"/>
          <w:tab w:pos="7050" w:val="left" w:leader="none"/>
          <w:tab w:pos="7752" w:val="left" w:leader="none"/>
          <w:tab w:pos="8597" w:val="left" w:leader="none"/>
        </w:tabs>
        <w:spacing w:line="190" w:lineRule="exact" w:before="6"/>
        <w:ind w:left="120" w:right="400" w:firstLine="0"/>
        <w:jc w:val="left"/>
        <w:rPr>
          <w:sz w:val="18"/>
        </w:rPr>
      </w:pPr>
      <w:r>
        <w:rPr>
          <w:color w:val="231F20"/>
          <w:sz w:val="18"/>
        </w:rPr>
        <w:t>Fuel derivative contracts  .</w:t>
      </w:r>
      <w:r>
        <w:rPr>
          <w:color w:val="231F20"/>
          <w:spacing w:val="16"/>
          <w:sz w:val="18"/>
        </w:rPr>
        <w:t> </w:t>
      </w:r>
      <w:r>
        <w:rPr>
          <w:color w:val="231F20"/>
          <w:sz w:val="18"/>
        </w:rPr>
        <w:t>. .</w:t>
        <w:tab/>
        <w:tab/>
        <w:t>Other assets</w:t>
        <w:tab/>
        <w:t>$225</w:t>
        <w:tab/>
        <w:t>$(100)</w:t>
        <w:tab/>
        <w:t>$125</w:t>
        <w:tab/>
        <w:t>$588</w:t>
        <w:tab/>
        <w:t>$(367)</w:t>
        <w:tab/>
        <w:t>$221 Fuel derivative contracts  .</w:t>
      </w:r>
      <w:r>
        <w:rPr>
          <w:color w:val="231F20"/>
          <w:spacing w:val="16"/>
          <w:sz w:val="18"/>
        </w:rPr>
        <w:t> </w:t>
      </w:r>
      <w:r>
        <w:rPr>
          <w:color w:val="231F20"/>
          <w:sz w:val="18"/>
        </w:rPr>
        <w:t>. .</w:t>
        <w:tab/>
        <w:t>Accrued liabilities</w:t>
        <w:tab/>
        <w:t>$    9</w:t>
        <w:tab/>
        <w:t>$    (9)</w:t>
        <w:tab/>
        <w:t>$—</w:t>
        <w:tab/>
        <w:t>$  10</w:t>
        <w:tab/>
        <w:t>$  (10)</w:t>
        <w:tab/>
        <w:t>$— Fuel derivative contracts  . . .  Other</w:t>
      </w:r>
      <w:r>
        <w:rPr>
          <w:color w:val="231F20"/>
          <w:spacing w:val="35"/>
          <w:sz w:val="18"/>
        </w:rPr>
        <w:t> </w:t>
      </w:r>
      <w:r>
        <w:rPr>
          <w:color w:val="231F20"/>
          <w:sz w:val="18"/>
        </w:rPr>
        <w:t>noncurrent liabilities</w:t>
        <w:tab/>
        <w:t>$—</w:t>
        <w:tab/>
        <w:t>$</w:t>
      </w:r>
      <w:r>
        <w:rPr>
          <w:color w:val="231F20"/>
          <w:spacing w:val="14"/>
          <w:sz w:val="18"/>
        </w:rPr>
        <w:t> </w:t>
      </w:r>
      <w:r>
        <w:rPr>
          <w:color w:val="231F20"/>
          <w:sz w:val="18"/>
        </w:rPr>
        <w:t>—</w:t>
        <w:tab/>
        <w:t>$—</w:t>
        <w:tab/>
        <w:t>$—</w:t>
        <w:tab/>
        <w:t>$</w:t>
      </w:r>
      <w:r>
        <w:rPr>
          <w:color w:val="231F20"/>
          <w:spacing w:val="14"/>
          <w:sz w:val="18"/>
        </w:rPr>
        <w:t> </w:t>
      </w:r>
      <w:r>
        <w:rPr>
          <w:color w:val="231F20"/>
          <w:sz w:val="18"/>
        </w:rPr>
        <w:t>—</w:t>
        <w:tab/>
        <w:t>$—</w:t>
      </w:r>
    </w:p>
    <w:p>
      <w:pPr>
        <w:spacing w:line="183" w:lineRule="exact" w:before="0"/>
        <w:ind w:left="120" w:right="0" w:firstLine="0"/>
        <w:jc w:val="left"/>
        <w:rPr>
          <w:sz w:val="18"/>
        </w:rPr>
      </w:pPr>
      <w:r>
        <w:rPr>
          <w:color w:val="231F20"/>
          <w:sz w:val="18"/>
        </w:rPr>
        <w:t>Interest rate derivative</w:t>
      </w:r>
    </w:p>
    <w:p>
      <w:pPr>
        <w:tabs>
          <w:tab w:pos="2878" w:val="left" w:leader="none"/>
          <w:tab w:pos="4601" w:val="left" w:leader="none"/>
          <w:tab w:pos="5303" w:val="left" w:leader="none"/>
          <w:tab w:pos="6148" w:val="left" w:leader="none"/>
          <w:tab w:pos="7050" w:val="left" w:leader="none"/>
          <w:tab w:pos="7752" w:val="left" w:leader="none"/>
          <w:tab w:pos="8597" w:val="left" w:leader="none"/>
        </w:tabs>
        <w:spacing w:line="199" w:lineRule="exact" w:before="0"/>
        <w:ind w:left="300" w:right="0" w:firstLine="0"/>
        <w:jc w:val="left"/>
        <w:rPr>
          <w:sz w:val="18"/>
        </w:rPr>
      </w:pPr>
      <w:r>
        <w:rPr/>
        <w:pict>
          <v:line style="position:absolute;mso-position-horizontal-relative:page;mso-position-vertical-relative:paragraph;z-index:6280;mso-wrap-distance-left:0;mso-wrap-distance-right:0" from="69pt,15.714783pt" to="117pt,15.714783pt" stroked="true" strokeweight=".5pt" strokecolor="#231f20">
            <v:stroke dashstyle="solid"/>
            <w10:wrap type="topAndBottom"/>
          </v:line>
        </w:pict>
      </w:r>
      <w:r>
        <w:rPr>
          <w:color w:val="231F20"/>
          <w:sz w:val="18"/>
        </w:rPr>
        <w:t>contracts . . . . . . . . . . . .</w:t>
      </w:r>
      <w:r>
        <w:rPr>
          <w:color w:val="231F20"/>
          <w:spacing w:val="21"/>
          <w:sz w:val="18"/>
        </w:rPr>
        <w:t> </w:t>
      </w:r>
      <w:r>
        <w:rPr>
          <w:color w:val="231F20"/>
          <w:sz w:val="18"/>
        </w:rPr>
        <w:t>. .</w:t>
        <w:tab/>
        <w:t>Other assets</w:t>
        <w:tab/>
        <w:t>$  20</w:t>
        <w:tab/>
        <w:t>$</w:t>
      </w:r>
      <w:r>
        <w:rPr>
          <w:color w:val="231F20"/>
          <w:spacing w:val="14"/>
          <w:sz w:val="18"/>
        </w:rPr>
        <w:t> </w:t>
      </w:r>
      <w:r>
        <w:rPr>
          <w:color w:val="231F20"/>
          <w:sz w:val="18"/>
        </w:rPr>
        <w:t>—</w:t>
        <w:tab/>
        <w:t>$  20</w:t>
        <w:tab/>
        <w:t>$  31</w:t>
        <w:tab/>
        <w:t>$</w:t>
      </w:r>
      <w:r>
        <w:rPr>
          <w:color w:val="231F20"/>
          <w:spacing w:val="14"/>
          <w:sz w:val="18"/>
        </w:rPr>
        <w:t> </w:t>
      </w:r>
      <w:r>
        <w:rPr>
          <w:color w:val="231F20"/>
          <w:sz w:val="18"/>
        </w:rPr>
        <w:t>—</w:t>
        <w:tab/>
        <w:t>$  31</w:t>
      </w:r>
    </w:p>
    <w:p>
      <w:pPr>
        <w:spacing w:before="0"/>
        <w:ind w:left="120" w:right="0" w:firstLine="0"/>
        <w:jc w:val="left"/>
        <w:rPr>
          <w:sz w:val="18"/>
        </w:rPr>
      </w:pPr>
      <w:r>
        <w:rPr>
          <w:color w:val="231F20"/>
          <w:sz w:val="18"/>
        </w:rPr>
        <w:t>(a)    Amounts included in Prepaid expenses and other current assets.</w:t>
      </w:r>
    </w:p>
    <w:p>
      <w:pPr>
        <w:spacing w:after="0"/>
        <w:jc w:val="left"/>
        <w:rPr>
          <w:sz w:val="18"/>
        </w:rPr>
        <w:sectPr>
          <w:type w:val="continuous"/>
          <w:pgSz w:w="11880" w:h="15480"/>
          <w:pgMar w:top="1200" w:bottom="280" w:left="1260" w:right="1260"/>
        </w:sectPr>
      </w:pPr>
    </w:p>
    <w:p>
      <w:pPr>
        <w:pStyle w:val="Heading3"/>
        <w:spacing w:line="302" w:lineRule="auto" w:before="73"/>
        <w:ind w:left="160" w:right="-15"/>
      </w:pPr>
      <w:r>
        <w:rPr/>
        <w:pict>
          <v:line style="position:absolute;mso-position-horizontal-relative:page;mso-position-vertical-relative:paragraph;z-index:-330352" from="69pt,30.985937pt" to="525pt,30.985937pt" stroked="true" strokeweight="1pt" strokecolor="#231f20">
            <v:stroke dashstyle="solid"/>
            <w10:wrap type="none"/>
          </v:line>
        </w:pict>
      </w:r>
      <w:r>
        <w:rPr>
          <w:color w:val="231F20"/>
        </w:rPr>
        <w:t>Offsetting of derivative liabilities (in millions)</w:t>
      </w:r>
    </w:p>
    <w:p>
      <w:pPr>
        <w:pStyle w:val="BodyText"/>
        <w:rPr>
          <w:b/>
          <w:sz w:val="18"/>
        </w:rPr>
      </w:pPr>
      <w:r>
        <w:rPr/>
        <w:br w:type="column"/>
      </w:r>
      <w:r>
        <w:rPr>
          <w:b/>
          <w:sz w:val="18"/>
        </w:rPr>
      </w:r>
    </w:p>
    <w:p>
      <w:pPr>
        <w:pStyle w:val="BodyText"/>
        <w:rPr>
          <w:b/>
          <w:sz w:val="18"/>
        </w:rPr>
      </w:pPr>
    </w:p>
    <w:p>
      <w:pPr>
        <w:pStyle w:val="BodyText"/>
        <w:spacing w:before="6"/>
        <w:rPr>
          <w:b/>
          <w:sz w:val="21"/>
        </w:rPr>
      </w:pPr>
    </w:p>
    <w:p>
      <w:pPr>
        <w:tabs>
          <w:tab w:pos="870" w:val="left" w:leader="none"/>
          <w:tab w:pos="1320" w:val="left" w:leader="none"/>
          <w:tab w:pos="2608" w:val="left" w:leader="none"/>
          <w:tab w:pos="2852" w:val="left" w:leader="none"/>
          <w:tab w:pos="3319" w:val="left" w:leader="none"/>
          <w:tab w:pos="3769" w:val="left" w:leader="none"/>
        </w:tabs>
        <w:spacing w:line="160" w:lineRule="exact" w:before="0"/>
        <w:ind w:left="403" w:right="116" w:hanging="244"/>
        <w:jc w:val="left"/>
        <w:rPr>
          <w:b/>
          <w:sz w:val="16"/>
        </w:rPr>
      </w:pPr>
      <w:r>
        <w:rPr/>
        <w:pict>
          <v:group style="position:absolute;margin-left:282.600006pt;margin-top:17.4pt;width:242.9pt;height:1pt;mso-position-horizontal-relative:page;mso-position-vertical-relative:paragraph;z-index:6520" coordorigin="5652,348" coordsize="4858,20">
            <v:line style="position:absolute" from="5662,358" to="8051,358" stroked="true" strokeweight="1pt" strokecolor="#231f20">
              <v:stroke dashstyle="solid"/>
            </v:line>
            <v:line style="position:absolute" from="8111,358" to="10500,358" stroked="true" strokeweight="1pt" strokecolor="#231f20">
              <v:stroke dashstyle="solid"/>
            </v:line>
            <w10:wrap type="none"/>
          </v:group>
        </w:pict>
      </w:r>
      <w:r>
        <w:rPr>
          <w:b/>
          <w:color w:val="231F20"/>
          <w:sz w:val="16"/>
        </w:rPr>
        <w:t>(i)</w:t>
        <w:tab/>
        <w:tab/>
        <w:t>(ii)</w:t>
        <w:tab/>
        <w:t>(iii) = (i)</w:t>
      </w:r>
      <w:r>
        <w:rPr>
          <w:b/>
          <w:color w:val="231F20"/>
          <w:spacing w:val="-6"/>
          <w:sz w:val="16"/>
        </w:rPr>
        <w:t> </w:t>
      </w:r>
      <w:r>
        <w:rPr>
          <w:b/>
          <w:color w:val="231F20"/>
          <w:sz w:val="16"/>
        </w:rPr>
        <w:t>+</w:t>
      </w:r>
      <w:r>
        <w:rPr>
          <w:b/>
          <w:color w:val="231F20"/>
          <w:spacing w:val="-1"/>
          <w:sz w:val="16"/>
        </w:rPr>
        <w:t> </w:t>
      </w:r>
      <w:r>
        <w:rPr>
          <w:b/>
          <w:color w:val="231F20"/>
          <w:sz w:val="16"/>
        </w:rPr>
        <w:t>(ii)</w:t>
        <w:tab/>
        <w:t>(i)</w:t>
        <w:tab/>
        <w:tab/>
        <w:t>(ii)</w:t>
        <w:tab/>
        <w:t>(iii) = (i)</w:t>
      </w:r>
      <w:r>
        <w:rPr>
          <w:b/>
          <w:color w:val="231F20"/>
          <w:spacing w:val="-6"/>
          <w:sz w:val="16"/>
        </w:rPr>
        <w:t> </w:t>
      </w:r>
      <w:r>
        <w:rPr>
          <w:b/>
          <w:color w:val="231F20"/>
          <w:sz w:val="16"/>
        </w:rPr>
        <w:t>+</w:t>
      </w:r>
      <w:r>
        <w:rPr>
          <w:b/>
          <w:color w:val="231F20"/>
          <w:spacing w:val="-1"/>
          <w:sz w:val="16"/>
        </w:rPr>
        <w:t> </w:t>
      </w:r>
      <w:r>
        <w:rPr>
          <w:b/>
          <w:color w:val="231F20"/>
          <w:sz w:val="16"/>
        </w:rPr>
        <w:t>(ii)</w:t>
      </w:r>
      <w:r>
        <w:rPr>
          <w:b/>
          <w:color w:val="231F20"/>
          <w:w w:val="100"/>
          <w:sz w:val="16"/>
        </w:rPr>
        <w:t> </w:t>
      </w:r>
      <w:r>
        <w:rPr>
          <w:b/>
          <w:color w:val="231F20"/>
          <w:sz w:val="16"/>
        </w:rPr>
        <w:t>December 31, 2013</w:t>
        <w:tab/>
        <w:tab/>
        <w:t>December 31, 2012</w:t>
      </w:r>
    </w:p>
    <w:p>
      <w:pPr>
        <w:spacing w:after="0" w:line="160" w:lineRule="exact"/>
        <w:jc w:val="left"/>
        <w:rPr>
          <w:sz w:val="16"/>
        </w:rPr>
        <w:sectPr>
          <w:pgSz w:w="11880" w:h="15480"/>
          <w:pgMar w:header="0" w:footer="1253" w:top="1240" w:bottom="1440" w:left="1220" w:right="1260"/>
          <w:cols w:num="2" w:equalWidth="0">
            <w:col w:w="2971" w:space="1615"/>
            <w:col w:w="4814"/>
          </w:cols>
        </w:sectPr>
      </w:pPr>
    </w:p>
    <w:p>
      <w:pPr>
        <w:spacing w:line="172" w:lineRule="exact" w:before="58"/>
        <w:ind w:left="0" w:right="1046" w:firstLine="0"/>
        <w:jc w:val="right"/>
        <w:rPr>
          <w:b/>
          <w:sz w:val="16"/>
        </w:rPr>
      </w:pPr>
      <w:r>
        <w:rPr>
          <w:b/>
          <w:color w:val="231F20"/>
          <w:sz w:val="16"/>
        </w:rPr>
        <w:t>Gross</w:t>
      </w:r>
    </w:p>
    <w:p>
      <w:pPr>
        <w:spacing w:line="155" w:lineRule="exact" w:before="0"/>
        <w:ind w:left="0" w:right="0" w:firstLine="0"/>
        <w:jc w:val="right"/>
        <w:rPr>
          <w:b/>
          <w:sz w:val="16"/>
        </w:rPr>
      </w:pPr>
      <w:r>
        <w:rPr>
          <w:b/>
          <w:color w:val="231F20"/>
          <w:sz w:val="16"/>
        </w:rPr>
        <w:t>amounts  Net amounts</w:t>
      </w:r>
    </w:p>
    <w:p>
      <w:pPr>
        <w:spacing w:line="172" w:lineRule="exact" w:before="58"/>
        <w:ind w:left="941" w:right="1175" w:firstLine="0"/>
        <w:jc w:val="center"/>
        <w:rPr>
          <w:b/>
          <w:sz w:val="16"/>
        </w:rPr>
      </w:pPr>
      <w:r>
        <w:rPr/>
        <w:br w:type="column"/>
      </w:r>
      <w:r>
        <w:rPr>
          <w:b/>
          <w:color w:val="231F20"/>
          <w:sz w:val="16"/>
        </w:rPr>
        <w:t>Gross</w:t>
      </w:r>
    </w:p>
    <w:p>
      <w:pPr>
        <w:spacing w:line="155" w:lineRule="exact" w:before="0"/>
        <w:ind w:left="867" w:right="0" w:firstLine="0"/>
        <w:jc w:val="left"/>
        <w:rPr>
          <w:b/>
          <w:sz w:val="16"/>
        </w:rPr>
      </w:pPr>
      <w:r>
        <w:rPr>
          <w:b/>
          <w:color w:val="231F20"/>
          <w:sz w:val="16"/>
        </w:rPr>
        <w:t>amounts  Net amounts</w:t>
      </w:r>
    </w:p>
    <w:p>
      <w:pPr>
        <w:spacing w:after="0" w:line="155" w:lineRule="exact"/>
        <w:jc w:val="left"/>
        <w:rPr>
          <w:sz w:val="16"/>
        </w:rPr>
        <w:sectPr>
          <w:type w:val="continuous"/>
          <w:pgSz w:w="11880" w:h="15480"/>
          <w:pgMar w:top="1200" w:bottom="280" w:left="1220" w:right="1260"/>
          <w:cols w:num="2" w:equalWidth="0">
            <w:col w:w="6803" w:space="40"/>
            <w:col w:w="2557"/>
          </w:cols>
        </w:sectPr>
      </w:pPr>
    </w:p>
    <w:p>
      <w:pPr>
        <w:spacing w:line="160" w:lineRule="exact" w:before="14"/>
        <w:ind w:left="4442" w:right="-19" w:firstLine="180"/>
        <w:jc w:val="left"/>
        <w:rPr>
          <w:b/>
          <w:sz w:val="16"/>
        </w:rPr>
      </w:pPr>
      <w:r>
        <w:rPr>
          <w:b/>
          <w:color w:val="231F20"/>
          <w:sz w:val="16"/>
        </w:rPr>
        <w:t>Gross amounts</w:t>
      </w:r>
      <w:r>
        <w:rPr>
          <w:b/>
          <w:color w:val="231F20"/>
          <w:spacing w:val="-2"/>
          <w:sz w:val="16"/>
        </w:rPr>
        <w:t> </w:t>
      </w:r>
      <w:r>
        <w:rPr>
          <w:b/>
          <w:color w:val="231F20"/>
          <w:sz w:val="16"/>
        </w:rPr>
        <w:t>of</w:t>
      </w:r>
    </w:p>
    <w:p>
      <w:pPr>
        <w:spacing w:line="160" w:lineRule="exact" w:before="14"/>
        <w:ind w:left="205" w:right="-19" w:hanging="167"/>
        <w:jc w:val="left"/>
        <w:rPr>
          <w:b/>
          <w:sz w:val="16"/>
        </w:rPr>
      </w:pPr>
      <w:r>
        <w:rPr/>
        <w:br w:type="column"/>
      </w:r>
      <w:r>
        <w:rPr>
          <w:b/>
          <w:color w:val="231F20"/>
          <w:sz w:val="16"/>
        </w:rPr>
        <w:t>offset in the</w:t>
      </w:r>
    </w:p>
    <w:p>
      <w:pPr>
        <w:spacing w:line="160" w:lineRule="exact" w:before="14"/>
        <w:ind w:left="82" w:right="-19" w:firstLine="24"/>
        <w:jc w:val="left"/>
        <w:rPr>
          <w:b/>
          <w:sz w:val="16"/>
        </w:rPr>
      </w:pPr>
      <w:r>
        <w:rPr/>
        <w:br w:type="column"/>
      </w:r>
      <w:r>
        <w:rPr>
          <w:b/>
          <w:color w:val="231F20"/>
          <w:sz w:val="16"/>
        </w:rPr>
        <w:t>of liabilities presented in</w:t>
      </w:r>
    </w:p>
    <w:p>
      <w:pPr>
        <w:spacing w:line="160" w:lineRule="exact" w:before="14"/>
        <w:ind w:left="62" w:right="-19" w:firstLine="180"/>
        <w:jc w:val="left"/>
        <w:rPr>
          <w:b/>
          <w:sz w:val="16"/>
        </w:rPr>
      </w:pPr>
      <w:r>
        <w:rPr/>
        <w:br w:type="column"/>
      </w:r>
      <w:r>
        <w:rPr>
          <w:b/>
          <w:color w:val="231F20"/>
          <w:sz w:val="16"/>
        </w:rPr>
        <w:t>Gross amounts</w:t>
      </w:r>
      <w:r>
        <w:rPr>
          <w:b/>
          <w:color w:val="231F20"/>
          <w:spacing w:val="-2"/>
          <w:sz w:val="16"/>
        </w:rPr>
        <w:t> </w:t>
      </w:r>
      <w:r>
        <w:rPr>
          <w:b/>
          <w:color w:val="231F20"/>
          <w:sz w:val="16"/>
        </w:rPr>
        <w:t>of</w:t>
      </w:r>
    </w:p>
    <w:p>
      <w:pPr>
        <w:spacing w:line="160" w:lineRule="exact" w:before="14"/>
        <w:ind w:left="205" w:right="-19" w:hanging="167"/>
        <w:jc w:val="left"/>
        <w:rPr>
          <w:b/>
          <w:sz w:val="16"/>
        </w:rPr>
      </w:pPr>
      <w:r>
        <w:rPr/>
        <w:br w:type="column"/>
      </w:r>
      <w:r>
        <w:rPr>
          <w:b/>
          <w:color w:val="231F20"/>
          <w:sz w:val="16"/>
        </w:rPr>
        <w:t>offset in the</w:t>
      </w:r>
    </w:p>
    <w:p>
      <w:pPr>
        <w:spacing w:line="160" w:lineRule="exact" w:before="14"/>
        <w:ind w:left="82" w:right="0" w:firstLine="24"/>
        <w:jc w:val="left"/>
        <w:rPr>
          <w:b/>
          <w:sz w:val="16"/>
        </w:rPr>
      </w:pPr>
      <w:r>
        <w:rPr/>
        <w:br w:type="column"/>
      </w:r>
      <w:r>
        <w:rPr>
          <w:b/>
          <w:color w:val="231F20"/>
          <w:sz w:val="16"/>
        </w:rPr>
        <w:t>of liabilities presented in</w:t>
      </w:r>
    </w:p>
    <w:p>
      <w:pPr>
        <w:spacing w:after="0" w:line="160" w:lineRule="exact"/>
        <w:jc w:val="left"/>
        <w:rPr>
          <w:sz w:val="16"/>
        </w:rPr>
        <w:sectPr>
          <w:type w:val="continuous"/>
          <w:pgSz w:w="11880" w:h="15480"/>
          <w:pgMar w:top="1200" w:bottom="280" w:left="1220" w:right="1260"/>
          <w:cols w:num="6" w:equalWidth="0">
            <w:col w:w="5202" w:space="40"/>
            <w:col w:w="586" w:space="40"/>
            <w:col w:w="923" w:space="40"/>
            <w:col w:w="822" w:space="40"/>
            <w:col w:w="586" w:space="40"/>
            <w:col w:w="1081"/>
          </w:cols>
        </w:sectPr>
      </w:pPr>
    </w:p>
    <w:p>
      <w:pPr>
        <w:spacing w:line="145" w:lineRule="exact" w:before="0"/>
        <w:ind w:left="0" w:right="0" w:firstLine="0"/>
        <w:jc w:val="right"/>
        <w:rPr>
          <w:b/>
          <w:sz w:val="16"/>
        </w:rPr>
      </w:pPr>
      <w:r>
        <w:rPr>
          <w:b/>
          <w:color w:val="231F20"/>
          <w:sz w:val="16"/>
        </w:rPr>
        <w:t>Balance Sheet</w:t>
      </w:r>
    </w:p>
    <w:p>
      <w:pPr>
        <w:spacing w:line="145" w:lineRule="exact" w:before="0"/>
        <w:ind w:left="578" w:right="0" w:firstLine="0"/>
        <w:jc w:val="left"/>
        <w:rPr>
          <w:b/>
          <w:sz w:val="16"/>
        </w:rPr>
      </w:pPr>
      <w:r>
        <w:rPr/>
        <w:br w:type="column"/>
      </w:r>
      <w:r>
        <w:rPr>
          <w:b/>
          <w:color w:val="231F20"/>
          <w:sz w:val="16"/>
        </w:rPr>
        <w:t>recognized  Balance</w:t>
      </w:r>
    </w:p>
    <w:p>
      <w:pPr>
        <w:spacing w:line="145" w:lineRule="exact" w:before="0"/>
        <w:ind w:left="105" w:right="0" w:firstLine="0"/>
        <w:jc w:val="left"/>
        <w:rPr>
          <w:b/>
          <w:sz w:val="16"/>
        </w:rPr>
      </w:pPr>
      <w:r>
        <w:rPr/>
        <w:br w:type="column"/>
      </w:r>
      <w:r>
        <w:rPr>
          <w:b/>
          <w:color w:val="231F20"/>
          <w:sz w:val="16"/>
        </w:rPr>
        <w:t>the Balance</w:t>
      </w:r>
    </w:p>
    <w:p>
      <w:pPr>
        <w:spacing w:line="145" w:lineRule="exact" w:before="0"/>
        <w:ind w:left="95" w:right="0" w:firstLine="0"/>
        <w:jc w:val="left"/>
        <w:rPr>
          <w:b/>
          <w:sz w:val="16"/>
        </w:rPr>
      </w:pPr>
      <w:r>
        <w:rPr/>
        <w:br w:type="column"/>
      </w:r>
      <w:r>
        <w:rPr>
          <w:b/>
          <w:color w:val="231F20"/>
          <w:sz w:val="16"/>
        </w:rPr>
        <w:t>recognized  Balance</w:t>
      </w:r>
    </w:p>
    <w:p>
      <w:pPr>
        <w:spacing w:line="145" w:lineRule="exact" w:before="0"/>
        <w:ind w:left="105" w:right="0" w:firstLine="0"/>
        <w:jc w:val="left"/>
        <w:rPr>
          <w:b/>
          <w:sz w:val="16"/>
        </w:rPr>
      </w:pPr>
      <w:r>
        <w:rPr/>
        <w:br w:type="column"/>
      </w:r>
      <w:r>
        <w:rPr>
          <w:b/>
          <w:color w:val="231F20"/>
          <w:sz w:val="16"/>
        </w:rPr>
        <w:t>the Balance</w:t>
      </w:r>
    </w:p>
    <w:p>
      <w:pPr>
        <w:spacing w:after="0" w:line="145" w:lineRule="exact"/>
        <w:jc w:val="left"/>
        <w:rPr>
          <w:sz w:val="16"/>
        </w:rPr>
        <w:sectPr>
          <w:type w:val="continuous"/>
          <w:pgSz w:w="11880" w:h="15480"/>
          <w:pgMar w:top="1200" w:bottom="280" w:left="1220" w:right="1260"/>
          <w:cols w:num="5" w:equalWidth="0">
            <w:col w:w="3835" w:space="40"/>
            <w:col w:w="1952" w:space="40"/>
            <w:col w:w="901" w:space="40"/>
            <w:col w:w="1469" w:space="40"/>
            <w:col w:w="1083"/>
          </w:cols>
        </w:sectPr>
      </w:pPr>
    </w:p>
    <w:p>
      <w:pPr>
        <w:spacing w:line="177" w:lineRule="exact" w:before="0"/>
        <w:ind w:left="160" w:right="0" w:firstLine="0"/>
        <w:jc w:val="left"/>
        <w:rPr>
          <w:b/>
          <w:sz w:val="16"/>
        </w:rPr>
      </w:pPr>
      <w:r>
        <w:rPr>
          <w:b/>
          <w:color w:val="231F20"/>
          <w:sz w:val="16"/>
        </w:rPr>
        <w:t>Description</w:t>
      </w:r>
    </w:p>
    <w:p>
      <w:pPr>
        <w:spacing w:line="177" w:lineRule="exact" w:before="0"/>
        <w:ind w:left="160" w:right="0" w:firstLine="0"/>
        <w:jc w:val="left"/>
        <w:rPr>
          <w:b/>
          <w:sz w:val="16"/>
        </w:rPr>
      </w:pPr>
      <w:r>
        <w:rPr/>
        <w:br w:type="column"/>
      </w:r>
      <w:r>
        <w:rPr>
          <w:b/>
          <w:color w:val="231F20"/>
          <w:sz w:val="16"/>
        </w:rPr>
        <w:t>location</w:t>
      </w:r>
    </w:p>
    <w:p>
      <w:pPr>
        <w:spacing w:line="177" w:lineRule="exact" w:before="0"/>
        <w:ind w:left="160" w:right="0" w:firstLine="0"/>
        <w:jc w:val="left"/>
        <w:rPr>
          <w:b/>
          <w:sz w:val="16"/>
        </w:rPr>
      </w:pPr>
      <w:r>
        <w:rPr/>
        <w:br w:type="column"/>
      </w:r>
      <w:r>
        <w:rPr>
          <w:b/>
          <w:color w:val="231F20"/>
          <w:sz w:val="16"/>
        </w:rPr>
        <w:t>liabilities</w:t>
      </w:r>
    </w:p>
    <w:p>
      <w:pPr>
        <w:spacing w:line="177" w:lineRule="exact" w:before="0"/>
        <w:ind w:left="160" w:right="0" w:firstLine="0"/>
        <w:jc w:val="left"/>
        <w:rPr>
          <w:b/>
          <w:sz w:val="16"/>
        </w:rPr>
      </w:pPr>
      <w:r>
        <w:rPr/>
        <w:br w:type="column"/>
      </w:r>
      <w:r>
        <w:rPr>
          <w:b/>
          <w:color w:val="231F20"/>
          <w:sz w:val="16"/>
        </w:rPr>
        <w:t>Sheet</w:t>
      </w:r>
    </w:p>
    <w:p>
      <w:pPr>
        <w:spacing w:line="177" w:lineRule="exact" w:before="0"/>
        <w:ind w:left="160" w:right="0" w:firstLine="0"/>
        <w:jc w:val="left"/>
        <w:rPr>
          <w:b/>
          <w:sz w:val="16"/>
        </w:rPr>
      </w:pPr>
      <w:r>
        <w:rPr/>
        <w:br w:type="column"/>
      </w:r>
      <w:r>
        <w:rPr>
          <w:b/>
          <w:color w:val="231F20"/>
          <w:sz w:val="16"/>
        </w:rPr>
        <w:t>Sheet</w:t>
      </w:r>
    </w:p>
    <w:p>
      <w:pPr>
        <w:spacing w:line="177" w:lineRule="exact" w:before="0"/>
        <w:ind w:left="160" w:right="0" w:firstLine="0"/>
        <w:jc w:val="left"/>
        <w:rPr>
          <w:b/>
          <w:sz w:val="16"/>
        </w:rPr>
      </w:pPr>
      <w:r>
        <w:rPr/>
        <w:br w:type="column"/>
      </w:r>
      <w:r>
        <w:rPr>
          <w:b/>
          <w:color w:val="231F20"/>
          <w:sz w:val="16"/>
        </w:rPr>
        <w:t>liabilities</w:t>
      </w:r>
    </w:p>
    <w:p>
      <w:pPr>
        <w:spacing w:line="177" w:lineRule="exact" w:before="0"/>
        <w:ind w:left="160" w:right="0" w:firstLine="0"/>
        <w:jc w:val="left"/>
        <w:rPr>
          <w:b/>
          <w:sz w:val="16"/>
        </w:rPr>
      </w:pPr>
      <w:r>
        <w:rPr/>
        <w:br w:type="column"/>
      </w:r>
      <w:r>
        <w:rPr>
          <w:b/>
          <w:color w:val="231F20"/>
          <w:sz w:val="16"/>
        </w:rPr>
        <w:t>Sheet</w:t>
      </w:r>
    </w:p>
    <w:p>
      <w:pPr>
        <w:spacing w:line="177" w:lineRule="exact" w:before="0"/>
        <w:ind w:left="160" w:right="0" w:firstLine="0"/>
        <w:jc w:val="left"/>
        <w:rPr>
          <w:b/>
          <w:sz w:val="16"/>
        </w:rPr>
      </w:pPr>
      <w:r>
        <w:rPr/>
        <w:br w:type="column"/>
      </w:r>
      <w:r>
        <w:rPr>
          <w:b/>
          <w:color w:val="231F20"/>
          <w:sz w:val="16"/>
        </w:rPr>
        <w:t>Sheet</w:t>
      </w:r>
    </w:p>
    <w:p>
      <w:pPr>
        <w:spacing w:after="0" w:line="177" w:lineRule="exact"/>
        <w:jc w:val="left"/>
        <w:rPr>
          <w:sz w:val="16"/>
        </w:rPr>
        <w:sectPr>
          <w:type w:val="continuous"/>
          <w:pgSz w:w="11880" w:h="15480"/>
          <w:pgMar w:top="1200" w:bottom="280" w:left="1220" w:right="1260"/>
          <w:cols w:num="8" w:equalWidth="0">
            <w:col w:w="952" w:space="1974"/>
            <w:col w:w="703" w:space="723"/>
            <w:col w:w="783" w:space="72"/>
            <w:col w:w="534" w:space="281"/>
            <w:col w:w="534" w:space="245"/>
            <w:col w:w="783" w:space="72"/>
            <w:col w:w="534" w:space="281"/>
            <w:col w:w="929"/>
          </w:cols>
        </w:sectPr>
      </w:pPr>
    </w:p>
    <w:p>
      <w:pPr>
        <w:pStyle w:val="BodyText"/>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35"/>
        <w:gridCol w:w="2145"/>
        <w:gridCol w:w="683"/>
        <w:gridCol w:w="833"/>
        <w:gridCol w:w="814"/>
        <w:gridCol w:w="802"/>
        <w:gridCol w:w="833"/>
        <w:gridCol w:w="825"/>
      </w:tblGrid>
      <w:tr>
        <w:trPr>
          <w:trHeight w:val="235" w:hRule="exact"/>
        </w:trPr>
        <w:tc>
          <w:tcPr>
            <w:tcW w:w="2235" w:type="dxa"/>
            <w:tcBorders>
              <w:top w:val="single" w:sz="8" w:space="0" w:color="231F20"/>
            </w:tcBorders>
          </w:tcPr>
          <w:p>
            <w:pPr>
              <w:pStyle w:val="TableParagraph"/>
              <w:spacing w:before="22"/>
              <w:ind w:left="50"/>
              <w:jc w:val="left"/>
              <w:rPr>
                <w:sz w:val="18"/>
              </w:rPr>
            </w:pPr>
            <w:r>
              <w:rPr>
                <w:color w:val="231F20"/>
                <w:sz w:val="18"/>
              </w:rPr>
              <w:t>Fuel derivative contracts  . . .</w:t>
            </w:r>
          </w:p>
        </w:tc>
        <w:tc>
          <w:tcPr>
            <w:tcW w:w="2145" w:type="dxa"/>
            <w:tcBorders>
              <w:top w:val="single" w:sz="8" w:space="0" w:color="231F20"/>
            </w:tcBorders>
          </w:tcPr>
          <w:p>
            <w:pPr>
              <w:pStyle w:val="TableParagraph"/>
              <w:spacing w:before="22"/>
              <w:ind w:left="10" w:right="130"/>
              <w:jc w:val="center"/>
              <w:rPr>
                <w:sz w:val="18"/>
              </w:rPr>
            </w:pPr>
            <w:r>
              <w:rPr>
                <w:color w:val="231F20"/>
                <w:sz w:val="18"/>
              </w:rPr>
              <w:t>Prepaid expenses and other</w:t>
            </w:r>
          </w:p>
        </w:tc>
        <w:tc>
          <w:tcPr>
            <w:tcW w:w="683" w:type="dxa"/>
            <w:tcBorders>
              <w:top w:val="single" w:sz="8" w:space="0" w:color="231F20"/>
            </w:tcBorders>
          </w:tcPr>
          <w:p>
            <w:pPr>
              <w:pStyle w:val="TableParagraph"/>
              <w:spacing w:before="22"/>
              <w:ind w:left="151"/>
              <w:jc w:val="left"/>
              <w:rPr>
                <w:sz w:val="18"/>
              </w:rPr>
            </w:pPr>
            <w:r>
              <w:rPr>
                <w:color w:val="231F20"/>
                <w:sz w:val="18"/>
              </w:rPr>
              <w:t>$182</w:t>
            </w:r>
          </w:p>
        </w:tc>
        <w:tc>
          <w:tcPr>
            <w:tcW w:w="833" w:type="dxa"/>
            <w:tcBorders>
              <w:top w:val="single" w:sz="8" w:space="0" w:color="231F20"/>
            </w:tcBorders>
          </w:tcPr>
          <w:p>
            <w:pPr>
              <w:pStyle w:val="TableParagraph"/>
              <w:spacing w:before="22"/>
              <w:ind w:left="170"/>
              <w:jc w:val="left"/>
              <w:rPr>
                <w:sz w:val="18"/>
              </w:rPr>
            </w:pPr>
            <w:r>
              <w:rPr>
                <w:color w:val="231F20"/>
                <w:sz w:val="18"/>
              </w:rPr>
              <w:t>$(182)</w:t>
            </w:r>
          </w:p>
        </w:tc>
        <w:tc>
          <w:tcPr>
            <w:tcW w:w="814" w:type="dxa"/>
            <w:tcBorders>
              <w:top w:val="single" w:sz="8" w:space="0" w:color="231F20"/>
            </w:tcBorders>
          </w:tcPr>
          <w:p>
            <w:pPr>
              <w:pStyle w:val="TableParagraph"/>
              <w:spacing w:before="22"/>
              <w:ind w:left="73" w:right="249"/>
              <w:jc w:val="center"/>
              <w:rPr>
                <w:sz w:val="18"/>
              </w:rPr>
            </w:pPr>
            <w:r>
              <w:rPr>
                <w:color w:val="231F20"/>
                <w:sz w:val="18"/>
              </w:rPr>
              <w:t>$—</w:t>
            </w:r>
          </w:p>
        </w:tc>
        <w:tc>
          <w:tcPr>
            <w:tcW w:w="802" w:type="dxa"/>
            <w:tcBorders>
              <w:top w:val="single" w:sz="8" w:space="0" w:color="231F20"/>
            </w:tcBorders>
          </w:tcPr>
          <w:p>
            <w:pPr>
              <w:pStyle w:val="TableParagraph"/>
              <w:spacing w:before="22"/>
              <w:ind w:left="270"/>
              <w:jc w:val="left"/>
              <w:rPr>
                <w:sz w:val="18"/>
              </w:rPr>
            </w:pPr>
            <w:r>
              <w:rPr>
                <w:color w:val="231F20"/>
                <w:sz w:val="18"/>
              </w:rPr>
              <w:t>$327</w:t>
            </w:r>
          </w:p>
        </w:tc>
        <w:tc>
          <w:tcPr>
            <w:tcW w:w="833" w:type="dxa"/>
            <w:tcBorders>
              <w:top w:val="single" w:sz="8" w:space="0" w:color="231F20"/>
            </w:tcBorders>
          </w:tcPr>
          <w:p>
            <w:pPr>
              <w:pStyle w:val="TableParagraph"/>
              <w:spacing w:before="22"/>
              <w:ind w:left="170"/>
              <w:jc w:val="left"/>
              <w:rPr>
                <w:sz w:val="18"/>
              </w:rPr>
            </w:pPr>
            <w:r>
              <w:rPr>
                <w:color w:val="231F20"/>
                <w:sz w:val="18"/>
              </w:rPr>
              <w:t>$(327)</w:t>
            </w:r>
          </w:p>
        </w:tc>
        <w:tc>
          <w:tcPr>
            <w:tcW w:w="825" w:type="dxa"/>
            <w:tcBorders>
              <w:top w:val="single" w:sz="8" w:space="0" w:color="231F20"/>
            </w:tcBorders>
          </w:tcPr>
          <w:p>
            <w:pPr>
              <w:pStyle w:val="TableParagraph"/>
              <w:spacing w:before="22"/>
              <w:ind w:left="182"/>
              <w:jc w:val="left"/>
              <w:rPr>
                <w:sz w:val="18"/>
              </w:rPr>
            </w:pPr>
            <w:r>
              <w:rPr>
                <w:color w:val="231F20"/>
                <w:sz w:val="18"/>
              </w:rPr>
              <w:t>$—</w:t>
            </w:r>
          </w:p>
        </w:tc>
      </w:tr>
      <w:tr>
        <w:trPr>
          <w:trHeight w:val="190" w:hRule="exact"/>
        </w:trPr>
        <w:tc>
          <w:tcPr>
            <w:tcW w:w="2235" w:type="dxa"/>
          </w:tcPr>
          <w:p>
            <w:pPr/>
          </w:p>
        </w:tc>
        <w:tc>
          <w:tcPr>
            <w:tcW w:w="2145" w:type="dxa"/>
          </w:tcPr>
          <w:p>
            <w:pPr>
              <w:pStyle w:val="TableParagraph"/>
              <w:spacing w:line="194" w:lineRule="exact"/>
              <w:ind w:left="10" w:right="130"/>
              <w:jc w:val="center"/>
              <w:rPr>
                <w:sz w:val="18"/>
              </w:rPr>
            </w:pPr>
            <w:r>
              <w:rPr>
                <w:color w:val="231F20"/>
                <w:sz w:val="18"/>
              </w:rPr>
              <w:t>current assets</w:t>
            </w:r>
          </w:p>
        </w:tc>
        <w:tc>
          <w:tcPr>
            <w:tcW w:w="683" w:type="dxa"/>
          </w:tcPr>
          <w:p>
            <w:pPr/>
          </w:p>
        </w:tc>
        <w:tc>
          <w:tcPr>
            <w:tcW w:w="833" w:type="dxa"/>
          </w:tcPr>
          <w:p>
            <w:pPr/>
          </w:p>
        </w:tc>
        <w:tc>
          <w:tcPr>
            <w:tcW w:w="814" w:type="dxa"/>
          </w:tcPr>
          <w:p>
            <w:pPr/>
          </w:p>
        </w:tc>
        <w:tc>
          <w:tcPr>
            <w:tcW w:w="802" w:type="dxa"/>
          </w:tcPr>
          <w:p>
            <w:pPr/>
          </w:p>
        </w:tc>
        <w:tc>
          <w:tcPr>
            <w:tcW w:w="833" w:type="dxa"/>
          </w:tcPr>
          <w:p>
            <w:pPr/>
          </w:p>
        </w:tc>
        <w:tc>
          <w:tcPr>
            <w:tcW w:w="825" w:type="dxa"/>
          </w:tcPr>
          <w:p>
            <w:pPr/>
          </w:p>
        </w:tc>
      </w:tr>
      <w:tr>
        <w:trPr>
          <w:trHeight w:val="190" w:hRule="exact"/>
        </w:trPr>
        <w:tc>
          <w:tcPr>
            <w:tcW w:w="2235" w:type="dxa"/>
          </w:tcPr>
          <w:p>
            <w:pPr>
              <w:pStyle w:val="TableParagraph"/>
              <w:spacing w:line="193" w:lineRule="exact"/>
              <w:ind w:left="50"/>
              <w:jc w:val="left"/>
              <w:rPr>
                <w:sz w:val="18"/>
              </w:rPr>
            </w:pPr>
            <w:r>
              <w:rPr>
                <w:color w:val="231F20"/>
                <w:sz w:val="18"/>
              </w:rPr>
              <w:t>Fuel derivative contracts  . . .</w:t>
            </w:r>
          </w:p>
        </w:tc>
        <w:tc>
          <w:tcPr>
            <w:tcW w:w="2145" w:type="dxa"/>
          </w:tcPr>
          <w:p>
            <w:pPr>
              <w:pStyle w:val="TableParagraph"/>
              <w:spacing w:line="193" w:lineRule="exact"/>
              <w:ind w:left="10" w:right="130"/>
              <w:jc w:val="center"/>
              <w:rPr>
                <w:sz w:val="18"/>
              </w:rPr>
            </w:pPr>
            <w:r>
              <w:rPr>
                <w:color w:val="231F20"/>
                <w:sz w:val="18"/>
              </w:rPr>
              <w:t>Other assets</w:t>
            </w:r>
          </w:p>
        </w:tc>
        <w:tc>
          <w:tcPr>
            <w:tcW w:w="683" w:type="dxa"/>
          </w:tcPr>
          <w:p>
            <w:pPr>
              <w:pStyle w:val="TableParagraph"/>
              <w:spacing w:line="193" w:lineRule="exact"/>
              <w:ind w:left="151"/>
              <w:jc w:val="left"/>
              <w:rPr>
                <w:sz w:val="18"/>
              </w:rPr>
            </w:pPr>
            <w:r>
              <w:rPr>
                <w:color w:val="231F20"/>
                <w:sz w:val="18"/>
              </w:rPr>
              <w:t>$100</w:t>
            </w:r>
          </w:p>
        </w:tc>
        <w:tc>
          <w:tcPr>
            <w:tcW w:w="833" w:type="dxa"/>
          </w:tcPr>
          <w:p>
            <w:pPr>
              <w:pStyle w:val="TableParagraph"/>
              <w:spacing w:line="193" w:lineRule="exact"/>
              <w:ind w:left="171"/>
              <w:jc w:val="left"/>
              <w:rPr>
                <w:sz w:val="18"/>
              </w:rPr>
            </w:pPr>
            <w:r>
              <w:rPr>
                <w:color w:val="231F20"/>
                <w:sz w:val="18"/>
              </w:rPr>
              <w:t>$(100)</w:t>
            </w:r>
          </w:p>
        </w:tc>
        <w:tc>
          <w:tcPr>
            <w:tcW w:w="814" w:type="dxa"/>
          </w:tcPr>
          <w:p>
            <w:pPr>
              <w:pStyle w:val="TableParagraph"/>
              <w:spacing w:line="193" w:lineRule="exact"/>
              <w:ind w:left="73" w:right="249"/>
              <w:jc w:val="center"/>
              <w:rPr>
                <w:sz w:val="18"/>
              </w:rPr>
            </w:pPr>
            <w:r>
              <w:rPr>
                <w:color w:val="231F20"/>
                <w:sz w:val="18"/>
              </w:rPr>
              <w:t>$—</w:t>
            </w:r>
          </w:p>
        </w:tc>
        <w:tc>
          <w:tcPr>
            <w:tcW w:w="802" w:type="dxa"/>
          </w:tcPr>
          <w:p>
            <w:pPr>
              <w:pStyle w:val="TableParagraph"/>
              <w:spacing w:line="193" w:lineRule="exact"/>
              <w:ind w:left="270"/>
              <w:jc w:val="left"/>
              <w:rPr>
                <w:sz w:val="18"/>
              </w:rPr>
            </w:pPr>
            <w:r>
              <w:rPr>
                <w:color w:val="231F20"/>
                <w:sz w:val="18"/>
              </w:rPr>
              <w:t>$367</w:t>
            </w:r>
          </w:p>
        </w:tc>
        <w:tc>
          <w:tcPr>
            <w:tcW w:w="833" w:type="dxa"/>
          </w:tcPr>
          <w:p>
            <w:pPr>
              <w:pStyle w:val="TableParagraph"/>
              <w:spacing w:line="193" w:lineRule="exact"/>
              <w:ind w:left="171"/>
              <w:jc w:val="left"/>
              <w:rPr>
                <w:sz w:val="18"/>
              </w:rPr>
            </w:pPr>
            <w:r>
              <w:rPr>
                <w:color w:val="231F20"/>
                <w:sz w:val="18"/>
              </w:rPr>
              <w:t>$(367)</w:t>
            </w:r>
          </w:p>
        </w:tc>
        <w:tc>
          <w:tcPr>
            <w:tcW w:w="825" w:type="dxa"/>
          </w:tcPr>
          <w:p>
            <w:pPr>
              <w:pStyle w:val="TableParagraph"/>
              <w:spacing w:line="193" w:lineRule="exact"/>
              <w:ind w:left="182"/>
              <w:jc w:val="left"/>
              <w:rPr>
                <w:sz w:val="18"/>
              </w:rPr>
            </w:pPr>
            <w:r>
              <w:rPr>
                <w:color w:val="231F20"/>
                <w:sz w:val="18"/>
              </w:rPr>
              <w:t>$—</w:t>
            </w:r>
          </w:p>
        </w:tc>
      </w:tr>
      <w:tr>
        <w:trPr>
          <w:trHeight w:val="190" w:hRule="exact"/>
        </w:trPr>
        <w:tc>
          <w:tcPr>
            <w:tcW w:w="2235" w:type="dxa"/>
          </w:tcPr>
          <w:p>
            <w:pPr>
              <w:pStyle w:val="TableParagraph"/>
              <w:spacing w:line="194" w:lineRule="exact"/>
              <w:ind w:left="50"/>
              <w:jc w:val="left"/>
              <w:rPr>
                <w:sz w:val="18"/>
              </w:rPr>
            </w:pPr>
            <w:r>
              <w:rPr>
                <w:color w:val="231F20"/>
                <w:sz w:val="18"/>
              </w:rPr>
              <w:t>Fuel derivative contracts  . . .</w:t>
            </w:r>
          </w:p>
        </w:tc>
        <w:tc>
          <w:tcPr>
            <w:tcW w:w="2145" w:type="dxa"/>
          </w:tcPr>
          <w:p>
            <w:pPr>
              <w:pStyle w:val="TableParagraph"/>
              <w:spacing w:line="194" w:lineRule="exact"/>
              <w:ind w:left="10" w:right="130"/>
              <w:jc w:val="center"/>
              <w:rPr>
                <w:sz w:val="18"/>
              </w:rPr>
            </w:pPr>
            <w:r>
              <w:rPr>
                <w:color w:val="231F20"/>
                <w:sz w:val="18"/>
              </w:rPr>
              <w:t>Accrued liabilities</w:t>
            </w:r>
          </w:p>
        </w:tc>
        <w:tc>
          <w:tcPr>
            <w:tcW w:w="683" w:type="dxa"/>
          </w:tcPr>
          <w:p>
            <w:pPr>
              <w:pStyle w:val="TableParagraph"/>
              <w:spacing w:line="194" w:lineRule="exact"/>
              <w:ind w:left="151"/>
              <w:jc w:val="left"/>
              <w:rPr>
                <w:sz w:val="18"/>
              </w:rPr>
            </w:pPr>
            <w:r>
              <w:rPr>
                <w:color w:val="231F20"/>
                <w:sz w:val="18"/>
              </w:rPr>
              <w:t>$  21</w:t>
            </w:r>
          </w:p>
        </w:tc>
        <w:tc>
          <w:tcPr>
            <w:tcW w:w="833" w:type="dxa"/>
          </w:tcPr>
          <w:p>
            <w:pPr>
              <w:pStyle w:val="TableParagraph"/>
              <w:spacing w:line="194" w:lineRule="exact"/>
              <w:ind w:left="171"/>
              <w:jc w:val="left"/>
              <w:rPr>
                <w:sz w:val="18"/>
              </w:rPr>
            </w:pPr>
            <w:r>
              <w:rPr>
                <w:color w:val="231F20"/>
                <w:sz w:val="18"/>
              </w:rPr>
              <w:t>$    (9)</w:t>
            </w:r>
          </w:p>
        </w:tc>
        <w:tc>
          <w:tcPr>
            <w:tcW w:w="814" w:type="dxa"/>
          </w:tcPr>
          <w:p>
            <w:pPr>
              <w:pStyle w:val="TableParagraph"/>
              <w:spacing w:line="194" w:lineRule="exact"/>
              <w:ind w:left="163" w:right="249"/>
              <w:jc w:val="center"/>
              <w:rPr>
                <w:sz w:val="18"/>
              </w:rPr>
            </w:pPr>
            <w:r>
              <w:rPr>
                <w:color w:val="231F20"/>
                <w:sz w:val="18"/>
              </w:rPr>
              <w:t>$  12</w:t>
            </w:r>
          </w:p>
        </w:tc>
        <w:tc>
          <w:tcPr>
            <w:tcW w:w="802" w:type="dxa"/>
          </w:tcPr>
          <w:p>
            <w:pPr>
              <w:pStyle w:val="TableParagraph"/>
              <w:spacing w:line="194" w:lineRule="exact"/>
              <w:ind w:left="270"/>
              <w:jc w:val="left"/>
              <w:rPr>
                <w:sz w:val="18"/>
              </w:rPr>
            </w:pPr>
            <w:r>
              <w:rPr>
                <w:color w:val="231F20"/>
                <w:sz w:val="18"/>
              </w:rPr>
              <w:t>$  60</w:t>
            </w:r>
          </w:p>
        </w:tc>
        <w:tc>
          <w:tcPr>
            <w:tcW w:w="833" w:type="dxa"/>
          </w:tcPr>
          <w:p>
            <w:pPr>
              <w:pStyle w:val="TableParagraph"/>
              <w:spacing w:line="194" w:lineRule="exact"/>
              <w:ind w:left="171"/>
              <w:jc w:val="left"/>
              <w:rPr>
                <w:sz w:val="18"/>
              </w:rPr>
            </w:pPr>
            <w:r>
              <w:rPr>
                <w:color w:val="231F20"/>
                <w:sz w:val="18"/>
              </w:rPr>
              <w:t>$  (10)</w:t>
            </w:r>
          </w:p>
        </w:tc>
        <w:tc>
          <w:tcPr>
            <w:tcW w:w="825" w:type="dxa"/>
          </w:tcPr>
          <w:p>
            <w:pPr>
              <w:pStyle w:val="TableParagraph"/>
              <w:spacing w:line="194" w:lineRule="exact"/>
              <w:ind w:left="182"/>
              <w:jc w:val="left"/>
              <w:rPr>
                <w:sz w:val="18"/>
              </w:rPr>
            </w:pPr>
            <w:r>
              <w:rPr>
                <w:color w:val="231F20"/>
                <w:sz w:val="18"/>
              </w:rPr>
              <w:t>$  50</w:t>
            </w:r>
          </w:p>
        </w:tc>
      </w:tr>
      <w:tr>
        <w:trPr>
          <w:trHeight w:val="190" w:hRule="exact"/>
        </w:trPr>
        <w:tc>
          <w:tcPr>
            <w:tcW w:w="2235" w:type="dxa"/>
          </w:tcPr>
          <w:p>
            <w:pPr>
              <w:pStyle w:val="TableParagraph"/>
              <w:spacing w:line="194" w:lineRule="exact"/>
              <w:ind w:left="50"/>
              <w:jc w:val="left"/>
              <w:rPr>
                <w:sz w:val="18"/>
              </w:rPr>
            </w:pPr>
            <w:r>
              <w:rPr>
                <w:color w:val="231F20"/>
                <w:sz w:val="18"/>
              </w:rPr>
              <w:t>Fuel derivative contracts  . . .</w:t>
            </w:r>
          </w:p>
        </w:tc>
        <w:tc>
          <w:tcPr>
            <w:tcW w:w="2145" w:type="dxa"/>
          </w:tcPr>
          <w:p>
            <w:pPr>
              <w:pStyle w:val="TableParagraph"/>
              <w:spacing w:line="194" w:lineRule="exact"/>
              <w:ind w:left="9" w:right="130"/>
              <w:jc w:val="center"/>
              <w:rPr>
                <w:sz w:val="18"/>
              </w:rPr>
            </w:pPr>
            <w:r>
              <w:rPr>
                <w:color w:val="231F20"/>
                <w:sz w:val="18"/>
              </w:rPr>
              <w:t>Other noncurrent liabilities</w:t>
            </w:r>
          </w:p>
        </w:tc>
        <w:tc>
          <w:tcPr>
            <w:tcW w:w="683" w:type="dxa"/>
          </w:tcPr>
          <w:p>
            <w:pPr>
              <w:pStyle w:val="TableParagraph"/>
              <w:spacing w:line="194" w:lineRule="exact"/>
              <w:ind w:left="151"/>
              <w:jc w:val="left"/>
              <w:rPr>
                <w:sz w:val="18"/>
              </w:rPr>
            </w:pPr>
            <w:r>
              <w:rPr>
                <w:color w:val="231F20"/>
                <w:sz w:val="18"/>
              </w:rPr>
              <w:t>$—</w:t>
            </w:r>
          </w:p>
        </w:tc>
        <w:tc>
          <w:tcPr>
            <w:tcW w:w="833" w:type="dxa"/>
          </w:tcPr>
          <w:p>
            <w:pPr>
              <w:pStyle w:val="TableParagraph"/>
              <w:spacing w:line="194" w:lineRule="exact"/>
              <w:ind w:left="171"/>
              <w:jc w:val="left"/>
              <w:rPr>
                <w:sz w:val="18"/>
              </w:rPr>
            </w:pPr>
            <w:r>
              <w:rPr>
                <w:color w:val="231F20"/>
                <w:sz w:val="18"/>
              </w:rPr>
              <w:t>$ —</w:t>
            </w:r>
          </w:p>
        </w:tc>
        <w:tc>
          <w:tcPr>
            <w:tcW w:w="814" w:type="dxa"/>
          </w:tcPr>
          <w:p>
            <w:pPr>
              <w:pStyle w:val="TableParagraph"/>
              <w:spacing w:line="194" w:lineRule="exact"/>
              <w:ind w:left="73" w:right="249"/>
              <w:jc w:val="center"/>
              <w:rPr>
                <w:sz w:val="18"/>
              </w:rPr>
            </w:pPr>
            <w:r>
              <w:rPr>
                <w:color w:val="231F20"/>
                <w:sz w:val="18"/>
              </w:rPr>
              <w:t>$—</w:t>
            </w:r>
          </w:p>
        </w:tc>
        <w:tc>
          <w:tcPr>
            <w:tcW w:w="802" w:type="dxa"/>
          </w:tcPr>
          <w:p>
            <w:pPr>
              <w:pStyle w:val="TableParagraph"/>
              <w:spacing w:line="194" w:lineRule="exact"/>
              <w:ind w:left="270"/>
              <w:jc w:val="left"/>
              <w:rPr>
                <w:sz w:val="18"/>
              </w:rPr>
            </w:pPr>
            <w:r>
              <w:rPr>
                <w:color w:val="231F20"/>
                <w:sz w:val="18"/>
              </w:rPr>
              <w:t>$—</w:t>
            </w:r>
          </w:p>
        </w:tc>
        <w:tc>
          <w:tcPr>
            <w:tcW w:w="833" w:type="dxa"/>
          </w:tcPr>
          <w:p>
            <w:pPr>
              <w:pStyle w:val="TableParagraph"/>
              <w:spacing w:line="194" w:lineRule="exact"/>
              <w:ind w:left="171"/>
              <w:jc w:val="left"/>
              <w:rPr>
                <w:sz w:val="18"/>
              </w:rPr>
            </w:pPr>
            <w:r>
              <w:rPr>
                <w:color w:val="231F20"/>
                <w:sz w:val="18"/>
              </w:rPr>
              <w:t>$ —</w:t>
            </w:r>
          </w:p>
        </w:tc>
        <w:tc>
          <w:tcPr>
            <w:tcW w:w="825" w:type="dxa"/>
          </w:tcPr>
          <w:p>
            <w:pPr>
              <w:pStyle w:val="TableParagraph"/>
              <w:spacing w:line="194" w:lineRule="exact"/>
              <w:ind w:left="182"/>
              <w:jc w:val="left"/>
              <w:rPr>
                <w:sz w:val="18"/>
              </w:rPr>
            </w:pPr>
            <w:r>
              <w:rPr>
                <w:color w:val="231F20"/>
                <w:sz w:val="18"/>
              </w:rPr>
              <w:t>$—</w:t>
            </w:r>
          </w:p>
        </w:tc>
      </w:tr>
      <w:tr>
        <w:trPr>
          <w:trHeight w:val="190" w:hRule="exact"/>
        </w:trPr>
        <w:tc>
          <w:tcPr>
            <w:tcW w:w="2235" w:type="dxa"/>
          </w:tcPr>
          <w:p>
            <w:pPr>
              <w:pStyle w:val="TableParagraph"/>
              <w:spacing w:line="194" w:lineRule="exact"/>
              <w:ind w:left="50"/>
              <w:jc w:val="left"/>
              <w:rPr>
                <w:sz w:val="18"/>
              </w:rPr>
            </w:pPr>
            <w:r>
              <w:rPr>
                <w:color w:val="231F20"/>
                <w:sz w:val="18"/>
              </w:rPr>
              <w:t>Interest rate derivative</w:t>
            </w:r>
          </w:p>
        </w:tc>
        <w:tc>
          <w:tcPr>
            <w:tcW w:w="2145" w:type="dxa"/>
          </w:tcPr>
          <w:p>
            <w:pPr/>
          </w:p>
        </w:tc>
        <w:tc>
          <w:tcPr>
            <w:tcW w:w="683" w:type="dxa"/>
          </w:tcPr>
          <w:p>
            <w:pPr/>
          </w:p>
        </w:tc>
        <w:tc>
          <w:tcPr>
            <w:tcW w:w="833" w:type="dxa"/>
          </w:tcPr>
          <w:p>
            <w:pPr/>
          </w:p>
        </w:tc>
        <w:tc>
          <w:tcPr>
            <w:tcW w:w="814" w:type="dxa"/>
          </w:tcPr>
          <w:p>
            <w:pPr/>
          </w:p>
        </w:tc>
        <w:tc>
          <w:tcPr>
            <w:tcW w:w="802" w:type="dxa"/>
          </w:tcPr>
          <w:p>
            <w:pPr/>
          </w:p>
        </w:tc>
        <w:tc>
          <w:tcPr>
            <w:tcW w:w="833" w:type="dxa"/>
          </w:tcPr>
          <w:p>
            <w:pPr/>
          </w:p>
        </w:tc>
        <w:tc>
          <w:tcPr>
            <w:tcW w:w="825" w:type="dxa"/>
          </w:tcPr>
          <w:p>
            <w:pPr/>
          </w:p>
        </w:tc>
      </w:tr>
      <w:tr>
        <w:trPr>
          <w:trHeight w:val="193" w:hRule="exact"/>
        </w:trPr>
        <w:tc>
          <w:tcPr>
            <w:tcW w:w="2235" w:type="dxa"/>
          </w:tcPr>
          <w:p>
            <w:pPr>
              <w:pStyle w:val="TableParagraph"/>
              <w:spacing w:line="194" w:lineRule="exact"/>
              <w:ind w:left="230"/>
              <w:jc w:val="left"/>
              <w:rPr>
                <w:sz w:val="18"/>
              </w:rPr>
            </w:pPr>
            <w:r>
              <w:rPr>
                <w:color w:val="231F20"/>
                <w:sz w:val="18"/>
              </w:rPr>
              <w:t>contracts . . . . . . . . . . . . . . </w:t>
            </w:r>
          </w:p>
        </w:tc>
        <w:tc>
          <w:tcPr>
            <w:tcW w:w="2145" w:type="dxa"/>
          </w:tcPr>
          <w:p>
            <w:pPr>
              <w:pStyle w:val="TableParagraph"/>
              <w:spacing w:line="194" w:lineRule="exact"/>
              <w:ind w:left="9" w:right="130"/>
              <w:jc w:val="center"/>
              <w:rPr>
                <w:sz w:val="18"/>
              </w:rPr>
            </w:pPr>
            <w:r>
              <w:rPr>
                <w:color w:val="231F20"/>
                <w:sz w:val="18"/>
              </w:rPr>
              <w:t>Other noncurrent liabilities</w:t>
            </w:r>
          </w:p>
        </w:tc>
        <w:tc>
          <w:tcPr>
            <w:tcW w:w="683" w:type="dxa"/>
          </w:tcPr>
          <w:p>
            <w:pPr>
              <w:pStyle w:val="TableParagraph"/>
              <w:spacing w:line="194" w:lineRule="exact"/>
              <w:ind w:left="151"/>
              <w:jc w:val="left"/>
              <w:rPr>
                <w:sz w:val="18"/>
              </w:rPr>
            </w:pPr>
            <w:r>
              <w:rPr>
                <w:color w:val="231F20"/>
                <w:sz w:val="18"/>
              </w:rPr>
              <w:t>$  77</w:t>
            </w:r>
          </w:p>
        </w:tc>
        <w:tc>
          <w:tcPr>
            <w:tcW w:w="833" w:type="dxa"/>
          </w:tcPr>
          <w:p>
            <w:pPr>
              <w:pStyle w:val="TableParagraph"/>
              <w:spacing w:line="194" w:lineRule="exact"/>
              <w:ind w:left="171"/>
              <w:jc w:val="left"/>
              <w:rPr>
                <w:sz w:val="18"/>
              </w:rPr>
            </w:pPr>
            <w:r>
              <w:rPr>
                <w:color w:val="231F20"/>
                <w:sz w:val="18"/>
              </w:rPr>
              <w:t>$  (32)</w:t>
            </w:r>
          </w:p>
        </w:tc>
        <w:tc>
          <w:tcPr>
            <w:tcW w:w="814" w:type="dxa"/>
          </w:tcPr>
          <w:p>
            <w:pPr>
              <w:pStyle w:val="TableParagraph"/>
              <w:spacing w:line="194" w:lineRule="exact"/>
              <w:ind w:left="163" w:right="249"/>
              <w:jc w:val="center"/>
              <w:rPr>
                <w:sz w:val="18"/>
              </w:rPr>
            </w:pPr>
            <w:r>
              <w:rPr>
                <w:color w:val="231F20"/>
                <w:sz w:val="18"/>
              </w:rPr>
              <w:t>$  45</w:t>
            </w:r>
          </w:p>
        </w:tc>
        <w:tc>
          <w:tcPr>
            <w:tcW w:w="802" w:type="dxa"/>
          </w:tcPr>
          <w:p>
            <w:pPr>
              <w:pStyle w:val="TableParagraph"/>
              <w:spacing w:line="194" w:lineRule="exact"/>
              <w:ind w:left="270"/>
              <w:jc w:val="left"/>
              <w:rPr>
                <w:sz w:val="18"/>
              </w:rPr>
            </w:pPr>
            <w:r>
              <w:rPr>
                <w:color w:val="231F20"/>
                <w:sz w:val="18"/>
              </w:rPr>
              <w:t>$126</w:t>
            </w:r>
          </w:p>
        </w:tc>
        <w:tc>
          <w:tcPr>
            <w:tcW w:w="833" w:type="dxa"/>
          </w:tcPr>
          <w:p>
            <w:pPr>
              <w:pStyle w:val="TableParagraph"/>
              <w:spacing w:line="194" w:lineRule="exact"/>
              <w:ind w:left="171"/>
              <w:jc w:val="left"/>
              <w:rPr>
                <w:sz w:val="18"/>
              </w:rPr>
            </w:pPr>
            <w:r>
              <w:rPr>
                <w:color w:val="231F20"/>
                <w:sz w:val="18"/>
              </w:rPr>
              <w:t>$  (89)</w:t>
            </w:r>
          </w:p>
        </w:tc>
        <w:tc>
          <w:tcPr>
            <w:tcW w:w="825" w:type="dxa"/>
          </w:tcPr>
          <w:p>
            <w:pPr>
              <w:pStyle w:val="TableParagraph"/>
              <w:spacing w:line="194" w:lineRule="exact"/>
              <w:ind w:left="182"/>
              <w:jc w:val="left"/>
              <w:rPr>
                <w:sz w:val="18"/>
              </w:rPr>
            </w:pPr>
            <w:r>
              <w:rPr>
                <w:color w:val="231F20"/>
                <w:sz w:val="18"/>
              </w:rPr>
              <w:t>$  37</w:t>
            </w:r>
          </w:p>
        </w:tc>
      </w:tr>
    </w:tbl>
    <w:p>
      <w:pPr>
        <w:pStyle w:val="BodyText"/>
        <w:spacing w:before="2"/>
        <w:rPr>
          <w:b/>
          <w:sz w:val="9"/>
        </w:rPr>
      </w:pPr>
    </w:p>
    <w:p>
      <w:pPr>
        <w:pStyle w:val="BodyText"/>
        <w:spacing w:line="249" w:lineRule="auto" w:before="89"/>
        <w:ind w:left="160" w:firstLine="490"/>
      </w:pPr>
      <w:r>
        <w:rPr>
          <w:color w:val="231F20"/>
        </w:rPr>
        <w:t>The net amounts of derivative assets and liabilities are reconciled to the individual line item amounts presented in the Consolidated Balance Sheet in Note 5.</w:t>
      </w:r>
    </w:p>
    <w:p>
      <w:pPr>
        <w:pStyle w:val="BodyText"/>
        <w:spacing w:line="249" w:lineRule="auto" w:before="180"/>
        <w:ind w:left="160" w:right="1204" w:firstLine="490"/>
      </w:pPr>
      <w:r>
        <w:rPr>
          <w:color w:val="231F20"/>
        </w:rPr>
        <w:t>The following tables present the impact of derivative instruments and their location within the Consolidated Statement of Income for the year ended December 31, 2013 and 2012:</w:t>
      </w:r>
    </w:p>
    <w:p>
      <w:pPr>
        <w:pStyle w:val="Heading3"/>
        <w:spacing w:before="140"/>
        <w:ind w:left="160"/>
      </w:pPr>
      <w:r>
        <w:rPr/>
        <w:pict>
          <v:line style="position:absolute;mso-position-horizontal-relative:page;mso-position-vertical-relative:paragraph;z-index:6544" from="69pt,19.835938pt" to="525pt,19.835938pt" stroked="true" strokeweight="1pt" strokecolor="#231f20">
            <v:stroke dashstyle="solid"/>
            <w10:wrap type="none"/>
          </v:line>
        </w:pict>
      </w:r>
      <w:r>
        <w:rPr>
          <w:color w:val="231F20"/>
        </w:rPr>
        <w:t>Derivatives in cash flow hedging relationships</w:t>
      </w:r>
    </w:p>
    <w:p>
      <w:pPr>
        <w:spacing w:after="0"/>
        <w:sectPr>
          <w:type w:val="continuous"/>
          <w:pgSz w:w="11880" w:h="15480"/>
          <w:pgMar w:top="1200" w:bottom="280" w:left="1220" w:right="1260"/>
        </w:sectPr>
      </w:pPr>
    </w:p>
    <w:p>
      <w:pPr>
        <w:pStyle w:val="BodyText"/>
        <w:rPr>
          <w:b/>
          <w:sz w:val="24"/>
        </w:rPr>
      </w:pPr>
    </w:p>
    <w:p>
      <w:pPr>
        <w:spacing w:line="200" w:lineRule="exact" w:before="0"/>
        <w:ind w:left="2986" w:right="-19" w:firstLine="526"/>
        <w:jc w:val="left"/>
        <w:rPr>
          <w:b/>
          <w:sz w:val="20"/>
        </w:rPr>
      </w:pPr>
      <w:r>
        <w:rPr>
          <w:b/>
          <w:color w:val="231F20"/>
          <w:sz w:val="20"/>
        </w:rPr>
        <w:t>(Gain) loss recognized in AOCI on</w:t>
      </w:r>
      <w:r>
        <w:rPr>
          <w:b/>
          <w:color w:val="231F20"/>
          <w:w w:val="99"/>
          <w:sz w:val="20"/>
        </w:rPr>
        <w:t> </w:t>
      </w:r>
      <w:r>
        <w:rPr>
          <w:b/>
          <w:color w:val="231F20"/>
          <w:sz w:val="20"/>
        </w:rPr>
        <w:t>derivatives (effective</w:t>
      </w:r>
    </w:p>
    <w:p>
      <w:pPr>
        <w:spacing w:line="203" w:lineRule="exact" w:before="0"/>
        <w:ind w:left="3384" w:right="402" w:firstLine="0"/>
        <w:jc w:val="center"/>
        <w:rPr>
          <w:b/>
          <w:sz w:val="20"/>
        </w:rPr>
      </w:pPr>
      <w:r>
        <w:rPr/>
        <w:pict>
          <v:line style="position:absolute;mso-position-horizontal-relative:page;mso-position-vertical-relative:paragraph;z-index:6568" from="210.300003pt,11.5pt" to="308.900003pt,11.5pt" stroked="true" strokeweight="1pt" strokecolor="#231f20">
            <v:stroke dashstyle="solid"/>
            <w10:wrap type="none"/>
          </v:line>
        </w:pict>
      </w:r>
      <w:r>
        <w:rPr>
          <w:b/>
          <w:color w:val="231F20"/>
          <w:sz w:val="20"/>
        </w:rPr>
        <w:t>portion)</w:t>
      </w:r>
    </w:p>
    <w:p>
      <w:pPr>
        <w:spacing w:line="200" w:lineRule="exact" w:before="77"/>
        <w:ind w:left="3388" w:right="402" w:firstLine="0"/>
        <w:jc w:val="center"/>
        <w:rPr>
          <w:b/>
          <w:sz w:val="20"/>
        </w:rPr>
      </w:pPr>
      <w:r>
        <w:rPr>
          <w:b/>
          <w:color w:val="231F20"/>
          <w:sz w:val="20"/>
        </w:rPr>
        <w:t>Year ended December 31,</w:t>
      </w:r>
    </w:p>
    <w:p>
      <w:pPr>
        <w:pStyle w:val="BodyText"/>
        <w:rPr>
          <w:b/>
          <w:sz w:val="24"/>
        </w:rPr>
      </w:pPr>
      <w:r>
        <w:rPr/>
        <w:br w:type="column"/>
      </w:r>
      <w:r>
        <w:rPr>
          <w:b/>
          <w:sz w:val="24"/>
        </w:rPr>
      </w:r>
    </w:p>
    <w:p>
      <w:pPr>
        <w:spacing w:line="200" w:lineRule="exact" w:before="0"/>
        <w:ind w:left="198" w:right="-15" w:firstLine="541"/>
        <w:jc w:val="left"/>
        <w:rPr>
          <w:b/>
          <w:sz w:val="20"/>
        </w:rPr>
      </w:pPr>
      <w:r>
        <w:rPr>
          <w:b/>
          <w:color w:val="231F20"/>
          <w:sz w:val="20"/>
        </w:rPr>
        <w:t>(Gain) loss reclassified from AOCI into income (effective</w:t>
      </w:r>
    </w:p>
    <w:p>
      <w:pPr>
        <w:spacing w:line="203" w:lineRule="exact" w:before="0"/>
        <w:ind w:left="707" w:right="0" w:firstLine="24"/>
        <w:jc w:val="left"/>
        <w:rPr>
          <w:b/>
          <w:sz w:val="20"/>
        </w:rPr>
      </w:pPr>
      <w:r>
        <w:rPr/>
        <w:pict>
          <v:line style="position:absolute;mso-position-horizontal-relative:page;mso-position-vertical-relative:paragraph;z-index:6592" from="320.899994pt,11.5pt" to="420.999994pt,11.5pt" stroked="true" strokeweight="1pt" strokecolor="#231f20">
            <v:stroke dashstyle="solid"/>
            <w10:wrap type="none"/>
          </v:line>
        </w:pict>
      </w:r>
      <w:r>
        <w:rPr>
          <w:b/>
          <w:color w:val="231F20"/>
          <w:sz w:val="20"/>
        </w:rPr>
        <w:t>portion)(a)</w:t>
      </w:r>
    </w:p>
    <w:p>
      <w:pPr>
        <w:spacing w:line="200" w:lineRule="exact" w:before="77"/>
        <w:ind w:left="615" w:right="401" w:firstLine="92"/>
        <w:jc w:val="left"/>
        <w:rPr>
          <w:b/>
          <w:sz w:val="20"/>
        </w:rPr>
      </w:pPr>
      <w:r>
        <w:rPr>
          <w:b/>
          <w:color w:val="231F20"/>
          <w:sz w:val="20"/>
        </w:rPr>
        <w:t>Year ended December 31,</w:t>
      </w:r>
    </w:p>
    <w:p>
      <w:pPr>
        <w:spacing w:line="200" w:lineRule="exact" w:before="76"/>
        <w:ind w:left="217" w:right="139" w:hanging="1"/>
        <w:jc w:val="center"/>
        <w:rPr>
          <w:b/>
          <w:sz w:val="20"/>
        </w:rPr>
      </w:pPr>
      <w:r>
        <w:rPr/>
        <w:br w:type="column"/>
      </w:r>
      <w:r>
        <w:rPr>
          <w:b/>
          <w:color w:val="231F20"/>
          <w:sz w:val="20"/>
        </w:rPr>
        <w:t>(Gain) loss recognized in income</w:t>
      </w:r>
      <w:r>
        <w:rPr>
          <w:b/>
          <w:color w:val="231F20"/>
          <w:w w:val="100"/>
          <w:sz w:val="20"/>
        </w:rPr>
        <w:t> </w:t>
      </w:r>
      <w:r>
        <w:rPr>
          <w:b/>
          <w:color w:val="231F20"/>
          <w:sz w:val="20"/>
        </w:rPr>
        <w:t>on derivatives (ineffective portion)(b)</w:t>
      </w:r>
    </w:p>
    <w:p>
      <w:pPr>
        <w:pStyle w:val="BodyText"/>
        <w:spacing w:line="20" w:lineRule="exact"/>
        <w:ind w:left="188"/>
        <w:rPr>
          <w:sz w:val="2"/>
        </w:rPr>
      </w:pPr>
      <w:r>
        <w:rPr>
          <w:sz w:val="2"/>
        </w:rPr>
        <w:pict>
          <v:group style="width:93pt;height:1pt;mso-position-horizontal-relative:char;mso-position-vertical-relative:line" coordorigin="0,0" coordsize="1860,20">
            <v:line style="position:absolute" from="10,10" to="1850,10" stroked="true" strokeweight="1pt" strokecolor="#231f20">
              <v:stroke dashstyle="solid"/>
            </v:line>
          </v:group>
        </w:pict>
      </w:r>
      <w:r>
        <w:rPr>
          <w:sz w:val="2"/>
        </w:rPr>
      </w:r>
    </w:p>
    <w:p>
      <w:pPr>
        <w:spacing w:line="200" w:lineRule="exact" w:before="59"/>
        <w:ind w:left="534" w:right="456" w:firstLine="0"/>
        <w:jc w:val="center"/>
        <w:rPr>
          <w:b/>
          <w:sz w:val="20"/>
        </w:rPr>
      </w:pPr>
      <w:r>
        <w:rPr>
          <w:b/>
          <w:color w:val="231F20"/>
          <w:sz w:val="20"/>
        </w:rPr>
        <w:t>Year ended December 31,</w:t>
      </w:r>
    </w:p>
    <w:p>
      <w:pPr>
        <w:spacing w:after="0" w:line="200" w:lineRule="exact"/>
        <w:jc w:val="center"/>
        <w:rPr>
          <w:sz w:val="20"/>
        </w:rPr>
        <w:sectPr>
          <w:type w:val="continuous"/>
          <w:pgSz w:w="11880" w:h="15480"/>
          <w:pgMar w:top="1200" w:bottom="280" w:left="1220" w:right="1260"/>
          <w:cols w:num="3" w:equalWidth="0">
            <w:col w:w="4960" w:space="40"/>
            <w:col w:w="2203" w:space="40"/>
            <w:col w:w="2157"/>
          </w:cols>
        </w:sectPr>
      </w:pPr>
    </w:p>
    <w:p>
      <w:pPr>
        <w:tabs>
          <w:tab w:pos="3218" w:val="left" w:leader="none"/>
          <w:tab w:pos="4324" w:val="left" w:leader="none"/>
          <w:tab w:pos="5437" w:val="left" w:leader="none"/>
          <w:tab w:pos="6558" w:val="left" w:leader="none"/>
          <w:tab w:pos="7639" w:val="left" w:leader="none"/>
          <w:tab w:pos="8679" w:val="left" w:leader="none"/>
        </w:tabs>
        <w:spacing w:line="203" w:lineRule="exact" w:before="0"/>
        <w:ind w:left="160" w:right="0" w:firstLine="0"/>
        <w:jc w:val="left"/>
        <w:rPr>
          <w:b/>
          <w:sz w:val="20"/>
        </w:rPr>
      </w:pPr>
      <w:r>
        <w:rPr/>
        <w:pict>
          <v:group style="position:absolute;margin-left:68.5pt;margin-top:11pt;width:185.6pt;height:1pt;mso-position-horizontal-relative:page;mso-position-vertical-relative:paragraph;z-index:6616" coordorigin="1370,220" coordsize="3712,20">
            <v:line style="position:absolute" from="1380,230" to="4006,230" stroked="true" strokeweight="1pt" strokecolor="#231f20">
              <v:stroke dashstyle="solid"/>
            </v:line>
            <v:line style="position:absolute" from="4006,230" to="5072,230" stroked="true" strokeweight="1pt" strokecolor="#231f20">
              <v:stroke dashstyle="solid"/>
            </v:line>
            <w10:wrap type="none"/>
          </v:group>
        </w:pict>
      </w:r>
      <w:r>
        <w:rPr/>
        <w:pict>
          <v:line style="position:absolute;mso-position-horizontal-relative:page;mso-position-vertical-relative:paragraph;z-index:6640" from="265.600006pt,11.5pt" to="308.900006pt,11.5pt" stroked="true" strokeweight="1pt" strokecolor="#231f20">
            <v:stroke dashstyle="solid"/>
            <w10:wrap type="none"/>
          </v:line>
        </w:pict>
      </w:r>
      <w:r>
        <w:rPr/>
        <w:pict>
          <v:line style="position:absolute;mso-position-horizontal-relative:page;mso-position-vertical-relative:paragraph;z-index:6664" from="320.899994pt,11.5pt" to="364.949994pt,11.5pt" stroked="true" strokeweight="1pt" strokecolor="#231f20">
            <v:stroke dashstyle="solid"/>
            <w10:wrap type="none"/>
          </v:line>
        </w:pict>
      </w:r>
      <w:r>
        <w:rPr/>
        <w:pict>
          <v:line style="position:absolute;mso-position-horizontal-relative:page;mso-position-vertical-relative:paragraph;z-index:6688" from="376.949982pt,11.5pt" to="420.999982pt,11.5pt" stroked="true" strokeweight="1pt" strokecolor="#231f20">
            <v:stroke dashstyle="solid"/>
            <w10:wrap type="none"/>
          </v:line>
        </w:pict>
      </w:r>
      <w:r>
        <w:rPr/>
        <w:pict>
          <v:line style="position:absolute;mso-position-horizontal-relative:page;mso-position-vertical-relative:paragraph;z-index:6712" from="433pt,11.5pt" to="473pt,11.5pt" stroked="true" strokeweight="1pt" strokecolor="#231f20">
            <v:stroke dashstyle="solid"/>
            <w10:wrap type="none"/>
          </v:line>
        </w:pict>
      </w:r>
      <w:r>
        <w:rPr/>
        <w:pict>
          <v:line style="position:absolute;mso-position-horizontal-relative:page;mso-position-vertical-relative:paragraph;z-index:6736" from="485pt,11.5pt" to="525pt,11.5pt" stroked="true" strokeweight="1pt" strokecolor="#231f20">
            <v:stroke dashstyle="solid"/>
            <w10:wrap type="none"/>
          </v:line>
        </w:pict>
      </w:r>
      <w:r>
        <w:rPr>
          <w:b/>
          <w:color w:val="231F20"/>
          <w:sz w:val="20"/>
        </w:rPr>
        <w:t>(in millions)</w:t>
        <w:tab/>
        <w:t>2013</w:t>
        <w:tab/>
        <w:t>2012</w:t>
        <w:tab/>
        <w:t>2013</w:t>
        <w:tab/>
        <w:t>2012</w:t>
        <w:tab/>
        <w:t>2013</w:t>
        <w:tab/>
        <w:t>2012</w:t>
      </w:r>
    </w:p>
    <w:p>
      <w:pPr>
        <w:pStyle w:val="BodyText"/>
        <w:tabs>
          <w:tab w:pos="3591" w:val="left" w:leader="none"/>
          <w:tab w:pos="4630" w:val="left" w:leader="none"/>
          <w:tab w:pos="5718" w:val="left" w:leader="none"/>
          <w:tab w:pos="6839" w:val="left" w:leader="none"/>
          <w:tab w:pos="7979" w:val="left" w:leader="none"/>
          <w:tab w:pos="8479" w:val="left" w:leader="none"/>
          <w:tab w:pos="9219" w:val="right" w:leader="none"/>
        </w:tabs>
        <w:spacing w:line="225" w:lineRule="exact" w:before="70"/>
        <w:ind w:left="160"/>
      </w:pPr>
      <w:r>
        <w:rPr>
          <w:color w:val="231F20"/>
        </w:rPr>
        <w:t>Fuel derivative contracts  . . . . .</w:t>
      </w:r>
      <w:r>
        <w:rPr>
          <w:color w:val="231F20"/>
          <w:spacing w:val="-2"/>
        </w:rPr>
        <w:t> </w:t>
      </w:r>
      <w:r>
        <w:rPr>
          <w:color w:val="231F20"/>
        </w:rPr>
        <w:t>.    $</w:t>
        <w:tab/>
        <w:t>52*    $</w:t>
        <w:tab/>
        <w:t>(19)* </w:t>
      </w:r>
      <w:r>
        <w:rPr>
          <w:color w:val="231F20"/>
          <w:spacing w:val="33"/>
        </w:rPr>
        <w:t> </w:t>
      </w:r>
      <w:r>
        <w:rPr>
          <w:color w:val="231F20"/>
        </w:rPr>
        <w:t>$</w:t>
        <w:tab/>
        <w:t>103*    $</w:t>
        <w:tab/>
        <w:t>101*    $</w:t>
        <w:tab/>
        <w:t>10</w:t>
        <w:tab/>
        <w:t>$</w:t>
        <w:tab/>
        <w:t>43</w:t>
      </w:r>
    </w:p>
    <w:p>
      <w:pPr>
        <w:pStyle w:val="BodyText"/>
        <w:tabs>
          <w:tab w:pos="3524" w:val="left" w:leader="none"/>
          <w:tab w:pos="3591" w:val="left" w:leader="none"/>
          <w:tab w:pos="4091" w:val="left" w:leader="none"/>
          <w:tab w:pos="4697" w:val="left" w:leader="none"/>
          <w:tab w:pos="4730" w:val="left" w:leader="none"/>
          <w:tab w:pos="5197" w:val="left" w:leader="none"/>
          <w:tab w:pos="5718" w:val="left" w:leader="none"/>
          <w:tab w:pos="5818" w:val="left" w:leader="none"/>
          <w:tab w:pos="6318" w:val="left" w:leader="none"/>
          <w:tab w:pos="6872" w:val="left" w:leader="none"/>
          <w:tab w:pos="6939" w:val="left" w:leader="none"/>
          <w:tab w:pos="7439" w:val="left" w:leader="none"/>
          <w:tab w:pos="7979" w:val="left" w:leader="none"/>
          <w:tab w:pos="8079" w:val="left" w:leader="none"/>
          <w:tab w:pos="8479" w:val="left" w:leader="none"/>
          <w:tab w:pos="8919" w:val="left" w:leader="none"/>
          <w:tab w:pos="9219" w:val="right" w:leader="none"/>
        </w:tabs>
        <w:spacing w:line="312" w:lineRule="auto"/>
        <w:ind w:left="360" w:right="179" w:hanging="200"/>
      </w:pPr>
      <w:r>
        <w:rPr/>
        <w:pict>
          <v:line style="position:absolute;mso-position-horizontal-relative:page;mso-position-vertical-relative:paragraph;z-index:-330088" from="210.300003pt,13.085938pt" to="253.600003pt,13.085938pt" stroked="true" strokeweight=".5pt" strokecolor="#231f20">
            <v:stroke dashstyle="solid"/>
            <w10:wrap type="none"/>
          </v:line>
        </w:pict>
      </w:r>
      <w:r>
        <w:rPr/>
        <w:pict>
          <v:line style="position:absolute;mso-position-horizontal-relative:page;mso-position-vertical-relative:paragraph;z-index:-330064" from="265.600006pt,13.085938pt" to="308.900006pt,13.085938pt" stroked="true" strokeweight=".5pt" strokecolor="#231f20">
            <v:stroke dashstyle="solid"/>
            <w10:wrap type="none"/>
          </v:line>
        </w:pict>
      </w:r>
      <w:r>
        <w:rPr/>
        <w:pict>
          <v:line style="position:absolute;mso-position-horizontal-relative:page;mso-position-vertical-relative:paragraph;z-index:-330040" from="320.899994pt,13.085938pt" to="364.949994pt,13.085938pt" stroked="true" strokeweight=".5pt" strokecolor="#231f20">
            <v:stroke dashstyle="solid"/>
            <w10:wrap type="none"/>
          </v:line>
        </w:pict>
      </w:r>
      <w:r>
        <w:rPr/>
        <w:pict>
          <v:line style="position:absolute;mso-position-horizontal-relative:page;mso-position-vertical-relative:paragraph;z-index:-330016" from="376.949982pt,13.085938pt" to="420.999982pt,13.085938pt" stroked="true" strokeweight=".5pt" strokecolor="#231f20">
            <v:stroke dashstyle="solid"/>
            <w10:wrap type="none"/>
          </v:line>
        </w:pict>
      </w:r>
      <w:r>
        <w:rPr/>
        <w:pict>
          <v:line style="position:absolute;mso-position-horizontal-relative:page;mso-position-vertical-relative:paragraph;z-index:-329992" from="433pt,13.085938pt" to="473pt,13.085938pt" stroked="true" strokeweight=".5pt" strokecolor="#231f20">
            <v:stroke dashstyle="solid"/>
            <w10:wrap type="none"/>
          </v:line>
        </w:pict>
      </w:r>
      <w:r>
        <w:rPr/>
        <w:pict>
          <v:line style="position:absolute;mso-position-horizontal-relative:page;mso-position-vertical-relative:paragraph;z-index:-329968" from="485pt,13.085938pt" to="525pt,13.085938pt" stroked="true" strokeweight=".5pt" strokecolor="#231f20">
            <v:stroke dashstyle="solid"/>
            <w10:wrap type="none"/>
          </v:line>
        </w:pict>
      </w:r>
      <w:r>
        <w:rPr/>
        <w:pict>
          <v:group style="position:absolute;margin-left:210.050003pt;margin-top:27.835938pt;width:43.8pt;height:2.5pt;mso-position-horizontal-relative:page;mso-position-vertical-relative:paragraph;z-index:-329944" coordorigin="4201,557" coordsize="876,50">
            <v:line style="position:absolute" from="4206,562" to="5072,562" stroked="true" strokeweight=".5pt" strokecolor="#231f20">
              <v:stroke dashstyle="solid"/>
            </v:line>
            <v:line style="position:absolute" from="4206,602" to="5072,602" stroked="true" strokeweight=".5pt" strokecolor="#231f20">
              <v:stroke dashstyle="solid"/>
            </v:line>
            <w10:wrap type="none"/>
          </v:group>
        </w:pict>
      </w:r>
      <w:r>
        <w:rPr/>
        <w:pict>
          <v:group style="position:absolute;margin-left:265.350006pt;margin-top:27.835938pt;width:43.8pt;height:2.5pt;mso-position-horizontal-relative:page;mso-position-vertical-relative:paragraph;z-index:-329920" coordorigin="5307,557" coordsize="876,50">
            <v:line style="position:absolute" from="5312,562" to="6178,562" stroked="true" strokeweight=".5pt" strokecolor="#231f20">
              <v:stroke dashstyle="solid"/>
            </v:line>
            <v:line style="position:absolute" from="5312,602" to="6178,602" stroked="true" strokeweight=".5pt" strokecolor="#231f20">
              <v:stroke dashstyle="solid"/>
            </v:line>
            <w10:wrap type="none"/>
          </v:group>
        </w:pict>
      </w:r>
      <w:r>
        <w:rPr/>
        <w:pict>
          <v:group style="position:absolute;margin-left:320.649994pt;margin-top:27.835938pt;width:44.55pt;height:2.5pt;mso-position-horizontal-relative:page;mso-position-vertical-relative:paragraph;z-index:-329896" coordorigin="6413,557" coordsize="891,50">
            <v:line style="position:absolute" from="6418,562" to="7299,562" stroked="true" strokeweight=".5pt" strokecolor="#231f20">
              <v:stroke dashstyle="solid"/>
            </v:line>
            <v:line style="position:absolute" from="6418,602" to="7299,602" stroked="true" strokeweight=".5pt" strokecolor="#231f20">
              <v:stroke dashstyle="solid"/>
            </v:line>
            <w10:wrap type="none"/>
          </v:group>
        </w:pict>
      </w:r>
      <w:r>
        <w:rPr/>
        <w:pict>
          <v:group style="position:absolute;margin-left:376.699982pt;margin-top:27.835938pt;width:44.55pt;height:2.5pt;mso-position-horizontal-relative:page;mso-position-vertical-relative:paragraph;z-index:-329872" coordorigin="7534,557" coordsize="891,50">
            <v:line style="position:absolute" from="7539,562" to="8420,562" stroked="true" strokeweight=".5pt" strokecolor="#231f20">
              <v:stroke dashstyle="solid"/>
            </v:line>
            <v:line style="position:absolute" from="7539,602" to="8420,602" stroked="true" strokeweight=".5pt" strokecolor="#231f20">
              <v:stroke dashstyle="solid"/>
            </v:line>
            <w10:wrap type="none"/>
          </v:group>
        </w:pict>
      </w:r>
      <w:r>
        <w:rPr/>
        <w:pict>
          <v:group style="position:absolute;margin-left:432.75pt;margin-top:27.835938pt;width:40.5pt;height:2.5pt;mso-position-horizontal-relative:page;mso-position-vertical-relative:paragraph;z-index:-329848" coordorigin="8655,557" coordsize="810,50">
            <v:line style="position:absolute" from="8660,562" to="9460,562" stroked="true" strokeweight=".5pt" strokecolor="#231f20">
              <v:stroke dashstyle="solid"/>
            </v:line>
            <v:line style="position:absolute" from="8660,602" to="9460,602" stroked="true" strokeweight=".5pt" strokecolor="#231f20">
              <v:stroke dashstyle="solid"/>
            </v:line>
            <w10:wrap type="none"/>
          </v:group>
        </w:pict>
      </w:r>
      <w:r>
        <w:rPr/>
        <w:pict>
          <v:group style="position:absolute;margin-left:484.75pt;margin-top:27.835938pt;width:40.5pt;height:2.5pt;mso-position-horizontal-relative:page;mso-position-vertical-relative:paragraph;z-index:-329824" coordorigin="9695,557" coordsize="810,50">
            <v:line style="position:absolute" from="9700,562" to="10500,562" stroked="true" strokeweight=".5pt" strokecolor="#231f20">
              <v:stroke dashstyle="solid"/>
            </v:line>
            <v:line style="position:absolute" from="9700,602" to="10500,602" stroked="true" strokeweight=".5pt" strokecolor="#231f20">
              <v:stroke dashstyle="solid"/>
            </v:line>
            <w10:wrap type="none"/>
          </v:group>
        </w:pict>
      </w:r>
      <w:r>
        <w:rPr>
          <w:color w:val="231F20"/>
        </w:rPr>
        <w:t>Interest rate derivatives  . . . . .</w:t>
      </w:r>
      <w:r>
        <w:rPr>
          <w:color w:val="231F20"/>
          <w:spacing w:val="-2"/>
        </w:rPr>
        <w:t> </w:t>
      </w:r>
      <w:r>
        <w:rPr>
          <w:color w:val="231F20"/>
        </w:rPr>
        <w:t>. .</w:t>
        <w:tab/>
        <w:t>(14)*</w:t>
        <w:tab/>
        <w:tab/>
        <w:t>17*</w:t>
        <w:tab/>
        <w:tab/>
        <w:tab/>
        <w:t>18*</w:t>
        <w:tab/>
        <w:tab/>
        <w:t>(16)*</w:t>
        <w:tab/>
        <w:tab/>
        <w:tab/>
        <w:t>1</w:t>
        <w:tab/>
        <w:tab/>
        <w:t>— Total . . . . . . . . . . . . . . . . . . .</w:t>
      </w:r>
      <w:r>
        <w:rPr>
          <w:color w:val="231F20"/>
          <w:spacing w:val="3"/>
        </w:rPr>
        <w:t> </w:t>
      </w:r>
      <w:r>
        <w:rPr>
          <w:color w:val="231F20"/>
        </w:rPr>
        <w:t>.    $</w:t>
        <w:tab/>
        <w:tab/>
        <w:t>38</w:t>
        <w:tab/>
        <w:t>$</w:t>
        <w:tab/>
        <w:tab/>
        <w:t>(2)</w:t>
        <w:tab/>
        <w:t>$</w:t>
        <w:tab/>
        <w:t>121</w:t>
        <w:tab/>
        <w:t>$</w:t>
        <w:tab/>
        <w:tab/>
        <w:t>85</w:t>
        <w:tab/>
        <w:t>$</w:t>
        <w:tab/>
        <w:t>11</w:t>
        <w:tab/>
        <w:t>$</w:t>
        <w:tab/>
        <w:tab/>
        <w:t>43</w:t>
      </w:r>
    </w:p>
    <w:p>
      <w:pPr>
        <w:pStyle w:val="BodyText"/>
        <w:spacing w:before="11"/>
        <w:rPr>
          <w:sz w:val="10"/>
        </w:rPr>
      </w:pPr>
      <w:r>
        <w:rPr/>
        <w:pict>
          <v:line style="position:absolute;mso-position-horizontal-relative:page;mso-position-vertical-relative:paragraph;z-index:6376;mso-wrap-distance-left:0;mso-wrap-distance-right:0" from="69pt,8.515137pt" to="117pt,8.515137pt" stroked="true" strokeweight=".5pt" strokecolor="#231f20">
            <v:stroke dashstyle="solid"/>
            <w10:wrap type="topAndBottom"/>
          </v:line>
        </w:pict>
      </w:r>
    </w:p>
    <w:p>
      <w:pPr>
        <w:pStyle w:val="BodyText"/>
        <w:tabs>
          <w:tab w:pos="559" w:val="left" w:leader="none"/>
        </w:tabs>
        <w:spacing w:before="24"/>
        <w:ind w:left="160"/>
      </w:pPr>
      <w:r>
        <w:rPr>
          <w:color w:val="231F20"/>
        </w:rPr>
        <w:t>*</w:t>
        <w:tab/>
        <w:t>Net of tax</w:t>
      </w:r>
    </w:p>
    <w:p>
      <w:pPr>
        <w:pStyle w:val="ListParagraph"/>
        <w:numPr>
          <w:ilvl w:val="0"/>
          <w:numId w:val="14"/>
        </w:numPr>
        <w:tabs>
          <w:tab w:pos="560" w:val="left" w:leader="none"/>
        </w:tabs>
        <w:spacing w:line="249" w:lineRule="auto" w:before="9" w:after="0"/>
        <w:ind w:left="560" w:right="466" w:hanging="40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4"/>
        </w:numPr>
        <w:tabs>
          <w:tab w:pos="560" w:val="left" w:leader="none"/>
        </w:tabs>
        <w:spacing w:line="240" w:lineRule="auto" w:before="0" w:after="0"/>
        <w:ind w:left="56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pStyle w:val="Heading3"/>
        <w:spacing w:before="149" w:after="16"/>
        <w:ind w:left="160"/>
      </w:pPr>
      <w:r>
        <w:rPr>
          <w:color w:val="231F20"/>
        </w:rPr>
        <w:t>Derivatives not in cash flow hedging relationships</w:t>
      </w:r>
    </w:p>
    <w:p>
      <w:pPr>
        <w:pStyle w:val="BodyText"/>
        <w:spacing w:line="20" w:lineRule="exact"/>
        <w:ind w:left="150"/>
        <w:rPr>
          <w:sz w:val="2"/>
        </w:rPr>
      </w:pPr>
      <w:r>
        <w:rPr>
          <w:sz w:val="2"/>
        </w:rPr>
        <w:pict>
          <v:group style="width:397pt;height:1pt;mso-position-horizontal-relative:char;mso-position-vertical-relative:line" coordorigin="0,0" coordsize="7940,20">
            <v:line style="position:absolute" from="10,10" to="7930,10" stroked="true" strokeweight="1pt" strokecolor="#231f20">
              <v:stroke dashstyle="solid"/>
            </v:line>
          </v:group>
        </w:pict>
      </w:r>
      <w:r>
        <w:rPr>
          <w:sz w:val="2"/>
        </w:rPr>
      </w:r>
    </w:p>
    <w:p>
      <w:pPr>
        <w:pStyle w:val="BodyText"/>
        <w:spacing w:before="7"/>
        <w:rPr>
          <w:b/>
          <w:sz w:val="10"/>
        </w:rPr>
      </w:pPr>
    </w:p>
    <w:p>
      <w:pPr>
        <w:spacing w:after="0"/>
        <w:rPr>
          <w:sz w:val="10"/>
        </w:rPr>
        <w:sectPr>
          <w:type w:val="continuous"/>
          <w:pgSz w:w="11880" w:h="15480"/>
          <w:pgMar w:top="1200" w:bottom="280" w:left="1220" w:right="1260"/>
        </w:sectPr>
      </w:pPr>
    </w:p>
    <w:p>
      <w:pPr>
        <w:spacing w:line="200" w:lineRule="exact" w:before="118"/>
        <w:ind w:left="3881" w:right="-17" w:firstLine="571"/>
        <w:jc w:val="left"/>
        <w:rPr>
          <w:b/>
          <w:sz w:val="20"/>
        </w:rPr>
      </w:pPr>
      <w:r>
        <w:rPr>
          <w:b/>
          <w:color w:val="231F20"/>
          <w:sz w:val="20"/>
        </w:rPr>
        <w:t>(Gain) loss recognized in income on</w:t>
      </w:r>
    </w:p>
    <w:p>
      <w:pPr>
        <w:spacing w:line="203" w:lineRule="exact" w:before="0"/>
        <w:ind w:left="0" w:right="539" w:firstLine="0"/>
        <w:jc w:val="right"/>
        <w:rPr>
          <w:b/>
          <w:sz w:val="20"/>
        </w:rPr>
      </w:pPr>
      <w:r>
        <w:rPr/>
        <w:pict>
          <v:line style="position:absolute;mso-position-horizontal-relative:page;mso-position-vertical-relative:paragraph;z-index:7048" from="255.050003pt,11.5pt" to="358.150003pt,11.5pt" stroked="true" strokeweight="1pt" strokecolor="#231f20">
            <v:stroke dashstyle="solid"/>
            <w10:wrap type="none"/>
          </v:line>
        </w:pict>
      </w:r>
      <w:r>
        <w:rPr>
          <w:b/>
          <w:color w:val="231F20"/>
          <w:sz w:val="20"/>
        </w:rPr>
        <w:t>derivatives</w:t>
      </w:r>
    </w:p>
    <w:p>
      <w:pPr>
        <w:spacing w:line="200" w:lineRule="exact" w:before="76"/>
        <w:ind w:left="4327" w:right="431" w:firstLine="92"/>
        <w:jc w:val="left"/>
        <w:rPr>
          <w:b/>
          <w:sz w:val="20"/>
        </w:rPr>
      </w:pPr>
      <w:r>
        <w:rPr>
          <w:b/>
          <w:color w:val="231F20"/>
          <w:sz w:val="20"/>
        </w:rPr>
        <w:t>Year ended December 31,</w:t>
      </w:r>
    </w:p>
    <w:p>
      <w:pPr>
        <w:pStyle w:val="BodyText"/>
        <w:rPr>
          <w:b/>
          <w:sz w:val="22"/>
        </w:rPr>
      </w:pPr>
      <w:r>
        <w:rPr/>
        <w:br w:type="column"/>
      </w:r>
      <w:r>
        <w:rPr>
          <w:b/>
          <w:sz w:val="22"/>
        </w:rPr>
      </w:r>
    </w:p>
    <w:p>
      <w:pPr>
        <w:pStyle w:val="BodyText"/>
        <w:rPr>
          <w:b/>
          <w:sz w:val="22"/>
        </w:rPr>
      </w:pPr>
    </w:p>
    <w:p>
      <w:pPr>
        <w:pStyle w:val="BodyText"/>
        <w:spacing w:before="4"/>
        <w:rPr>
          <w:b/>
          <w:sz w:val="32"/>
        </w:rPr>
      </w:pPr>
    </w:p>
    <w:p>
      <w:pPr>
        <w:spacing w:line="200" w:lineRule="exact" w:before="0"/>
        <w:ind w:left="225" w:right="1328" w:hanging="42"/>
        <w:jc w:val="left"/>
        <w:rPr>
          <w:b/>
          <w:sz w:val="20"/>
        </w:rPr>
      </w:pPr>
      <w:r>
        <w:rPr/>
        <w:pict>
          <v:shape style="position:absolute;margin-left:66.5pt;margin-top:17.5pt;width:398.5pt;height:31.75pt;mso-position-horizontal-relative:page;mso-position-vertical-relative:paragraph;z-index:70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71"/>
                    <w:gridCol w:w="1131"/>
                    <w:gridCol w:w="2968"/>
                  </w:tblGrid>
                  <w:tr>
                    <w:trPr>
                      <w:trHeight w:val="280" w:hRule="exact"/>
                    </w:trPr>
                    <w:tc>
                      <w:tcPr>
                        <w:tcW w:w="3871" w:type="dxa"/>
                      </w:tcPr>
                      <w:p>
                        <w:pPr>
                          <w:pStyle w:val="TableParagraph"/>
                          <w:spacing w:before="23"/>
                          <w:ind w:left="50"/>
                          <w:jc w:val="left"/>
                          <w:rPr>
                            <w:b/>
                            <w:sz w:val="20"/>
                          </w:rPr>
                        </w:pPr>
                        <w:r>
                          <w:rPr>
                            <w:b/>
                            <w:color w:val="231F20"/>
                            <w:sz w:val="20"/>
                          </w:rPr>
                          <w:t>(in millions)</w:t>
                        </w:r>
                      </w:p>
                    </w:tc>
                    <w:tc>
                      <w:tcPr>
                        <w:tcW w:w="1131" w:type="dxa"/>
                        <w:tcBorders>
                          <w:top w:val="single" w:sz="8" w:space="0" w:color="231F20"/>
                        </w:tcBorders>
                      </w:tcPr>
                      <w:p>
                        <w:pPr>
                          <w:pStyle w:val="TableParagraph"/>
                          <w:spacing w:before="13"/>
                          <w:ind w:left="164"/>
                          <w:jc w:val="left"/>
                          <w:rPr>
                            <w:b/>
                            <w:sz w:val="20"/>
                          </w:rPr>
                        </w:pPr>
                        <w:r>
                          <w:rPr>
                            <w:b/>
                            <w:color w:val="231F20"/>
                            <w:sz w:val="20"/>
                          </w:rPr>
                          <w:t>2013</w:t>
                        </w:r>
                      </w:p>
                    </w:tc>
                    <w:tc>
                      <w:tcPr>
                        <w:tcW w:w="2968" w:type="dxa"/>
                        <w:tcBorders>
                          <w:top w:val="single" w:sz="8" w:space="0" w:color="231F20"/>
                          <w:bottom w:val="single" w:sz="8" w:space="0" w:color="231F20"/>
                        </w:tcBorders>
                      </w:tcPr>
                      <w:p>
                        <w:pPr>
                          <w:pStyle w:val="TableParagraph"/>
                          <w:tabs>
                            <w:tab w:pos="1400" w:val="left" w:leader="none"/>
                          </w:tabs>
                          <w:spacing w:before="13"/>
                          <w:ind w:left="164"/>
                          <w:jc w:val="left"/>
                          <w:rPr>
                            <w:b/>
                            <w:sz w:val="20"/>
                          </w:rPr>
                        </w:pPr>
                        <w:r>
                          <w:rPr>
                            <w:b/>
                            <w:color w:val="231F20"/>
                            <w:sz w:val="20"/>
                          </w:rPr>
                          <w:t>2012</w:t>
                          <w:tab/>
                          <w:t>on</w:t>
                        </w:r>
                        <w:r>
                          <w:rPr>
                            <w:b/>
                            <w:color w:val="231F20"/>
                            <w:spacing w:val="-1"/>
                            <w:sz w:val="20"/>
                          </w:rPr>
                          <w:t> </w:t>
                        </w:r>
                        <w:r>
                          <w:rPr>
                            <w:b/>
                            <w:color w:val="231F20"/>
                            <w:sz w:val="20"/>
                          </w:rPr>
                          <w:t>derivatives</w:t>
                        </w:r>
                      </w:p>
                    </w:tc>
                  </w:tr>
                  <w:tr>
                    <w:trPr>
                      <w:trHeight w:val="345" w:hRule="exact"/>
                    </w:trPr>
                    <w:tc>
                      <w:tcPr>
                        <w:tcW w:w="3871" w:type="dxa"/>
                      </w:tcPr>
                      <w:p>
                        <w:pPr>
                          <w:pStyle w:val="TableParagraph"/>
                          <w:spacing w:before="43"/>
                          <w:ind w:left="50"/>
                          <w:jc w:val="left"/>
                          <w:rPr>
                            <w:sz w:val="20"/>
                          </w:rPr>
                        </w:pPr>
                        <w:r>
                          <w:rPr>
                            <w:color w:val="231F20"/>
                            <w:sz w:val="20"/>
                          </w:rPr>
                          <w:t>Fuel derivative contracts  . . . . . . . . . . . . . . .   $</w:t>
                        </w:r>
                      </w:p>
                    </w:tc>
                    <w:tc>
                      <w:tcPr>
                        <w:tcW w:w="1131" w:type="dxa"/>
                      </w:tcPr>
                      <w:p>
                        <w:pPr>
                          <w:pStyle w:val="TableParagraph"/>
                          <w:spacing w:before="43"/>
                          <w:ind w:left="463"/>
                          <w:jc w:val="left"/>
                          <w:rPr>
                            <w:sz w:val="20"/>
                          </w:rPr>
                        </w:pPr>
                        <w:r>
                          <w:rPr>
                            <w:color w:val="231F20"/>
                            <w:sz w:val="20"/>
                          </w:rPr>
                          <w:t>(100)  $</w:t>
                        </w:r>
                      </w:p>
                    </w:tc>
                    <w:tc>
                      <w:tcPr>
                        <w:tcW w:w="2968" w:type="dxa"/>
                        <w:tcBorders>
                          <w:top w:val="single" w:sz="8" w:space="0" w:color="231F20"/>
                          <w:bottom w:val="single" w:sz="4" w:space="0" w:color="231F20"/>
                        </w:tcBorders>
                      </w:tcPr>
                      <w:p>
                        <w:pPr>
                          <w:pStyle w:val="TableParagraph"/>
                          <w:spacing w:before="33"/>
                          <w:ind w:left="463"/>
                          <w:jc w:val="left"/>
                          <w:rPr>
                            <w:sz w:val="20"/>
                          </w:rPr>
                        </w:pPr>
                        <w:r>
                          <w:rPr>
                            <w:color w:val="231F20"/>
                            <w:sz w:val="20"/>
                          </w:rPr>
                          <w:t>(264)   Other (gains) losses,</w:t>
                        </w:r>
                        <w:r>
                          <w:rPr>
                            <w:color w:val="231F20"/>
                            <w:spacing w:val="-15"/>
                            <w:sz w:val="20"/>
                          </w:rPr>
                          <w:t> </w:t>
                        </w:r>
                        <w:r>
                          <w:rPr>
                            <w:color w:val="231F20"/>
                            <w:sz w:val="20"/>
                          </w:rPr>
                          <w:t>net</w:t>
                        </w:r>
                      </w:p>
                    </w:tc>
                  </w:tr>
                </w:tbl>
                <w:p>
                  <w:pPr>
                    <w:pStyle w:val="BodyText"/>
                  </w:pPr>
                </w:p>
              </w:txbxContent>
            </v:textbox>
            <w10:wrap type="none"/>
          </v:shape>
        </w:pict>
      </w:r>
      <w:r>
        <w:rPr>
          <w:b/>
          <w:color w:val="231F20"/>
          <w:sz w:val="20"/>
        </w:rPr>
        <w:t>Location of (gain) loss recognized in income</w:t>
      </w:r>
    </w:p>
    <w:p>
      <w:pPr>
        <w:spacing w:after="0" w:line="200" w:lineRule="exact"/>
        <w:jc w:val="left"/>
        <w:rPr>
          <w:sz w:val="20"/>
        </w:rPr>
        <w:sectPr>
          <w:type w:val="continuous"/>
          <w:pgSz w:w="11880" w:h="15480"/>
          <w:pgMar w:top="1200" w:bottom="280" w:left="1220" w:right="1260"/>
          <w:cols w:num="2" w:equalWidth="0">
            <w:col w:w="5945" w:space="40"/>
            <w:col w:w="3415"/>
          </w:cols>
        </w:sectPr>
      </w:pPr>
    </w:p>
    <w:p>
      <w:pPr>
        <w:pStyle w:val="BodyText"/>
        <w:spacing w:before="1"/>
        <w:rPr>
          <w:b/>
          <w:sz w:val="19"/>
        </w:rPr>
      </w:pPr>
    </w:p>
    <w:p>
      <w:pPr>
        <w:pStyle w:val="BodyText"/>
        <w:spacing w:line="20" w:lineRule="exact"/>
        <w:ind w:left="150"/>
        <w:rPr>
          <w:sz w:val="2"/>
        </w:rPr>
      </w:pPr>
      <w:r>
        <w:rPr>
          <w:sz w:val="2"/>
        </w:rPr>
        <w:pict>
          <v:group style="width:177.05pt;height:1pt;mso-position-horizontal-relative:char;mso-position-vertical-relative:line" coordorigin="0,0" coordsize="3541,20">
            <v:line style="position:absolute" from="10,10" to="3531,10" stroked="true" strokeweight="1pt" strokecolor="#231f20">
              <v:stroke dashstyle="solid"/>
            </v:line>
          </v:group>
        </w:pict>
      </w:r>
      <w:r>
        <w:rPr>
          <w:sz w:val="2"/>
        </w:rPr>
      </w:r>
    </w:p>
    <w:p>
      <w:pPr>
        <w:pStyle w:val="BodyText"/>
        <w:spacing w:before="9"/>
        <w:rPr>
          <w:b/>
          <w:sz w:val="21"/>
        </w:rPr>
      </w:pPr>
      <w:r>
        <w:rPr/>
        <w:pict>
          <v:line style="position:absolute;mso-position-horizontal-relative:page;mso-position-vertical-relative:paragraph;z-index:6448;mso-wrap-distance-left:0;mso-wrap-distance-right:0" from="255.050003pt,14.75pt" to="301.600003pt,14.75pt" stroked="true" strokeweight=".5pt" strokecolor="#231f20">
            <v:stroke dashstyle="solid"/>
            <w10:wrap type="topAndBottom"/>
          </v:line>
        </w:pict>
      </w:r>
      <w:r>
        <w:rPr/>
        <w:pict>
          <v:line style="position:absolute;mso-position-horizontal-relative:page;mso-position-vertical-relative:paragraph;z-index:6472;mso-wrap-distance-left:0;mso-wrap-distance-right:0" from="311.600006pt,14.75pt" to="358.150006pt,14.75pt" stroked="true" strokeweight=".5pt" strokecolor="#231f20">
            <v:stroke dashstyle="solid"/>
            <w10:wrap type="topAndBottom"/>
          </v:line>
        </w:pict>
      </w:r>
    </w:p>
    <w:p>
      <w:pPr>
        <w:pStyle w:val="BodyText"/>
        <w:spacing w:before="5"/>
        <w:rPr>
          <w:b/>
          <w:sz w:val="13"/>
        </w:rPr>
      </w:pPr>
    </w:p>
    <w:p>
      <w:pPr>
        <w:pStyle w:val="BodyText"/>
        <w:spacing w:line="249" w:lineRule="auto" w:before="89"/>
        <w:ind w:left="160" w:firstLine="490"/>
      </w:pPr>
      <w:r>
        <w:rPr>
          <w:color w:val="231F20"/>
        </w:rPr>
        <w:t>The Company also recorded expense associated with premiums paid for fuel derivative contracts that settled/expired during 2013, 2012, and 2011 of $60 million, $36 million, and $107 million, respectively. These amounts are excluded from the Company’s measurement of effectiveness for related hedges and are included as a component of Other (gains) losses, net, in the Consolidated Statement of Income.</w:t>
      </w:r>
    </w:p>
    <w:p>
      <w:pPr>
        <w:spacing w:after="0" w:line="249" w:lineRule="auto"/>
        <w:sectPr>
          <w:type w:val="continuous"/>
          <w:pgSz w:w="11880" w:h="15480"/>
          <w:pgMar w:top="1200" w:bottom="280" w:left="1220" w:right="1260"/>
        </w:sectPr>
      </w:pPr>
    </w:p>
    <w:p>
      <w:pPr>
        <w:pStyle w:val="BodyText"/>
        <w:spacing w:line="249" w:lineRule="auto" w:before="73"/>
        <w:ind w:left="100" w:right="98" w:firstLine="490"/>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2013, were approximately $28 million in unrealized gains, net of taxes, which are expected to be realized in earnings during the twelve months subsequent to December 31, 2013. In addition, as of December 31, 2013, the Company had already recognized cumulative net gains due to ineffectiveness and derivatives that did not qualify for hedge accounting treatment totaling $57 million, net of taxes. These net gains were recognized in 2013 and prior periods, and are reflected in Retained earnings as of December 31, 2013, but the underlying derivative instruments will not expire/settle until 2014 or future</w:t>
      </w:r>
      <w:r>
        <w:rPr>
          <w:color w:val="231F20"/>
          <w:spacing w:val="12"/>
        </w:rPr>
        <w:t> </w:t>
      </w:r>
      <w:r>
        <w:rPr>
          <w:color w:val="231F20"/>
        </w:rPr>
        <w:t>periods.</w:t>
      </w:r>
    </w:p>
    <w:p>
      <w:pPr>
        <w:pStyle w:val="BodyText"/>
        <w:spacing w:before="4"/>
        <w:rPr>
          <w:sz w:val="31"/>
        </w:rPr>
      </w:pPr>
    </w:p>
    <w:p>
      <w:pPr>
        <w:pStyle w:val="Heading4"/>
        <w:ind w:left="300"/>
        <w:rPr>
          <w:i/>
        </w:rPr>
      </w:pPr>
      <w:r>
        <w:rPr>
          <w:i/>
          <w:color w:val="231F20"/>
        </w:rPr>
        <w:t>Interest rate swaps</w:t>
      </w:r>
    </w:p>
    <w:p>
      <w:pPr>
        <w:pStyle w:val="BodyText"/>
        <w:spacing w:line="249" w:lineRule="auto" w:before="129"/>
        <w:ind w:left="100" w:right="208" w:firstLine="490"/>
      </w:pPr>
      <w:r>
        <w:rPr>
          <w:color w:val="231F20"/>
        </w:rPr>
        <w:t>The Company is party to certain interest rate swap agreements that are accounted for as either fair value hedges or cash flow hedges, as defined in the applicable accounting guidance for derivative instruments and hedging. The interest rate swap agreements accounted for as fair value hedges qualify for the “shortcut” method of accounting for hedges, which dictates that the hedges are assumed to be perfectly effective, and, thus, there is no ineffectiveness to be recorded in earnings. For the Company’s interest rate swap agreements accounted for as cash flow hedges, ineffectiveness is required to be measured at each reporting period. The ineffectiveness associated with all of the Company’s, including AirTran’s, interest rate cash flow hedges for all periods presented was not material.</w:t>
      </w:r>
    </w:p>
    <w:p>
      <w:pPr>
        <w:pStyle w:val="BodyText"/>
        <w:spacing w:before="10"/>
      </w:pPr>
    </w:p>
    <w:p>
      <w:pPr>
        <w:pStyle w:val="BodyText"/>
        <w:spacing w:line="249" w:lineRule="auto"/>
        <w:ind w:left="100" w:right="140" w:firstLine="490"/>
      </w:pPr>
      <w:r>
        <w:rPr>
          <w:color w:val="231F20"/>
        </w:rPr>
        <w:t>The Company has floating-to-fixed interest rate swap agreements associated with its $600 million floating- rate term loan agreement due 2020 and its $332 million term loan agreement due 2019 that are accounted for as cash flow hedges. These interest rate hedges have fixed the interest rate on the $600 million floating-rate term loan agreement at 5.223% until maturity, and for the $332 million term loan agreement at 6.315% until maturity.</w:t>
      </w:r>
    </w:p>
    <w:p>
      <w:pPr>
        <w:pStyle w:val="BodyText"/>
        <w:spacing w:before="10"/>
      </w:pPr>
    </w:p>
    <w:p>
      <w:pPr>
        <w:pStyle w:val="BodyText"/>
        <w:spacing w:line="249" w:lineRule="auto"/>
        <w:ind w:left="100" w:right="97" w:firstLine="490"/>
      </w:pPr>
      <w:r>
        <w:rPr>
          <w:color w:val="231F20"/>
        </w:rPr>
        <w:t>The fair values of the interest rate swap agreements, which are adjusted regularly, have been aggregated by counterparty for classification in the Consolidated Balance Sheet. Agreements totaling an asset of $20 million are fair value hedges and are classified as a component of Other assets. The corresponding adjustment related to the net asset associated with the Company’s fair value hedges is to the carrying value of the long-term debt.</w:t>
      </w:r>
    </w:p>
    <w:p>
      <w:pPr>
        <w:pStyle w:val="BodyText"/>
        <w:spacing w:line="249" w:lineRule="auto"/>
        <w:ind w:left="100" w:right="213"/>
      </w:pPr>
      <w:r>
        <w:rPr>
          <w:color w:val="231F20"/>
        </w:rPr>
        <w:t>Agreements totaling a net liability of $77 million are cash flow hedges and are classified as a component of Other noncurrent liabilities. The corresponding adjustment related to the net liability associated with the Company’s cash flow hedges is to AOCI. See Note 12.</w:t>
      </w:r>
    </w:p>
    <w:p>
      <w:pPr>
        <w:pStyle w:val="BodyText"/>
        <w:spacing w:before="10"/>
      </w:pPr>
    </w:p>
    <w:p>
      <w:pPr>
        <w:pStyle w:val="BodyText"/>
        <w:spacing w:line="249" w:lineRule="auto"/>
        <w:ind w:left="100" w:right="113" w:firstLine="490"/>
      </w:pPr>
      <w:r>
        <w:rPr>
          <w:color w:val="231F20"/>
        </w:rPr>
        <w:t>AirTran has also entered into a number of interest rate swap agreements, which convert a portion of AirTran’s floating-rate debt to a fixed-rate basis for the remaining life of the debt, thus reducing the impact of interest rate changes on future interest expense and cash flows. Under these agreements, which expire between 2016 and 2020, it pays fixed rates between 4.35% and 6.435% and receives either three-month or six-month LIBOR on the notional values. The notional amount of outstanding debt related to interest rate swaps as of December 31, 2013, was $275 million. These interest rate swap arrangements were designated as cash flow hedges as of the acquisition date. The ineffectiveness associated with all of the Company’s interest rate cash flow hedges for all periods presented was not material.</w:t>
      </w:r>
    </w:p>
    <w:p>
      <w:pPr>
        <w:pStyle w:val="BodyText"/>
        <w:spacing w:before="10"/>
      </w:pPr>
    </w:p>
    <w:p>
      <w:pPr>
        <w:pStyle w:val="BodyText"/>
        <w:spacing w:line="249" w:lineRule="auto"/>
        <w:ind w:left="100" w:right="136" w:firstLine="490"/>
      </w:pPr>
      <w:r>
        <w:rPr>
          <w:color w:val="231F20"/>
        </w:rPr>
        <w:t>In June 2012, the Company terminated the AirTran floating-to-fixed interest rate swap agreements related to its Floating-rate 737 Aircraft Notes payable through 2020. These swaps were previously designated as cash flow hedges and the gains and/or losses that had previously been deferred in AOCI, which were not material, are being released to expense/income in accordance with the original debt payment schedule. The release of amounts deferred in AOCI related to these interest rate swap agreements was not material during 2013 and is not expected to have a material effect on the Company’s future results of operations.</w:t>
      </w:r>
    </w:p>
    <w:p>
      <w:pPr>
        <w:pStyle w:val="BodyText"/>
        <w:spacing w:before="10"/>
      </w:pPr>
    </w:p>
    <w:p>
      <w:pPr>
        <w:pStyle w:val="BodyText"/>
        <w:ind w:left="590"/>
      </w:pPr>
      <w:r>
        <w:rPr>
          <w:color w:val="231F20"/>
        </w:rPr>
        <w:t>In December 2012, the Company terminated the fixed-to-floating interest rate swap agreement related to its</w:t>
      </w:r>
    </w:p>
    <w:p>
      <w:pPr>
        <w:pStyle w:val="BodyText"/>
        <w:spacing w:before="9"/>
        <w:ind w:left="100"/>
      </w:pPr>
      <w:r>
        <w:rPr>
          <w:color w:val="231F20"/>
        </w:rPr>
        <w:t>$100 million 7.375% debentures due 2027. The effect of this termination is such that the interest associated with</w:t>
      </w:r>
    </w:p>
    <w:p>
      <w:pPr>
        <w:spacing w:after="0"/>
        <w:sectPr>
          <w:pgSz w:w="11880" w:h="15480"/>
          <w:pgMar w:header="0" w:footer="1253" w:top="1240" w:bottom="1440" w:left="1280" w:right="1280"/>
        </w:sectPr>
      </w:pPr>
    </w:p>
    <w:p>
      <w:pPr>
        <w:pStyle w:val="BodyText"/>
        <w:spacing w:line="249" w:lineRule="auto" w:before="73"/>
        <w:ind w:left="160" w:right="119"/>
      </w:pPr>
      <w:r>
        <w:rPr>
          <w:color w:val="231F20"/>
        </w:rPr>
        <w:t>the debt prospectively reverts back to its original fixed rate. As a result of the approximate $38 million gain realized on this transaction, which will be amortized over the remaining term of the corresponding debentures, and based on projected interest rates at the date of termination, the Company does not believe its future interest expense associated with these debentures will significantly differ from the expense it would have recorded had the debentures remained at floating rates.</w:t>
      </w:r>
    </w:p>
    <w:p>
      <w:pPr>
        <w:pStyle w:val="BodyText"/>
        <w:spacing w:line="249" w:lineRule="auto" w:before="194"/>
        <w:ind w:left="160" w:right="290" w:firstLine="490"/>
      </w:pPr>
      <w:r>
        <w:rPr>
          <w:color w:val="231F20"/>
        </w:rPr>
        <w:t>As a result of the fixed-to-floating interest rate swap agreement in place, the average floating rate recognized during 2013 for the Company’s $300 million 5.75% Notes due 2016 was approximately 2.54 percent, based on actual and forward rates as of December 31, 2013.</w:t>
      </w:r>
    </w:p>
    <w:p>
      <w:pPr>
        <w:pStyle w:val="BodyText"/>
        <w:spacing w:before="3"/>
        <w:rPr>
          <w:sz w:val="25"/>
        </w:rPr>
      </w:pPr>
    </w:p>
    <w:p>
      <w:pPr>
        <w:pStyle w:val="Heading4"/>
        <w:spacing w:before="1"/>
        <w:ind w:left="410"/>
        <w:rPr>
          <w:i/>
        </w:rPr>
      </w:pPr>
      <w:r>
        <w:rPr>
          <w:i/>
          <w:color w:val="231F20"/>
        </w:rPr>
        <w:t>Credit risk and collateral</w:t>
      </w:r>
    </w:p>
    <w:p>
      <w:pPr>
        <w:pStyle w:val="BodyText"/>
        <w:spacing w:line="249" w:lineRule="auto" w:before="106"/>
        <w:ind w:left="160" w:right="119" w:firstLine="490"/>
      </w:pPr>
      <w:r>
        <w:rPr>
          <w:color w:val="231F20"/>
        </w:rPr>
        <w:t>Credit</w:t>
      </w:r>
      <w:r>
        <w:rPr>
          <w:color w:val="231F20"/>
          <w:spacing w:val="-13"/>
        </w:rPr>
        <w:t> </w:t>
      </w:r>
      <w:r>
        <w:rPr>
          <w:color w:val="231F20"/>
        </w:rPr>
        <w:t>exposure</w:t>
      </w:r>
      <w:r>
        <w:rPr>
          <w:color w:val="231F20"/>
          <w:spacing w:val="-13"/>
        </w:rPr>
        <w:t> </w:t>
      </w:r>
      <w:r>
        <w:rPr>
          <w:color w:val="231F20"/>
        </w:rPr>
        <w:t>related</w:t>
      </w:r>
      <w:r>
        <w:rPr>
          <w:color w:val="231F20"/>
          <w:spacing w:val="-13"/>
        </w:rPr>
        <w:t> </w:t>
      </w:r>
      <w:r>
        <w:rPr>
          <w:color w:val="231F20"/>
        </w:rPr>
        <w:t>to</w:t>
      </w:r>
      <w:r>
        <w:rPr>
          <w:color w:val="231F20"/>
          <w:spacing w:val="-13"/>
        </w:rPr>
        <w:t> </w:t>
      </w:r>
      <w:r>
        <w:rPr>
          <w:color w:val="231F20"/>
        </w:rPr>
        <w:t>fuel</w:t>
      </w:r>
      <w:r>
        <w:rPr>
          <w:color w:val="231F20"/>
          <w:spacing w:val="-13"/>
        </w:rPr>
        <w:t> </w:t>
      </w:r>
      <w:r>
        <w:rPr>
          <w:color w:val="231F20"/>
        </w:rPr>
        <w:t>derivative</w:t>
      </w:r>
      <w:r>
        <w:rPr>
          <w:color w:val="231F20"/>
          <w:spacing w:val="-13"/>
        </w:rPr>
        <w:t> </w:t>
      </w:r>
      <w:r>
        <w:rPr>
          <w:color w:val="231F20"/>
        </w:rPr>
        <w:t>instruments</w:t>
      </w:r>
      <w:r>
        <w:rPr>
          <w:color w:val="231F20"/>
          <w:spacing w:val="-13"/>
        </w:rPr>
        <w:t> </w:t>
      </w:r>
      <w:r>
        <w:rPr>
          <w:color w:val="231F20"/>
        </w:rPr>
        <w:t>is</w:t>
      </w:r>
      <w:r>
        <w:rPr>
          <w:color w:val="231F20"/>
          <w:spacing w:val="-13"/>
        </w:rPr>
        <w:t> </w:t>
      </w:r>
      <w:r>
        <w:rPr>
          <w:color w:val="231F20"/>
        </w:rPr>
        <w:t>represented</w:t>
      </w:r>
      <w:r>
        <w:rPr>
          <w:color w:val="231F20"/>
          <w:spacing w:val="-13"/>
        </w:rPr>
        <w:t> </w:t>
      </w:r>
      <w:r>
        <w:rPr>
          <w:color w:val="231F20"/>
        </w:rPr>
        <w:t>by</w:t>
      </w:r>
      <w:r>
        <w:rPr>
          <w:color w:val="231F20"/>
          <w:spacing w:val="-13"/>
        </w:rPr>
        <w:t> </w:t>
      </w:r>
      <w:r>
        <w:rPr>
          <w:color w:val="231F20"/>
        </w:rPr>
        <w:t>the</w:t>
      </w:r>
      <w:r>
        <w:rPr>
          <w:color w:val="231F20"/>
          <w:spacing w:val="-13"/>
        </w:rPr>
        <w:t> </w:t>
      </w:r>
      <w:r>
        <w:rPr>
          <w:color w:val="231F20"/>
        </w:rPr>
        <w:t>fair</w:t>
      </w:r>
      <w:r>
        <w:rPr>
          <w:color w:val="231F20"/>
          <w:spacing w:val="-13"/>
        </w:rPr>
        <w:t> </w:t>
      </w:r>
      <w:r>
        <w:rPr>
          <w:color w:val="231F20"/>
        </w:rPr>
        <w:t>value</w:t>
      </w:r>
      <w:r>
        <w:rPr>
          <w:color w:val="231F20"/>
          <w:spacing w:val="-13"/>
        </w:rPr>
        <w:t> </w:t>
      </w:r>
      <w:r>
        <w:rPr>
          <w:color w:val="231F20"/>
        </w:rPr>
        <w:t>of</w:t>
      </w:r>
      <w:r>
        <w:rPr>
          <w:color w:val="231F20"/>
          <w:spacing w:val="-13"/>
        </w:rPr>
        <w:t> </w:t>
      </w:r>
      <w:r>
        <w:rPr>
          <w:color w:val="231F20"/>
        </w:rPr>
        <w:t>contracts</w:t>
      </w:r>
      <w:r>
        <w:rPr>
          <w:color w:val="231F20"/>
          <w:spacing w:val="-13"/>
        </w:rPr>
        <w:t> </w:t>
      </w:r>
      <w:r>
        <w:rPr>
          <w:color w:val="231F20"/>
        </w:rPr>
        <w:t>that</w:t>
      </w:r>
      <w:r>
        <w:rPr>
          <w:color w:val="231F20"/>
          <w:spacing w:val="-13"/>
        </w:rPr>
        <w:t> </w:t>
      </w:r>
      <w:r>
        <w:rPr>
          <w:color w:val="231F20"/>
        </w:rPr>
        <w:t>are</w:t>
      </w:r>
      <w:r>
        <w:rPr>
          <w:color w:val="231F20"/>
          <w:spacing w:val="-13"/>
        </w:rPr>
        <w:t> </w:t>
      </w:r>
      <w:r>
        <w:rPr>
          <w:color w:val="231F20"/>
        </w:rPr>
        <w:t>an</w:t>
      </w:r>
      <w:r>
        <w:rPr>
          <w:color w:val="231F20"/>
          <w:spacing w:val="-13"/>
        </w:rPr>
        <w:t> </w:t>
      </w:r>
      <w:r>
        <w:rPr>
          <w:color w:val="231F20"/>
        </w:rPr>
        <w:t>asset</w:t>
      </w:r>
      <w:r>
        <w:rPr>
          <w:color w:val="231F20"/>
          <w:spacing w:val="-13"/>
        </w:rPr>
        <w:t> </w:t>
      </w:r>
      <w:r>
        <w:rPr>
          <w:color w:val="231F20"/>
        </w:rPr>
        <w:t>to the</w:t>
      </w:r>
      <w:r>
        <w:rPr>
          <w:color w:val="231F20"/>
          <w:spacing w:val="-12"/>
        </w:rPr>
        <w:t> </w:t>
      </w:r>
      <w:r>
        <w:rPr>
          <w:color w:val="231F20"/>
        </w:rPr>
        <w:t>Company</w:t>
      </w:r>
      <w:r>
        <w:rPr>
          <w:color w:val="231F20"/>
          <w:spacing w:val="-12"/>
        </w:rPr>
        <w:t> </w:t>
      </w:r>
      <w:r>
        <w:rPr>
          <w:color w:val="231F20"/>
        </w:rPr>
        <w:t>at</w:t>
      </w:r>
      <w:r>
        <w:rPr>
          <w:color w:val="231F20"/>
          <w:spacing w:val="-12"/>
        </w:rPr>
        <w:t> </w:t>
      </w:r>
      <w:r>
        <w:rPr>
          <w:color w:val="231F20"/>
        </w:rPr>
        <w:t>the</w:t>
      </w:r>
      <w:r>
        <w:rPr>
          <w:color w:val="231F20"/>
          <w:spacing w:val="-12"/>
        </w:rPr>
        <w:t> </w:t>
      </w:r>
      <w:r>
        <w:rPr>
          <w:color w:val="231F20"/>
        </w:rPr>
        <w:t>reporting</w:t>
      </w:r>
      <w:r>
        <w:rPr>
          <w:color w:val="231F20"/>
          <w:spacing w:val="-13"/>
        </w:rPr>
        <w:t> </w:t>
      </w:r>
      <w:r>
        <w:rPr>
          <w:color w:val="231F20"/>
        </w:rPr>
        <w:t>date.</w:t>
      </w:r>
      <w:r>
        <w:rPr>
          <w:color w:val="231F20"/>
          <w:spacing w:val="-13"/>
        </w:rPr>
        <w:t> </w:t>
      </w:r>
      <w:r>
        <w:rPr>
          <w:color w:val="231F20"/>
        </w:rPr>
        <w:t>At</w:t>
      </w:r>
      <w:r>
        <w:rPr>
          <w:color w:val="231F20"/>
          <w:spacing w:val="-12"/>
        </w:rPr>
        <w:t> </w:t>
      </w:r>
      <w:r>
        <w:rPr>
          <w:color w:val="231F20"/>
        </w:rPr>
        <w:t>such</w:t>
      </w:r>
      <w:r>
        <w:rPr>
          <w:color w:val="231F20"/>
          <w:spacing w:val="-13"/>
        </w:rPr>
        <w:t> </w:t>
      </w:r>
      <w:r>
        <w:rPr>
          <w:color w:val="231F20"/>
        </w:rPr>
        <w:t>times,</w:t>
      </w:r>
      <w:r>
        <w:rPr>
          <w:color w:val="231F20"/>
          <w:spacing w:val="-13"/>
        </w:rPr>
        <w:t> </w:t>
      </w:r>
      <w:r>
        <w:rPr>
          <w:color w:val="231F20"/>
        </w:rPr>
        <w:t>these</w:t>
      </w:r>
      <w:r>
        <w:rPr>
          <w:color w:val="231F20"/>
          <w:spacing w:val="-12"/>
        </w:rPr>
        <w:t> </w:t>
      </w:r>
      <w:r>
        <w:rPr>
          <w:color w:val="231F20"/>
        </w:rPr>
        <w:t>outstanding</w:t>
      </w:r>
      <w:r>
        <w:rPr>
          <w:color w:val="231F20"/>
          <w:spacing w:val="-13"/>
        </w:rPr>
        <w:t> </w:t>
      </w:r>
      <w:r>
        <w:rPr>
          <w:color w:val="231F20"/>
        </w:rPr>
        <w:t>instruments</w:t>
      </w:r>
      <w:r>
        <w:rPr>
          <w:color w:val="231F20"/>
          <w:spacing w:val="-12"/>
        </w:rPr>
        <w:t> </w:t>
      </w:r>
      <w:r>
        <w:rPr>
          <w:color w:val="231F20"/>
        </w:rPr>
        <w:t>expose</w:t>
      </w:r>
      <w:r>
        <w:rPr>
          <w:color w:val="231F20"/>
          <w:spacing w:val="-12"/>
        </w:rPr>
        <w:t> </w:t>
      </w:r>
      <w:r>
        <w:rPr>
          <w:color w:val="231F20"/>
        </w:rPr>
        <w:t>the</w:t>
      </w:r>
      <w:r>
        <w:rPr>
          <w:color w:val="231F20"/>
          <w:spacing w:val="-12"/>
        </w:rPr>
        <w:t> </w:t>
      </w:r>
      <w:r>
        <w:rPr>
          <w:color w:val="231F20"/>
        </w:rPr>
        <w:t>Company</w:t>
      </w:r>
      <w:r>
        <w:rPr>
          <w:color w:val="231F20"/>
          <w:spacing w:val="-13"/>
        </w:rPr>
        <w:t> </w:t>
      </w:r>
      <w:r>
        <w:rPr>
          <w:color w:val="231F20"/>
        </w:rPr>
        <w:t>to</w:t>
      </w:r>
      <w:r>
        <w:rPr>
          <w:color w:val="231F20"/>
          <w:spacing w:val="-13"/>
        </w:rPr>
        <w:t> </w:t>
      </w:r>
      <w:r>
        <w:rPr>
          <w:color w:val="231F20"/>
        </w:rPr>
        <w:t>credit</w:t>
      </w:r>
      <w:r>
        <w:rPr>
          <w:color w:val="231F20"/>
          <w:spacing w:val="-12"/>
        </w:rPr>
        <w:t> </w:t>
      </w:r>
      <w:r>
        <w:rPr>
          <w:color w:val="231F20"/>
        </w:rPr>
        <w:t>loss</w:t>
      </w:r>
      <w:r>
        <w:rPr>
          <w:color w:val="231F20"/>
          <w:spacing w:val="-12"/>
        </w:rPr>
        <w:t> </w:t>
      </w:r>
      <w:r>
        <w:rPr>
          <w:color w:val="231F20"/>
        </w:rPr>
        <w:t>in</w:t>
      </w:r>
      <w:r>
        <w:rPr>
          <w:color w:val="231F20"/>
          <w:spacing w:val="-13"/>
        </w:rPr>
        <w:t> </w:t>
      </w:r>
      <w:r>
        <w:rPr>
          <w:color w:val="231F20"/>
          <w:spacing w:val="-2"/>
        </w:rPr>
        <w:t>the </w:t>
      </w:r>
      <w:r>
        <w:rPr>
          <w:color w:val="231F20"/>
        </w:rPr>
        <w:t>event of nonperformance by the counterparties to the agreements. However, the Company has not experienced </w:t>
      </w:r>
      <w:r>
        <w:rPr>
          <w:color w:val="231F20"/>
          <w:spacing w:val="-2"/>
        </w:rPr>
        <w:t>any </w:t>
      </w:r>
      <w:r>
        <w:rPr>
          <w:color w:val="231F20"/>
        </w:rPr>
        <w:t>significant</w:t>
      </w:r>
      <w:r>
        <w:rPr>
          <w:color w:val="231F20"/>
          <w:spacing w:val="-13"/>
        </w:rPr>
        <w:t> </w:t>
      </w:r>
      <w:r>
        <w:rPr>
          <w:color w:val="231F20"/>
        </w:rPr>
        <w:t>credit</w:t>
      </w:r>
      <w:r>
        <w:rPr>
          <w:color w:val="231F20"/>
          <w:spacing w:val="-13"/>
        </w:rPr>
        <w:t> </w:t>
      </w:r>
      <w:r>
        <w:rPr>
          <w:color w:val="231F20"/>
        </w:rPr>
        <w:t>loss</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result</w:t>
      </w:r>
      <w:r>
        <w:rPr>
          <w:color w:val="231F20"/>
          <w:spacing w:val="-13"/>
        </w:rPr>
        <w:t> </w:t>
      </w:r>
      <w:r>
        <w:rPr>
          <w:color w:val="231F20"/>
        </w:rPr>
        <w:t>of</w:t>
      </w:r>
      <w:r>
        <w:rPr>
          <w:color w:val="231F20"/>
          <w:spacing w:val="-13"/>
        </w:rPr>
        <w:t> </w:t>
      </w:r>
      <w:r>
        <w:rPr>
          <w:color w:val="231F20"/>
        </w:rPr>
        <w:t>counterparty</w:t>
      </w:r>
      <w:r>
        <w:rPr>
          <w:color w:val="231F20"/>
          <w:spacing w:val="-13"/>
        </w:rPr>
        <w:t> </w:t>
      </w:r>
      <w:r>
        <w:rPr>
          <w:color w:val="231F20"/>
        </w:rPr>
        <w:t>nonperformance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past.</w:t>
      </w:r>
      <w:r>
        <w:rPr>
          <w:color w:val="231F20"/>
          <w:spacing w:val="-13"/>
        </w:rPr>
        <w:t> </w:t>
      </w:r>
      <w:r>
        <w:rPr>
          <w:color w:val="231F20"/>
        </w:rPr>
        <w:t>To</w:t>
      </w:r>
      <w:r>
        <w:rPr>
          <w:color w:val="231F20"/>
          <w:spacing w:val="-13"/>
        </w:rPr>
        <w:t> </w:t>
      </w:r>
      <w:r>
        <w:rPr>
          <w:color w:val="231F20"/>
        </w:rPr>
        <w:t>manage</w:t>
      </w:r>
      <w:r>
        <w:rPr>
          <w:color w:val="231F20"/>
          <w:spacing w:val="-13"/>
        </w:rPr>
        <w:t> </w:t>
      </w:r>
      <w:r>
        <w:rPr>
          <w:color w:val="231F20"/>
        </w:rPr>
        <w:t>credit</w:t>
      </w:r>
      <w:r>
        <w:rPr>
          <w:color w:val="231F20"/>
          <w:spacing w:val="-13"/>
        </w:rPr>
        <w:t> </w:t>
      </w:r>
      <w:r>
        <w:rPr>
          <w:color w:val="231F20"/>
        </w:rPr>
        <w:t>risk,</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selects and</w:t>
      </w:r>
      <w:r>
        <w:rPr>
          <w:color w:val="231F20"/>
          <w:spacing w:val="-14"/>
        </w:rPr>
        <w:t> </w:t>
      </w:r>
      <w:r>
        <w:rPr>
          <w:color w:val="231F20"/>
        </w:rPr>
        <w:t>periodically</w:t>
      </w:r>
      <w:r>
        <w:rPr>
          <w:color w:val="231F20"/>
          <w:spacing w:val="-14"/>
        </w:rPr>
        <w:t> </w:t>
      </w:r>
      <w:r>
        <w:rPr>
          <w:color w:val="231F20"/>
        </w:rPr>
        <w:t>reviews</w:t>
      </w:r>
      <w:r>
        <w:rPr>
          <w:color w:val="231F20"/>
          <w:spacing w:val="-14"/>
        </w:rPr>
        <w:t> </w:t>
      </w:r>
      <w:r>
        <w:rPr>
          <w:color w:val="231F20"/>
        </w:rPr>
        <w:t>counterparties</w:t>
      </w:r>
      <w:r>
        <w:rPr>
          <w:color w:val="231F20"/>
          <w:spacing w:val="-14"/>
        </w:rPr>
        <w:t> </w:t>
      </w:r>
      <w:r>
        <w:rPr>
          <w:color w:val="231F20"/>
        </w:rPr>
        <w:t>based</w:t>
      </w:r>
      <w:r>
        <w:rPr>
          <w:color w:val="231F20"/>
          <w:spacing w:val="-14"/>
        </w:rPr>
        <w:t> </w:t>
      </w:r>
      <w:r>
        <w:rPr>
          <w:color w:val="231F20"/>
        </w:rPr>
        <w:t>on</w:t>
      </w:r>
      <w:r>
        <w:rPr>
          <w:color w:val="231F20"/>
          <w:spacing w:val="-14"/>
        </w:rPr>
        <w:t> </w:t>
      </w:r>
      <w:r>
        <w:rPr>
          <w:color w:val="231F20"/>
        </w:rPr>
        <w:t>credit</w:t>
      </w:r>
      <w:r>
        <w:rPr>
          <w:color w:val="231F20"/>
          <w:spacing w:val="-14"/>
        </w:rPr>
        <w:t> </w:t>
      </w:r>
      <w:r>
        <w:rPr>
          <w:color w:val="231F20"/>
        </w:rPr>
        <w:t>ratings,</w:t>
      </w:r>
      <w:r>
        <w:rPr>
          <w:color w:val="231F20"/>
          <w:spacing w:val="-14"/>
        </w:rPr>
        <w:t> </w:t>
      </w:r>
      <w:r>
        <w:rPr>
          <w:color w:val="231F20"/>
        </w:rPr>
        <w:t>limits</w:t>
      </w:r>
      <w:r>
        <w:rPr>
          <w:color w:val="231F20"/>
          <w:spacing w:val="-14"/>
        </w:rPr>
        <w:t> </w:t>
      </w:r>
      <w:r>
        <w:rPr>
          <w:color w:val="231F20"/>
        </w:rPr>
        <w:t>its</w:t>
      </w:r>
      <w:r>
        <w:rPr>
          <w:color w:val="231F20"/>
          <w:spacing w:val="-14"/>
        </w:rPr>
        <w:t> </w:t>
      </w:r>
      <w:r>
        <w:rPr>
          <w:color w:val="231F20"/>
        </w:rPr>
        <w:t>exposure</w:t>
      </w:r>
      <w:r>
        <w:rPr>
          <w:color w:val="231F20"/>
          <w:spacing w:val="-14"/>
        </w:rPr>
        <w:t> </w:t>
      </w:r>
      <w:r>
        <w:rPr>
          <w:color w:val="231F20"/>
        </w:rPr>
        <w:t>with</w:t>
      </w:r>
      <w:r>
        <w:rPr>
          <w:color w:val="231F20"/>
          <w:spacing w:val="-14"/>
        </w:rPr>
        <w:t> </w:t>
      </w:r>
      <w:r>
        <w:rPr>
          <w:color w:val="231F20"/>
        </w:rPr>
        <w:t>respect</w:t>
      </w:r>
      <w:r>
        <w:rPr>
          <w:color w:val="231F20"/>
          <w:spacing w:val="-14"/>
        </w:rPr>
        <w:t> </w:t>
      </w:r>
      <w:r>
        <w:rPr>
          <w:color w:val="231F20"/>
        </w:rPr>
        <w:t>to</w:t>
      </w:r>
      <w:r>
        <w:rPr>
          <w:color w:val="231F20"/>
          <w:spacing w:val="-14"/>
        </w:rPr>
        <w:t> </w:t>
      </w:r>
      <w:r>
        <w:rPr>
          <w:color w:val="231F20"/>
        </w:rPr>
        <w:t>each</w:t>
      </w:r>
      <w:r>
        <w:rPr>
          <w:color w:val="231F20"/>
          <w:spacing w:val="-14"/>
        </w:rPr>
        <w:t> </w:t>
      </w:r>
      <w:r>
        <w:rPr>
          <w:color w:val="231F20"/>
        </w:rPr>
        <w:t>counterparty,</w:t>
      </w:r>
      <w:r>
        <w:rPr>
          <w:color w:val="231F20"/>
          <w:spacing w:val="-14"/>
        </w:rPr>
        <w:t> </w:t>
      </w:r>
      <w:r>
        <w:rPr>
          <w:color w:val="231F20"/>
          <w:spacing w:val="-2"/>
        </w:rPr>
        <w:t>and </w:t>
      </w:r>
      <w:r>
        <w:rPr>
          <w:color w:val="231F20"/>
        </w:rPr>
        <w:t>monitors the market position of the fuel hedging program and its relative market position with each counterparty. At December</w:t>
      </w:r>
      <w:r>
        <w:rPr>
          <w:color w:val="231F20"/>
          <w:spacing w:val="-13"/>
        </w:rPr>
        <w:t> </w:t>
      </w:r>
      <w:r>
        <w:rPr>
          <w:color w:val="231F20"/>
        </w:rPr>
        <w:t>31,</w:t>
      </w:r>
      <w:r>
        <w:rPr>
          <w:color w:val="231F20"/>
          <w:spacing w:val="-13"/>
        </w:rPr>
        <w:t> </w:t>
      </w:r>
      <w:r>
        <w:rPr>
          <w:color w:val="231F20"/>
        </w:rPr>
        <w:t>2013,</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had</w:t>
      </w:r>
      <w:r>
        <w:rPr>
          <w:color w:val="231F20"/>
          <w:spacing w:val="-13"/>
        </w:rPr>
        <w:t> </w:t>
      </w:r>
      <w:r>
        <w:rPr>
          <w:color w:val="231F20"/>
        </w:rPr>
        <w:t>agreements</w:t>
      </w:r>
      <w:r>
        <w:rPr>
          <w:color w:val="231F20"/>
          <w:spacing w:val="-13"/>
        </w:rPr>
        <w:t> </w:t>
      </w:r>
      <w:r>
        <w:rPr>
          <w:color w:val="231F20"/>
        </w:rPr>
        <w:t>with</w:t>
      </w:r>
      <w:r>
        <w:rPr>
          <w:color w:val="231F20"/>
          <w:spacing w:val="-13"/>
        </w:rPr>
        <w:t> </w:t>
      </w:r>
      <w:r>
        <w:rPr>
          <w:color w:val="231F20"/>
        </w:rPr>
        <w:t>all</w:t>
      </w:r>
      <w:r>
        <w:rPr>
          <w:color w:val="231F20"/>
          <w:spacing w:val="-13"/>
        </w:rPr>
        <w:t> </w:t>
      </w:r>
      <w:r>
        <w:rPr>
          <w:color w:val="231F20"/>
        </w:rPr>
        <w:t>of</w:t>
      </w:r>
      <w:r>
        <w:rPr>
          <w:color w:val="231F20"/>
          <w:spacing w:val="-13"/>
        </w:rPr>
        <w:t> </w:t>
      </w:r>
      <w:r>
        <w:rPr>
          <w:color w:val="231F20"/>
        </w:rPr>
        <w:t>its</w:t>
      </w:r>
      <w:r>
        <w:rPr>
          <w:color w:val="231F20"/>
          <w:spacing w:val="-13"/>
        </w:rPr>
        <w:t> </w:t>
      </w:r>
      <w:r>
        <w:rPr>
          <w:color w:val="231F20"/>
        </w:rPr>
        <w:t>active</w:t>
      </w:r>
      <w:r>
        <w:rPr>
          <w:color w:val="231F20"/>
          <w:spacing w:val="-13"/>
        </w:rPr>
        <w:t> </w:t>
      </w:r>
      <w:r>
        <w:rPr>
          <w:color w:val="231F20"/>
        </w:rPr>
        <w:t>counterparties</w:t>
      </w:r>
      <w:r>
        <w:rPr>
          <w:color w:val="231F20"/>
          <w:spacing w:val="-13"/>
        </w:rPr>
        <w:t> </w:t>
      </w:r>
      <w:r>
        <w:rPr>
          <w:color w:val="231F20"/>
        </w:rPr>
        <w:t>containing</w:t>
      </w:r>
      <w:r>
        <w:rPr>
          <w:color w:val="231F20"/>
          <w:spacing w:val="-13"/>
        </w:rPr>
        <w:t> </w:t>
      </w:r>
      <w:r>
        <w:rPr>
          <w:color w:val="231F20"/>
        </w:rPr>
        <w:t>early</w:t>
      </w:r>
      <w:r>
        <w:rPr>
          <w:color w:val="231F20"/>
          <w:spacing w:val="-13"/>
        </w:rPr>
        <w:t> </w:t>
      </w:r>
      <w:r>
        <w:rPr>
          <w:color w:val="231F20"/>
        </w:rPr>
        <w:t>termination</w:t>
      </w:r>
      <w:r>
        <w:rPr>
          <w:color w:val="231F20"/>
          <w:spacing w:val="-13"/>
        </w:rPr>
        <w:t> </w:t>
      </w:r>
      <w:r>
        <w:rPr>
          <w:color w:val="231F20"/>
          <w:spacing w:val="-2"/>
        </w:rPr>
        <w:t>rights </w:t>
      </w:r>
      <w:r>
        <w:rPr>
          <w:color w:val="231F20"/>
        </w:rPr>
        <w:t>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 those counterparties exceeds specific thresholds. The following table provides the fair values of fuel derivatives,</w:t>
      </w:r>
      <w:r>
        <w:rPr>
          <w:color w:val="231F20"/>
          <w:spacing w:val="-15"/>
        </w:rPr>
        <w:t> </w:t>
      </w:r>
      <w:r>
        <w:rPr>
          <w:color w:val="231F20"/>
        </w:rPr>
        <w:t>amounts</w:t>
      </w:r>
      <w:r>
        <w:rPr>
          <w:color w:val="231F20"/>
          <w:spacing w:val="-15"/>
        </w:rPr>
        <w:t> </w:t>
      </w:r>
      <w:r>
        <w:rPr>
          <w:color w:val="231F20"/>
        </w:rPr>
        <w:t>posted</w:t>
      </w:r>
      <w:r>
        <w:rPr>
          <w:color w:val="231F20"/>
          <w:spacing w:val="-15"/>
        </w:rPr>
        <w:t> </w:t>
      </w:r>
      <w:r>
        <w:rPr>
          <w:color w:val="231F20"/>
        </w:rPr>
        <w:t>as</w:t>
      </w:r>
      <w:r>
        <w:rPr>
          <w:color w:val="231F20"/>
          <w:spacing w:val="-15"/>
        </w:rPr>
        <w:t> </w:t>
      </w:r>
      <w:r>
        <w:rPr>
          <w:color w:val="231F20"/>
        </w:rPr>
        <w:t>collateral,</w:t>
      </w:r>
      <w:r>
        <w:rPr>
          <w:color w:val="231F20"/>
          <w:spacing w:val="-15"/>
        </w:rPr>
        <w:t> </w:t>
      </w:r>
      <w:r>
        <w:rPr>
          <w:color w:val="231F20"/>
        </w:rPr>
        <w:t>and</w:t>
      </w:r>
      <w:r>
        <w:rPr>
          <w:color w:val="231F20"/>
          <w:spacing w:val="-15"/>
        </w:rPr>
        <w:t> </w:t>
      </w:r>
      <w:r>
        <w:rPr>
          <w:color w:val="231F20"/>
        </w:rPr>
        <w:t>applicable</w:t>
      </w:r>
      <w:r>
        <w:rPr>
          <w:color w:val="231F20"/>
          <w:spacing w:val="-15"/>
        </w:rPr>
        <w:t> </w:t>
      </w:r>
      <w:r>
        <w:rPr>
          <w:color w:val="231F20"/>
        </w:rPr>
        <w:t>collateral</w:t>
      </w:r>
      <w:r>
        <w:rPr>
          <w:color w:val="231F20"/>
          <w:spacing w:val="-15"/>
        </w:rPr>
        <w:t> </w:t>
      </w:r>
      <w:r>
        <w:rPr>
          <w:color w:val="231F20"/>
        </w:rPr>
        <w:t>posting</w:t>
      </w:r>
      <w:r>
        <w:rPr>
          <w:color w:val="231F20"/>
          <w:spacing w:val="-15"/>
        </w:rPr>
        <w:t> </w:t>
      </w:r>
      <w:r>
        <w:rPr>
          <w:color w:val="231F20"/>
        </w:rPr>
        <w:t>threshold</w:t>
      </w:r>
      <w:r>
        <w:rPr>
          <w:color w:val="231F20"/>
          <w:spacing w:val="-15"/>
        </w:rPr>
        <w:t> </w:t>
      </w:r>
      <w:r>
        <w:rPr>
          <w:color w:val="231F20"/>
        </w:rPr>
        <w:t>amounts</w:t>
      </w:r>
      <w:r>
        <w:rPr>
          <w:color w:val="231F20"/>
          <w:spacing w:val="-15"/>
        </w:rPr>
        <w:t> </w:t>
      </w:r>
      <w:r>
        <w:rPr>
          <w:color w:val="231F20"/>
        </w:rPr>
        <w:t>as</w:t>
      </w:r>
      <w:r>
        <w:rPr>
          <w:color w:val="231F20"/>
          <w:spacing w:val="-15"/>
        </w:rPr>
        <w:t> </w:t>
      </w:r>
      <w:r>
        <w:rPr>
          <w:color w:val="231F20"/>
        </w:rPr>
        <w:t>of</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2013,</w:t>
      </w:r>
      <w:r>
        <w:rPr>
          <w:color w:val="231F20"/>
          <w:spacing w:val="-15"/>
        </w:rPr>
        <w:t> </w:t>
      </w:r>
      <w:r>
        <w:rPr>
          <w:color w:val="231F20"/>
        </w:rPr>
        <w:t>at which</w:t>
      </w:r>
      <w:r>
        <w:rPr>
          <w:color w:val="231F20"/>
          <w:spacing w:val="-18"/>
        </w:rPr>
        <w:t> </w:t>
      </w:r>
      <w:r>
        <w:rPr>
          <w:color w:val="231F20"/>
        </w:rPr>
        <w:t>such</w:t>
      </w:r>
      <w:r>
        <w:rPr>
          <w:color w:val="231F20"/>
          <w:spacing w:val="-18"/>
        </w:rPr>
        <w:t> </w:t>
      </w:r>
      <w:r>
        <w:rPr>
          <w:color w:val="231F20"/>
        </w:rPr>
        <w:t>postings</w:t>
      </w:r>
      <w:r>
        <w:rPr>
          <w:color w:val="231F20"/>
          <w:spacing w:val="-17"/>
        </w:rPr>
        <w:t> </w:t>
      </w:r>
      <w:r>
        <w:rPr>
          <w:color w:val="231F20"/>
        </w:rPr>
        <w:t>are</w:t>
      </w:r>
      <w:r>
        <w:rPr>
          <w:color w:val="231F20"/>
          <w:spacing w:val="-17"/>
        </w:rPr>
        <w:t> </w:t>
      </w:r>
      <w:r>
        <w:rPr>
          <w:color w:val="231F20"/>
        </w:rPr>
        <w:t>triggered:</w:t>
      </w:r>
    </w:p>
    <w:p>
      <w:pPr>
        <w:spacing w:after="0" w:line="249" w:lineRule="auto"/>
        <w:sectPr>
          <w:pgSz w:w="11880" w:h="15480"/>
          <w:pgMar w:header="0" w:footer="1253" w:top="1240" w:bottom="1440" w:left="980" w:right="1020"/>
        </w:sectPr>
      </w:pPr>
    </w:p>
    <w:p>
      <w:pPr>
        <w:pStyle w:val="BodyText"/>
        <w:rPr>
          <w:sz w:val="18"/>
        </w:rPr>
      </w:pPr>
    </w:p>
    <w:p>
      <w:pPr>
        <w:pStyle w:val="BodyText"/>
        <w:rPr>
          <w:sz w:val="18"/>
        </w:rPr>
      </w:pPr>
    </w:p>
    <w:p>
      <w:pPr>
        <w:pStyle w:val="BodyText"/>
        <w:spacing w:before="1"/>
        <w:rPr>
          <w:sz w:val="17"/>
        </w:rPr>
      </w:pPr>
    </w:p>
    <w:p>
      <w:pPr>
        <w:spacing w:before="1"/>
        <w:ind w:left="160" w:right="0" w:firstLine="0"/>
        <w:jc w:val="left"/>
        <w:rPr>
          <w:sz w:val="16"/>
        </w:rPr>
      </w:pPr>
      <w:r>
        <w:rPr>
          <w:color w:val="231F20"/>
          <w:sz w:val="16"/>
        </w:rPr>
        <w:t>(in</w:t>
      </w:r>
      <w:r>
        <w:rPr>
          <w:color w:val="231F20"/>
          <w:spacing w:val="-12"/>
          <w:sz w:val="16"/>
        </w:rPr>
        <w:t> </w:t>
      </w:r>
      <w:r>
        <w:rPr>
          <w:color w:val="231F20"/>
          <w:sz w:val="16"/>
        </w:rPr>
        <w:t>millions)</w:t>
      </w:r>
    </w:p>
    <w:p>
      <w:pPr>
        <w:spacing w:before="151"/>
        <w:ind w:left="1306" w:right="0" w:firstLine="0"/>
        <w:jc w:val="left"/>
        <w:rPr>
          <w:b/>
          <w:sz w:val="16"/>
        </w:rPr>
      </w:pPr>
      <w:r>
        <w:rPr/>
        <w:br w:type="column"/>
      </w:r>
      <w:r>
        <w:rPr>
          <w:b/>
          <w:color w:val="231F20"/>
          <w:sz w:val="16"/>
        </w:rPr>
        <w:t>Counterparty (CP)</w:t>
      </w:r>
    </w:p>
    <w:p>
      <w:pPr>
        <w:tabs>
          <w:tab w:pos="1198" w:val="left" w:leader="none"/>
          <w:tab w:pos="2109" w:val="left" w:leader="none"/>
          <w:tab w:pos="3130" w:val="left" w:leader="none"/>
          <w:tab w:pos="3929" w:val="left" w:leader="none"/>
          <w:tab w:pos="4349" w:val="left" w:leader="none"/>
          <w:tab w:pos="5164" w:val="left" w:leader="none"/>
        </w:tabs>
        <w:spacing w:before="55"/>
        <w:ind w:left="160" w:right="0" w:firstLine="0"/>
        <w:jc w:val="left"/>
        <w:rPr>
          <w:b/>
          <w:sz w:val="16"/>
        </w:rPr>
      </w:pPr>
      <w:r>
        <w:rPr/>
        <w:pict>
          <v:line style="position:absolute;mso-position-horizontal-relative:page;mso-position-vertical-relative:paragraph;z-index:7144" from="237.050003pt,1.71875pt" to="467.000003pt,1.71875pt" stroked="true" strokeweight="1pt" strokecolor="#231f20">
            <v:stroke dashstyle="solid"/>
            <w10:wrap type="none"/>
          </v:line>
        </w:pict>
      </w:r>
      <w:r>
        <w:rPr/>
        <w:pict>
          <v:group style="position:absolute;margin-left:236.550003pt;margin-top:13.21875pt;width:230.95pt;height:1pt;mso-position-horizontal-relative:page;mso-position-vertical-relative:paragraph;z-index:7168" coordorigin="4731,264" coordsize="4619,20">
            <v:line style="position:absolute" from="4741,274" to="5861,274" stroked="true" strokeweight="1pt" strokecolor="#231f20">
              <v:stroke dashstyle="solid"/>
            </v:line>
            <v:line style="position:absolute" from="5861,274" to="6731,274" stroked="true" strokeweight="1pt" strokecolor="#231f20">
              <v:stroke dashstyle="solid"/>
            </v:line>
            <v:line style="position:absolute" from="6731,274" to="7692,274" stroked="true" strokeweight="1pt" strokecolor="#231f20">
              <v:stroke dashstyle="solid"/>
            </v:line>
            <v:line style="position:absolute" from="7692,274" to="8713,274" stroked="true" strokeweight="1pt" strokecolor="#231f20">
              <v:stroke dashstyle="solid"/>
            </v:line>
            <v:line style="position:absolute" from="8713,274" to="9340,274" stroked="true" strokeweight="1pt" strokecolor="#231f20">
              <v:stroke dashstyle="solid"/>
            </v:line>
            <w10:wrap type="none"/>
          </v:group>
        </w:pict>
      </w:r>
      <w:r>
        <w:rPr>
          <w:b/>
          <w:color w:val="231F20"/>
          <w:sz w:val="16"/>
        </w:rPr>
        <w:t>A</w:t>
        <w:tab/>
        <w:t>B</w:t>
        <w:tab/>
        <w:t>C</w:t>
        <w:tab/>
        <w:t>D</w:t>
        <w:tab/>
        <w:t>E</w:t>
        <w:tab/>
        <w:t>Other(a)</w:t>
        <w:tab/>
        <w:t>Total</w:t>
      </w:r>
    </w:p>
    <w:p>
      <w:pPr>
        <w:pStyle w:val="BodyText"/>
        <w:spacing w:before="1"/>
        <w:rPr>
          <w:b/>
          <w:sz w:val="2"/>
        </w:rPr>
      </w:pPr>
    </w:p>
    <w:p>
      <w:pPr>
        <w:pStyle w:val="BodyText"/>
        <w:spacing w:line="20" w:lineRule="exact"/>
        <w:ind w:left="4327"/>
        <w:rPr>
          <w:sz w:val="2"/>
        </w:rPr>
      </w:pPr>
      <w:r>
        <w:rPr>
          <w:sz w:val="2"/>
        </w:rPr>
        <w:pict>
          <v:group style="width:67pt;height:1pt;mso-position-horizontal-relative:char;mso-position-vertical-relative:line" coordorigin="0,0" coordsize="1340,20">
            <v:line style="position:absolute" from="10,10" to="630,10" stroked="true" strokeweight="1pt" strokecolor="#231f20">
              <v:stroke dashstyle="solid"/>
            </v:line>
            <v:line style="position:absolute" from="710,10" to="1330,10" stroked="true" strokeweight="1pt" strokecolor="#231f20">
              <v:stroke dashstyle="solid"/>
            </v:line>
          </v:group>
        </w:pict>
      </w:r>
      <w:r>
        <w:rPr>
          <w:sz w:val="2"/>
        </w:rPr>
      </w:r>
    </w:p>
    <w:p>
      <w:pPr>
        <w:spacing w:after="0" w:line="20" w:lineRule="exact"/>
        <w:rPr>
          <w:sz w:val="2"/>
        </w:rPr>
        <w:sectPr>
          <w:type w:val="continuous"/>
          <w:pgSz w:w="11880" w:h="15480"/>
          <w:pgMar w:top="1200" w:bottom="280" w:left="980" w:right="1020"/>
          <w:cols w:num="2" w:equalWidth="0">
            <w:col w:w="955" w:space="3148"/>
            <w:col w:w="5777"/>
          </w:cols>
        </w:sectPr>
      </w:pPr>
    </w:p>
    <w:p>
      <w:pPr>
        <w:pStyle w:val="BodyText"/>
        <w:spacing w:line="20" w:lineRule="exact"/>
        <w:ind w:left="208"/>
        <w:rPr>
          <w:sz w:val="2"/>
        </w:rPr>
      </w:pPr>
      <w:r>
        <w:rPr>
          <w:sz w:val="2"/>
        </w:rPr>
        <w:pict>
          <v:group style="width:37.450pt;height:.5pt;mso-position-horizontal-relative:char;mso-position-vertical-relative:line" coordorigin="0,0" coordsize="749,10">
            <v:line style="position:absolute" from="744,5" to="5,5" stroked="true" strokeweight=".5pt" strokecolor="#231f20">
              <v:stroke dashstyle="solid"/>
            </v:line>
          </v:group>
        </w:pict>
      </w:r>
      <w:r>
        <w:rPr>
          <w:sz w:val="2"/>
        </w:rPr>
      </w:r>
    </w:p>
    <w:p>
      <w:pPr>
        <w:pStyle w:val="BodyText"/>
        <w:tabs>
          <w:tab w:pos="4532" w:val="left" w:leader="none"/>
          <w:tab w:pos="4632" w:val="left" w:leader="none"/>
          <w:tab w:pos="5450" w:val="left" w:leader="none"/>
          <w:tab w:pos="5550" w:val="left" w:leader="none"/>
          <w:tab w:pos="6411" w:val="left" w:leader="none"/>
          <w:tab w:pos="6511" w:val="left" w:leader="none"/>
          <w:tab w:pos="7432" w:val="left" w:leader="none"/>
          <w:tab w:pos="7532" w:val="left" w:leader="none"/>
          <w:tab w:pos="8059" w:val="left" w:leader="none"/>
          <w:tab w:pos="8159" w:val="left" w:leader="none"/>
          <w:tab w:pos="8759" w:val="left" w:leader="none"/>
          <w:tab w:pos="8859" w:val="left" w:leader="none"/>
          <w:tab w:pos="9459" w:val="left" w:leader="none"/>
        </w:tabs>
        <w:spacing w:line="184" w:lineRule="exact" w:before="53"/>
        <w:ind w:left="160" w:right="119"/>
      </w:pPr>
      <w:r>
        <w:rPr>
          <w:color w:val="231F20"/>
        </w:rPr>
        <w:t>Fair value of fuel derivatives . . . . . . . . . . .</w:t>
      </w:r>
      <w:r>
        <w:rPr>
          <w:color w:val="231F20"/>
          <w:spacing w:val="8"/>
        </w:rPr>
        <w:t> </w:t>
      </w:r>
      <w:r>
        <w:rPr>
          <w:color w:val="231F20"/>
        </w:rPr>
        <w:t>.</w:t>
      </w:r>
      <w:r>
        <w:rPr>
          <w:color w:val="231F20"/>
          <w:spacing w:val="30"/>
        </w:rPr>
        <w:t> </w:t>
      </w:r>
      <w:r>
        <w:rPr>
          <w:color w:val="231F20"/>
        </w:rPr>
        <w:t>$</w:t>
        <w:tab/>
        <w:tab/>
        <w:t>27 </w:t>
      </w:r>
      <w:r>
        <w:rPr>
          <w:color w:val="231F20"/>
          <w:spacing w:val="28"/>
        </w:rPr>
        <w:t> </w:t>
      </w:r>
      <w:r>
        <w:rPr>
          <w:color w:val="231F20"/>
        </w:rPr>
        <w:t>$</w:t>
        <w:tab/>
        <w:tab/>
        <w:t>42</w:t>
      </w:r>
      <w:r>
        <w:rPr>
          <w:color w:val="231F20"/>
          <w:spacing w:val="30"/>
        </w:rPr>
        <w:t> </w:t>
      </w:r>
      <w:r>
        <w:rPr>
          <w:color w:val="231F20"/>
        </w:rPr>
        <w:t>$</w:t>
        <w:tab/>
        <w:tab/>
        <w:t>41 </w:t>
      </w:r>
      <w:r>
        <w:rPr>
          <w:color w:val="231F20"/>
          <w:spacing w:val="40"/>
        </w:rPr>
        <w:t> </w:t>
      </w:r>
      <w:r>
        <w:rPr>
          <w:color w:val="231F20"/>
        </w:rPr>
        <w:t>$</w:t>
        <w:tab/>
        <w:tab/>
        <w:t>24</w:t>
      </w:r>
      <w:r>
        <w:rPr>
          <w:color w:val="231F20"/>
          <w:spacing w:val="30"/>
        </w:rPr>
        <w:t> </w:t>
      </w:r>
      <w:r>
        <w:rPr>
          <w:color w:val="231F20"/>
        </w:rPr>
        <w:t>$</w:t>
        <w:tab/>
        <w:tab/>
        <w:t>26</w:t>
      </w:r>
      <w:r>
        <w:rPr>
          <w:color w:val="231F20"/>
          <w:spacing w:val="30"/>
        </w:rPr>
        <w:t> </w:t>
      </w:r>
      <w:r>
        <w:rPr>
          <w:color w:val="231F20"/>
        </w:rPr>
        <w:t>$</w:t>
        <w:tab/>
        <w:tab/>
        <w:t>20</w:t>
      </w:r>
      <w:r>
        <w:rPr>
          <w:color w:val="231F20"/>
          <w:spacing w:val="30"/>
        </w:rPr>
        <w:t> </w:t>
      </w:r>
      <w:r>
        <w:rPr>
          <w:color w:val="231F20"/>
        </w:rPr>
        <w:t>$</w:t>
        <w:tab/>
        <w:t>180 Cash collateral held (by) CP  . . . . . . . . . .</w:t>
      </w:r>
      <w:r>
        <w:rPr>
          <w:color w:val="231F20"/>
          <w:spacing w:val="2"/>
        </w:rPr>
        <w:t> </w:t>
      </w:r>
      <w:r>
        <w:rPr>
          <w:color w:val="231F20"/>
        </w:rPr>
        <w:t>. .</w:t>
        <w:tab/>
        <w:t>—</w:t>
        <w:tab/>
        <w:t>—</w:t>
        <w:tab/>
        <w:t>—</w:t>
        <w:tab/>
        <w:t>—</w:t>
        <w:tab/>
        <w:t>—</w:t>
        <w:tab/>
        <w:t>—</w:t>
        <w:tab/>
        <w:t>—</w:t>
      </w:r>
    </w:p>
    <w:p>
      <w:pPr>
        <w:pStyle w:val="BodyText"/>
        <w:tabs>
          <w:tab w:pos="4532" w:val="left" w:leader="none"/>
          <w:tab w:pos="5450" w:val="left" w:leader="none"/>
          <w:tab w:pos="6411" w:val="left" w:leader="none"/>
          <w:tab w:pos="7432" w:val="left" w:leader="none"/>
          <w:tab w:pos="8059" w:val="left" w:leader="none"/>
          <w:tab w:pos="8759" w:val="left" w:leader="none"/>
          <w:tab w:pos="9459" w:val="left" w:leader="none"/>
        </w:tabs>
        <w:spacing w:line="184" w:lineRule="exact"/>
        <w:ind w:left="160" w:right="219"/>
      </w:pPr>
      <w:r>
        <w:rPr>
          <w:color w:val="231F20"/>
        </w:rPr>
        <w:t>Aircraft collateral pledged to CP . . . . . . .</w:t>
      </w:r>
      <w:r>
        <w:rPr>
          <w:color w:val="231F20"/>
          <w:spacing w:val="8"/>
        </w:rPr>
        <w:t> </w:t>
      </w:r>
      <w:r>
        <w:rPr>
          <w:color w:val="231F20"/>
        </w:rPr>
        <w:t>. .</w:t>
        <w:tab/>
        <w:t>—</w:t>
        <w:tab/>
        <w:t>—</w:t>
        <w:tab/>
        <w:t>—</w:t>
        <w:tab/>
        <w:t>—</w:t>
        <w:tab/>
        <w:t>—</w:t>
        <w:tab/>
        <w:t>—</w:t>
        <w:tab/>
        <w:t>— Letters of credit (LC) . . . . . . . . . . . . . . . .</w:t>
      </w:r>
      <w:r>
        <w:rPr>
          <w:color w:val="231F20"/>
          <w:spacing w:val="3"/>
        </w:rPr>
        <w:t> </w:t>
      </w:r>
      <w:r>
        <w:rPr>
          <w:color w:val="231F20"/>
        </w:rPr>
        <w:t>. .</w:t>
        <w:tab/>
        <w:t>—</w:t>
        <w:tab/>
        <w:t>—</w:t>
        <w:tab/>
        <w:t>—</w:t>
        <w:tab/>
        <w:t>—</w:t>
        <w:tab/>
        <w:t>—</w:t>
        <w:tab/>
        <w:t>—</w:t>
        <w:tab/>
        <w:t>—</w:t>
      </w:r>
    </w:p>
    <w:p>
      <w:pPr>
        <w:spacing w:after="0" w:line="184" w:lineRule="exact"/>
        <w:sectPr>
          <w:type w:val="continuous"/>
          <w:pgSz w:w="11880" w:h="15480"/>
          <w:pgMar w:top="1200" w:bottom="280" w:left="980" w:right="1020"/>
        </w:sectPr>
      </w:pPr>
    </w:p>
    <w:p>
      <w:pPr>
        <w:pStyle w:val="BodyText"/>
        <w:tabs>
          <w:tab w:pos="3832" w:val="left" w:leader="none"/>
        </w:tabs>
        <w:spacing w:line="168" w:lineRule="exact"/>
        <w:jc w:val="right"/>
      </w:pPr>
      <w:r>
        <w:rPr>
          <w:color w:val="231F20"/>
        </w:rPr>
        <w:t>Option to substitute LC for aircraft . . .</w:t>
      </w:r>
      <w:r>
        <w:rPr>
          <w:color w:val="231F20"/>
          <w:spacing w:val="24"/>
        </w:rPr>
        <w:t> </w:t>
      </w:r>
      <w:r>
        <w:rPr>
          <w:color w:val="231F20"/>
        </w:rPr>
        <w:t>. .</w:t>
        <w:tab/>
        <w:t>(250) to</w:t>
      </w:r>
    </w:p>
    <w:p>
      <w:pPr>
        <w:pStyle w:val="BodyText"/>
        <w:spacing w:line="173" w:lineRule="exact"/>
        <w:ind w:right="1"/>
        <w:jc w:val="right"/>
      </w:pPr>
      <w:r>
        <w:rPr>
          <w:color w:val="231F20"/>
        </w:rPr>
        <w:t>(650)(d)</w:t>
      </w:r>
    </w:p>
    <w:p>
      <w:pPr>
        <w:pStyle w:val="BodyText"/>
        <w:spacing w:line="184" w:lineRule="exact"/>
        <w:ind w:left="210" w:right="-18" w:firstLine="28"/>
      </w:pPr>
      <w:r>
        <w:rPr/>
        <w:br w:type="column"/>
      </w:r>
      <w:r>
        <w:rPr>
          <w:color w:val="231F20"/>
        </w:rPr>
        <w:t>(100) to (500)(d)</w:t>
      </w:r>
    </w:p>
    <w:p>
      <w:pPr>
        <w:pStyle w:val="BodyText"/>
        <w:tabs>
          <w:tab w:pos="1084" w:val="left" w:leader="none"/>
        </w:tabs>
        <w:spacing w:line="168" w:lineRule="exact"/>
        <w:ind w:left="360"/>
      </w:pPr>
      <w:r>
        <w:rPr/>
        <w:br w:type="column"/>
      </w:r>
      <w:r>
        <w:rPr>
          <w:color w:val="231F20"/>
        </w:rPr>
        <w:t>N/A</w:t>
        <w:tab/>
        <w:t>(250) to</w:t>
      </w:r>
    </w:p>
    <w:p>
      <w:pPr>
        <w:pStyle w:val="BodyText"/>
        <w:spacing w:line="173" w:lineRule="exact"/>
        <w:ind w:left="1007"/>
      </w:pPr>
      <w:r>
        <w:rPr>
          <w:color w:val="231F20"/>
        </w:rPr>
        <w:t>(650) (d)</w:t>
      </w:r>
    </w:p>
    <w:p>
      <w:pPr>
        <w:spacing w:line="191" w:lineRule="exact" w:before="0"/>
        <w:ind w:left="243" w:right="0" w:firstLine="0"/>
        <w:jc w:val="left"/>
        <w:rPr>
          <w:sz w:val="20"/>
        </w:rPr>
      </w:pPr>
      <w:r>
        <w:rPr/>
        <w:br w:type="column"/>
      </w:r>
      <w:r>
        <w:rPr>
          <w:color w:val="231F20"/>
          <w:sz w:val="20"/>
        </w:rPr>
        <w:t>N/A</w:t>
      </w:r>
    </w:p>
    <w:p>
      <w:pPr>
        <w:spacing w:after="0" w:line="191" w:lineRule="exact"/>
        <w:jc w:val="left"/>
        <w:rPr>
          <w:sz w:val="20"/>
        </w:rPr>
        <w:sectPr>
          <w:type w:val="continuous"/>
          <w:pgSz w:w="11880" w:h="15480"/>
          <w:pgMar w:top="1200" w:bottom="280" w:left="980" w:right="1020"/>
          <w:cols w:num="4" w:equalWidth="0">
            <w:col w:w="4833" w:space="40"/>
            <w:col w:w="879" w:space="257"/>
            <w:col w:w="1725" w:space="40"/>
            <w:col w:w="2106"/>
          </w:cols>
        </w:sectPr>
      </w:pPr>
    </w:p>
    <w:p>
      <w:pPr>
        <w:pStyle w:val="BodyText"/>
        <w:tabs>
          <w:tab w:pos="4488" w:val="left" w:leader="none"/>
          <w:tab w:pos="5203" w:val="left" w:leader="none"/>
          <w:tab w:pos="6071" w:val="left" w:leader="none"/>
        </w:tabs>
        <w:spacing w:line="191" w:lineRule="exact"/>
        <w:ind w:left="360"/>
      </w:pPr>
      <w:r>
        <w:rPr/>
        <w:pict>
          <v:shape style="position:absolute;margin-left:54.5pt;margin-top:7.812565pt;width:332.6pt;height:72.3pt;mso-position-horizontal-relative:page;mso-position-vertical-relative:paragraph;z-index:71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56"/>
                    <w:gridCol w:w="875"/>
                    <w:gridCol w:w="920"/>
                  </w:tblGrid>
                  <w:tr>
                    <w:trPr>
                      <w:trHeight w:val="817" w:hRule="exact"/>
                    </w:trPr>
                    <w:tc>
                      <w:tcPr>
                        <w:tcW w:w="4856" w:type="dxa"/>
                      </w:tcPr>
                      <w:p>
                        <w:pPr>
                          <w:pStyle w:val="TableParagraph"/>
                          <w:spacing w:before="2"/>
                          <w:jc w:val="left"/>
                          <w:rPr>
                            <w:sz w:val="31"/>
                          </w:rPr>
                        </w:pPr>
                      </w:p>
                      <w:p>
                        <w:pPr>
                          <w:pStyle w:val="TableParagraph"/>
                          <w:ind w:left="50"/>
                          <w:jc w:val="left"/>
                          <w:rPr>
                            <w:b/>
                            <w:sz w:val="20"/>
                          </w:rPr>
                        </w:pPr>
                        <w:r>
                          <w:rPr>
                            <w:b/>
                            <w:color w:val="231F20"/>
                            <w:sz w:val="20"/>
                          </w:rPr>
                          <w:t>If credit rating is investment grade, fair</w:t>
                        </w:r>
                      </w:p>
                    </w:tc>
                    <w:tc>
                      <w:tcPr>
                        <w:tcW w:w="875" w:type="dxa"/>
                      </w:tcPr>
                      <w:p>
                        <w:pPr/>
                      </w:p>
                    </w:tc>
                    <w:tc>
                      <w:tcPr>
                        <w:tcW w:w="920" w:type="dxa"/>
                      </w:tcPr>
                      <w:p>
                        <w:pPr>
                          <w:pStyle w:val="TableParagraph"/>
                          <w:spacing w:line="219" w:lineRule="exact"/>
                          <w:ind w:right="50"/>
                          <w:rPr>
                            <w:sz w:val="20"/>
                          </w:rPr>
                        </w:pPr>
                        <w:r>
                          <w:rPr>
                            <w:color w:val="231F20"/>
                            <w:sz w:val="20"/>
                          </w:rPr>
                          <w:t>(150)(e)</w:t>
                        </w:r>
                      </w:p>
                    </w:tc>
                  </w:tr>
                  <w:tr>
                    <w:trPr>
                      <w:trHeight w:val="244" w:hRule="exact"/>
                    </w:trPr>
                    <w:tc>
                      <w:tcPr>
                        <w:tcW w:w="4856" w:type="dxa"/>
                      </w:tcPr>
                      <w:p>
                        <w:pPr>
                          <w:pStyle w:val="TableParagraph"/>
                          <w:spacing w:before="31"/>
                          <w:ind w:right="131"/>
                          <w:rPr>
                            <w:sz w:val="20"/>
                          </w:rPr>
                        </w:pPr>
                        <w:r>
                          <w:rPr>
                            <w:color w:val="231F20"/>
                            <w:sz w:val="20"/>
                          </w:rPr>
                          <w:t>Cash is provided to CP  . . . . . . . . . . . . . .   (50) to (250)</w:t>
                        </w:r>
                      </w:p>
                    </w:tc>
                    <w:tc>
                      <w:tcPr>
                        <w:tcW w:w="875" w:type="dxa"/>
                      </w:tcPr>
                      <w:p>
                        <w:pPr>
                          <w:pStyle w:val="TableParagraph"/>
                          <w:spacing w:before="31"/>
                          <w:ind w:left="244"/>
                          <w:jc w:val="left"/>
                          <w:rPr>
                            <w:sz w:val="20"/>
                          </w:rPr>
                        </w:pPr>
                        <w:r>
                          <w:rPr>
                            <w:color w:val="231F20"/>
                            <w:sz w:val="20"/>
                          </w:rPr>
                          <w:t>(50) to</w:t>
                        </w:r>
                      </w:p>
                    </w:tc>
                    <w:tc>
                      <w:tcPr>
                        <w:tcW w:w="920" w:type="dxa"/>
                      </w:tcPr>
                      <w:p>
                        <w:pPr>
                          <w:pStyle w:val="TableParagraph"/>
                          <w:spacing w:before="31"/>
                          <w:ind w:right="50"/>
                          <w:rPr>
                            <w:sz w:val="20"/>
                          </w:rPr>
                        </w:pPr>
                        <w:r>
                          <w:rPr>
                            <w:color w:val="231F20"/>
                            <w:sz w:val="20"/>
                          </w:rPr>
                          <w:t>&gt;(50)(50)</w:t>
                        </w:r>
                      </w:p>
                    </w:tc>
                  </w:tr>
                  <w:tr>
                    <w:trPr>
                      <w:trHeight w:val="385" w:hRule="exact"/>
                    </w:trPr>
                    <w:tc>
                      <w:tcPr>
                        <w:tcW w:w="4856" w:type="dxa"/>
                      </w:tcPr>
                      <w:p>
                        <w:pPr>
                          <w:pStyle w:val="TableParagraph"/>
                          <w:spacing w:line="201" w:lineRule="exact"/>
                          <w:ind w:right="132"/>
                          <w:rPr>
                            <w:sz w:val="20"/>
                          </w:rPr>
                        </w:pPr>
                        <w:r>
                          <w:rPr>
                            <w:color w:val="231F20"/>
                            <w:sz w:val="20"/>
                          </w:rPr>
                          <w:t>or &gt;(650)</w:t>
                        </w:r>
                      </w:p>
                    </w:tc>
                    <w:tc>
                      <w:tcPr>
                        <w:tcW w:w="875" w:type="dxa"/>
                      </w:tcPr>
                      <w:p>
                        <w:pPr>
                          <w:pStyle w:val="TableParagraph"/>
                          <w:spacing w:line="178" w:lineRule="exact"/>
                          <w:ind w:left="133"/>
                          <w:jc w:val="left"/>
                          <w:rPr>
                            <w:sz w:val="20"/>
                          </w:rPr>
                        </w:pPr>
                        <w:r>
                          <w:rPr>
                            <w:color w:val="231F20"/>
                            <w:sz w:val="20"/>
                          </w:rPr>
                          <w:t>(100) or</w:t>
                        </w:r>
                      </w:p>
                      <w:p>
                        <w:pPr>
                          <w:pStyle w:val="TableParagraph"/>
                          <w:spacing w:line="207" w:lineRule="exact"/>
                          <w:ind w:left="237"/>
                          <w:jc w:val="left"/>
                          <w:rPr>
                            <w:sz w:val="20"/>
                          </w:rPr>
                        </w:pPr>
                        <w:r>
                          <w:rPr>
                            <w:color w:val="231F20"/>
                            <w:sz w:val="20"/>
                          </w:rPr>
                          <w:t>&gt;(500)</w:t>
                        </w:r>
                      </w:p>
                    </w:tc>
                    <w:tc>
                      <w:tcPr>
                        <w:tcW w:w="920" w:type="dxa"/>
                      </w:tcPr>
                      <w:p>
                        <w:pPr>
                          <w:pStyle w:val="TableParagraph"/>
                          <w:spacing w:line="178" w:lineRule="exact"/>
                          <w:ind w:left="211" w:right="30"/>
                          <w:jc w:val="center"/>
                          <w:rPr>
                            <w:sz w:val="20"/>
                          </w:rPr>
                        </w:pPr>
                        <w:r>
                          <w:rPr>
                            <w:color w:val="231F20"/>
                            <w:sz w:val="20"/>
                          </w:rPr>
                          <w:t>to (250)</w:t>
                        </w:r>
                      </w:p>
                      <w:p>
                        <w:pPr>
                          <w:pStyle w:val="TableParagraph"/>
                          <w:spacing w:line="207" w:lineRule="exact"/>
                          <w:ind w:left="86" w:right="30"/>
                          <w:jc w:val="center"/>
                          <w:rPr>
                            <w:sz w:val="20"/>
                          </w:rPr>
                        </w:pPr>
                        <w:r>
                          <w:rPr>
                            <w:color w:val="231F20"/>
                            <w:sz w:val="20"/>
                          </w:rPr>
                          <w:t>or &gt;(650)</w:t>
                        </w:r>
                      </w:p>
                    </w:tc>
                  </w:tr>
                </w:tbl>
                <w:p>
                  <w:pPr>
                    <w:pStyle w:val="BodyText"/>
                  </w:pPr>
                </w:p>
              </w:txbxContent>
            </v:textbox>
            <w10:wrap type="none"/>
          </v:shape>
        </w:pict>
      </w:r>
      <w:r>
        <w:rPr>
          <w:color w:val="231F20"/>
        </w:rPr>
        <w:t>Option to substitute LC for cash  . . . . .</w:t>
      </w:r>
      <w:r>
        <w:rPr>
          <w:color w:val="231F20"/>
          <w:spacing w:val="-4"/>
        </w:rPr>
        <w:t> </w:t>
      </w:r>
      <w:r>
        <w:rPr>
          <w:color w:val="231F20"/>
        </w:rPr>
        <w:t>. .</w:t>
        <w:tab/>
        <w:t>N/A</w:t>
        <w:tab/>
        <w:t>&gt;(500)</w:t>
        <w:tab/>
        <w:t>(100) to</w:t>
      </w:r>
    </w:p>
    <w:p>
      <w:pPr>
        <w:pStyle w:val="BodyText"/>
        <w:rPr>
          <w:sz w:val="22"/>
        </w:rPr>
      </w:pPr>
    </w:p>
    <w:p>
      <w:pPr>
        <w:pStyle w:val="BodyText"/>
        <w:spacing w:before="2"/>
        <w:rPr>
          <w:sz w:val="22"/>
        </w:rPr>
      </w:pPr>
    </w:p>
    <w:p>
      <w:pPr>
        <w:pStyle w:val="Heading3"/>
        <w:ind w:left="360"/>
      </w:pPr>
      <w:r>
        <w:rPr>
          <w:color w:val="231F20"/>
        </w:rPr>
        <w:t>value of fuel derivative level at which:</w:t>
      </w:r>
    </w:p>
    <w:p>
      <w:pPr>
        <w:pStyle w:val="BodyText"/>
        <w:spacing w:line="168" w:lineRule="exact"/>
        <w:ind w:left="441"/>
      </w:pPr>
      <w:r>
        <w:rPr/>
        <w:br w:type="column"/>
      </w:r>
      <w:r>
        <w:rPr>
          <w:color w:val="231F20"/>
        </w:rPr>
        <w:t>(50) to</w:t>
      </w:r>
    </w:p>
    <w:p>
      <w:pPr>
        <w:pStyle w:val="BodyText"/>
        <w:spacing w:line="184" w:lineRule="exact"/>
        <w:ind w:left="330"/>
      </w:pPr>
      <w:r>
        <w:rPr>
          <w:color w:val="231F20"/>
        </w:rPr>
        <w:t>(250) or</w:t>
      </w:r>
    </w:p>
    <w:p>
      <w:pPr>
        <w:pStyle w:val="BodyText"/>
        <w:spacing w:line="207" w:lineRule="exact"/>
        <w:ind w:left="200"/>
      </w:pPr>
      <w:r>
        <w:rPr>
          <w:color w:val="231F20"/>
        </w:rPr>
        <w:t>&gt;(650)(d)</w:t>
      </w:r>
    </w:p>
    <w:p>
      <w:pPr>
        <w:spacing w:line="191" w:lineRule="exact" w:before="0"/>
        <w:ind w:left="121" w:right="1395" w:firstLine="0"/>
        <w:jc w:val="center"/>
        <w:rPr>
          <w:sz w:val="20"/>
        </w:rPr>
      </w:pPr>
      <w:r>
        <w:rPr/>
        <w:br w:type="column"/>
      </w:r>
      <w:r>
        <w:rPr>
          <w:color w:val="231F20"/>
          <w:sz w:val="20"/>
        </w:rPr>
        <w:t>N/A</w:t>
      </w:r>
    </w:p>
    <w:p>
      <w:pPr>
        <w:pStyle w:val="BodyText"/>
        <w:rPr>
          <w:sz w:val="22"/>
        </w:rPr>
      </w:pPr>
    </w:p>
    <w:p>
      <w:pPr>
        <w:pStyle w:val="BodyText"/>
        <w:rPr>
          <w:sz w:val="22"/>
        </w:rPr>
      </w:pPr>
    </w:p>
    <w:p>
      <w:pPr>
        <w:pStyle w:val="BodyText"/>
        <w:spacing w:before="8"/>
        <w:rPr>
          <w:sz w:val="26"/>
        </w:rPr>
      </w:pPr>
    </w:p>
    <w:p>
      <w:pPr>
        <w:pStyle w:val="BodyText"/>
        <w:ind w:left="120" w:right="1498"/>
        <w:jc w:val="center"/>
      </w:pPr>
      <w:r>
        <w:rPr>
          <w:color w:val="231F20"/>
        </w:rPr>
        <w:t>&gt;(50)</w:t>
      </w:r>
    </w:p>
    <w:p>
      <w:pPr>
        <w:spacing w:after="0"/>
        <w:jc w:val="center"/>
        <w:sectPr>
          <w:type w:val="continuous"/>
          <w:pgSz w:w="11880" w:h="15480"/>
          <w:pgMar w:top="1200" w:bottom="280" w:left="980" w:right="1020"/>
          <w:cols w:num="3" w:equalWidth="0">
            <w:col w:w="6712" w:space="40"/>
            <w:col w:w="981" w:space="40"/>
            <w:col w:w="2107"/>
          </w:cols>
        </w:sectPr>
      </w:pPr>
    </w:p>
    <w:p>
      <w:pPr>
        <w:pStyle w:val="BodyText"/>
      </w:pPr>
    </w:p>
    <w:p>
      <w:pPr>
        <w:pStyle w:val="BodyText"/>
        <w:tabs>
          <w:tab w:pos="4519" w:val="left" w:leader="none"/>
          <w:tab w:pos="5337" w:val="left" w:leader="none"/>
          <w:tab w:pos="6075" w:val="left" w:leader="none"/>
          <w:tab w:pos="7319" w:val="left" w:leader="none"/>
          <w:tab w:pos="8046" w:val="left" w:leader="none"/>
        </w:tabs>
        <w:spacing w:line="300" w:lineRule="atLeast" w:before="144"/>
        <w:ind w:left="360" w:right="1518"/>
      </w:pPr>
      <w:r>
        <w:rPr>
          <w:color w:val="231F20"/>
        </w:rPr>
        <w:t>Cash is received from CP  . . . . . . . . . .</w:t>
      </w:r>
      <w:r>
        <w:rPr>
          <w:color w:val="231F20"/>
          <w:spacing w:val="25"/>
        </w:rPr>
        <w:t> </w:t>
      </w:r>
      <w:r>
        <w:rPr>
          <w:color w:val="231F20"/>
        </w:rPr>
        <w:t>. .</w:t>
        <w:tab/>
        <w:t>&gt;50</w:t>
        <w:tab/>
        <w:t>&gt;150</w:t>
        <w:tab/>
        <w:t>&gt;175(c)</w:t>
        <w:tab/>
        <w:t>&gt;200</w:t>
        <w:tab/>
        <w:t>&gt;30 Aircraft or cash can be pledged to CP</w:t>
      </w:r>
      <w:r>
        <w:rPr>
          <w:color w:val="231F20"/>
          <w:spacing w:val="1"/>
        </w:rPr>
        <w:t> </w:t>
      </w:r>
      <w:r>
        <w:rPr>
          <w:color w:val="231F20"/>
        </w:rPr>
        <w:t>as</w:t>
      </w:r>
    </w:p>
    <w:p>
      <w:pPr>
        <w:spacing w:after="0" w:line="300" w:lineRule="atLeast"/>
        <w:sectPr>
          <w:type w:val="continuous"/>
          <w:pgSz w:w="11880" w:h="15480"/>
          <w:pgMar w:top="1200" w:bottom="280" w:left="980" w:right="1020"/>
        </w:sectPr>
      </w:pPr>
    </w:p>
    <w:p>
      <w:pPr>
        <w:pStyle w:val="BodyText"/>
        <w:tabs>
          <w:tab w:pos="3632" w:val="left" w:leader="none"/>
        </w:tabs>
        <w:spacing w:line="269" w:lineRule="exact"/>
        <w:jc w:val="right"/>
      </w:pPr>
      <w:r>
        <w:rPr>
          <w:color w:val="231F20"/>
        </w:rPr>
        <w:t>collateral   . . . . . . . . . . . . . . . . . . . . .</w:t>
      </w:r>
      <w:r>
        <w:rPr>
          <w:color w:val="231F20"/>
          <w:spacing w:val="-24"/>
        </w:rPr>
        <w:t> </w:t>
      </w:r>
      <w:r>
        <w:rPr>
          <w:color w:val="231F20"/>
        </w:rPr>
        <w:t>. .</w:t>
        <w:tab/>
      </w:r>
      <w:r>
        <w:rPr>
          <w:color w:val="231F20"/>
          <w:position w:val="-10"/>
        </w:rPr>
        <w:t>(250) to</w:t>
      </w:r>
    </w:p>
    <w:p>
      <w:pPr>
        <w:pStyle w:val="BodyText"/>
        <w:spacing w:line="169" w:lineRule="exact"/>
        <w:ind w:right="1"/>
        <w:jc w:val="right"/>
      </w:pPr>
      <w:r>
        <w:rPr>
          <w:color w:val="231F20"/>
        </w:rPr>
        <w:t>(650)(d)</w:t>
      </w:r>
    </w:p>
    <w:p>
      <w:pPr>
        <w:pStyle w:val="BodyText"/>
        <w:spacing w:line="207" w:lineRule="exact" w:before="60"/>
        <w:ind w:left="238"/>
      </w:pPr>
      <w:r>
        <w:rPr/>
        <w:br w:type="column"/>
      </w:r>
      <w:r>
        <w:rPr>
          <w:color w:val="231F20"/>
        </w:rPr>
        <w:t>(100) to</w:t>
      </w:r>
    </w:p>
    <w:p>
      <w:pPr>
        <w:pStyle w:val="BodyText"/>
        <w:spacing w:line="171" w:lineRule="exact"/>
        <w:ind w:left="160"/>
      </w:pPr>
      <w:r>
        <w:rPr>
          <w:color w:val="231F20"/>
        </w:rPr>
        <w:t>(500) (d)</w:t>
      </w:r>
    </w:p>
    <w:p>
      <w:pPr>
        <w:pStyle w:val="BodyText"/>
        <w:tabs>
          <w:tab w:pos="1284" w:val="left" w:leader="none"/>
        </w:tabs>
        <w:spacing w:line="207" w:lineRule="exact" w:before="60"/>
        <w:ind w:left="560"/>
      </w:pPr>
      <w:r>
        <w:rPr/>
        <w:br w:type="column"/>
      </w:r>
      <w:r>
        <w:rPr>
          <w:color w:val="231F20"/>
        </w:rPr>
        <w:t>N/A</w:t>
        <w:tab/>
        <w:t>(250) to</w:t>
      </w:r>
    </w:p>
    <w:p>
      <w:pPr>
        <w:pStyle w:val="BodyText"/>
        <w:spacing w:line="171" w:lineRule="exact"/>
        <w:ind w:left="1207"/>
      </w:pPr>
      <w:r>
        <w:rPr>
          <w:color w:val="231F20"/>
        </w:rPr>
        <w:t>(650) (d)</w:t>
      </w:r>
    </w:p>
    <w:p>
      <w:pPr>
        <w:spacing w:before="60"/>
        <w:ind w:left="243" w:right="0" w:firstLine="0"/>
        <w:jc w:val="left"/>
        <w:rPr>
          <w:sz w:val="20"/>
        </w:rPr>
      </w:pPr>
      <w:r>
        <w:rPr/>
        <w:br w:type="column"/>
      </w:r>
      <w:r>
        <w:rPr>
          <w:color w:val="231F20"/>
          <w:sz w:val="20"/>
        </w:rPr>
        <w:t>N/A</w:t>
      </w:r>
    </w:p>
    <w:p>
      <w:pPr>
        <w:spacing w:after="0"/>
        <w:jc w:val="left"/>
        <w:rPr>
          <w:sz w:val="20"/>
        </w:rPr>
        <w:sectPr>
          <w:type w:val="continuous"/>
          <w:pgSz w:w="11880" w:h="15480"/>
          <w:pgMar w:top="1200" w:bottom="280" w:left="980" w:right="1020"/>
          <w:cols w:num="4" w:equalWidth="0">
            <w:col w:w="4833" w:space="40"/>
            <w:col w:w="879" w:space="57"/>
            <w:col w:w="1925" w:space="40"/>
            <w:col w:w="2106"/>
          </w:cols>
        </w:sectPr>
      </w:pPr>
    </w:p>
    <w:p>
      <w:pPr>
        <w:pStyle w:val="Heading3"/>
        <w:spacing w:line="184" w:lineRule="exact" w:before="30"/>
        <w:ind w:left="360" w:right="1242" w:hanging="200"/>
      </w:pPr>
      <w:r>
        <w:rPr>
          <w:color w:val="231F20"/>
        </w:rPr>
        <w:t>If credit rating is non-investment grade, fair value of fuel derivative level at which:</w:t>
      </w:r>
    </w:p>
    <w:p>
      <w:pPr>
        <w:pStyle w:val="BodyText"/>
        <w:tabs>
          <w:tab w:pos="3548" w:val="left" w:leader="none"/>
        </w:tabs>
        <w:spacing w:line="169" w:lineRule="exact"/>
        <w:jc w:val="right"/>
      </w:pPr>
      <w:r>
        <w:rPr>
          <w:color w:val="231F20"/>
        </w:rPr>
        <w:t>Cash is provided to CP  . . . . . . . . . . . .</w:t>
      </w:r>
      <w:r>
        <w:rPr>
          <w:color w:val="231F20"/>
          <w:spacing w:val="25"/>
        </w:rPr>
        <w:t> </w:t>
      </w:r>
      <w:r>
        <w:rPr>
          <w:color w:val="231F20"/>
        </w:rPr>
        <w:t>. .</w:t>
        <w:tab/>
        <w:t>(0) to (250)</w:t>
      </w:r>
    </w:p>
    <w:p>
      <w:pPr>
        <w:pStyle w:val="BodyText"/>
        <w:spacing w:line="207" w:lineRule="exact"/>
        <w:jc w:val="right"/>
      </w:pPr>
      <w:r>
        <w:rPr>
          <w:color w:val="231F20"/>
        </w:rPr>
        <w:t>or &gt;(650)</w:t>
      </w:r>
    </w:p>
    <w:p>
      <w:pPr>
        <w:pStyle w:val="BodyText"/>
        <w:rPr>
          <w:sz w:val="22"/>
        </w:rPr>
      </w:pPr>
      <w:r>
        <w:rPr/>
        <w:br w:type="column"/>
      </w:r>
      <w:r>
        <w:rPr>
          <w:sz w:val="22"/>
        </w:rPr>
      </w:r>
    </w:p>
    <w:p>
      <w:pPr>
        <w:pStyle w:val="BodyText"/>
        <w:spacing w:before="4"/>
        <w:rPr>
          <w:sz w:val="25"/>
        </w:rPr>
      </w:pPr>
    </w:p>
    <w:p>
      <w:pPr>
        <w:pStyle w:val="BodyText"/>
        <w:spacing w:line="207" w:lineRule="exact"/>
        <w:ind w:left="371"/>
      </w:pPr>
      <w:r>
        <w:rPr>
          <w:color w:val="231F20"/>
        </w:rPr>
        <w:t>(0) to</w:t>
      </w:r>
    </w:p>
    <w:p>
      <w:pPr>
        <w:pStyle w:val="BodyText"/>
        <w:spacing w:line="184" w:lineRule="exact"/>
        <w:ind w:left="160"/>
      </w:pPr>
      <w:r>
        <w:rPr>
          <w:color w:val="231F20"/>
        </w:rPr>
        <w:t>(100) or</w:t>
      </w:r>
    </w:p>
    <w:p>
      <w:pPr>
        <w:pStyle w:val="BodyText"/>
        <w:spacing w:line="173" w:lineRule="exact"/>
        <w:ind w:left="264"/>
      </w:pPr>
      <w:r>
        <w:rPr>
          <w:color w:val="231F20"/>
        </w:rPr>
        <w:t>&gt;(500)</w:t>
      </w:r>
    </w:p>
    <w:p>
      <w:pPr>
        <w:pStyle w:val="BodyText"/>
        <w:rPr>
          <w:sz w:val="22"/>
        </w:rPr>
      </w:pPr>
      <w:r>
        <w:rPr/>
        <w:br w:type="column"/>
      </w:r>
      <w:r>
        <w:rPr>
          <w:sz w:val="22"/>
        </w:rPr>
      </w:r>
    </w:p>
    <w:p>
      <w:pPr>
        <w:pStyle w:val="BodyText"/>
        <w:spacing w:before="4"/>
        <w:rPr>
          <w:sz w:val="25"/>
        </w:rPr>
      </w:pPr>
    </w:p>
    <w:p>
      <w:pPr>
        <w:pStyle w:val="BodyText"/>
        <w:tabs>
          <w:tab w:pos="974" w:val="left" w:leader="none"/>
        </w:tabs>
        <w:spacing w:line="207" w:lineRule="exact"/>
        <w:ind w:left="160"/>
      </w:pPr>
      <w:r>
        <w:rPr>
          <w:color w:val="231F20"/>
        </w:rPr>
        <w:t>(b)</w:t>
        <w:tab/>
        <w:t>(0) to</w:t>
      </w:r>
    </w:p>
    <w:p>
      <w:pPr>
        <w:pStyle w:val="BodyText"/>
        <w:spacing w:line="184" w:lineRule="exact"/>
        <w:ind w:left="764"/>
      </w:pPr>
      <w:r>
        <w:rPr>
          <w:color w:val="231F20"/>
        </w:rPr>
        <w:t>(250) or</w:t>
      </w:r>
    </w:p>
    <w:p>
      <w:pPr>
        <w:pStyle w:val="BodyText"/>
        <w:spacing w:line="173" w:lineRule="exact"/>
        <w:ind w:left="868"/>
      </w:pPr>
      <w:r>
        <w:rPr>
          <w:color w:val="231F20"/>
        </w:rPr>
        <w:t>&gt;(650)</w:t>
      </w:r>
    </w:p>
    <w:p>
      <w:pPr>
        <w:pStyle w:val="BodyText"/>
        <w:rPr>
          <w:sz w:val="22"/>
        </w:rPr>
      </w:pPr>
      <w:r>
        <w:rPr/>
        <w:br w:type="column"/>
      </w:r>
      <w:r>
        <w:rPr>
          <w:sz w:val="22"/>
        </w:rPr>
      </w:r>
    </w:p>
    <w:p>
      <w:pPr>
        <w:pStyle w:val="BodyText"/>
        <w:spacing w:before="4"/>
        <w:rPr>
          <w:sz w:val="25"/>
        </w:rPr>
      </w:pPr>
    </w:p>
    <w:p>
      <w:pPr>
        <w:pStyle w:val="BodyText"/>
        <w:ind w:left="160"/>
      </w:pPr>
      <w:r>
        <w:rPr>
          <w:color w:val="231F20"/>
        </w:rPr>
        <w:t>(b)</w:t>
      </w:r>
    </w:p>
    <w:p>
      <w:pPr>
        <w:spacing w:after="0"/>
        <w:sectPr>
          <w:type w:val="continuous"/>
          <w:pgSz w:w="11880" w:h="15480"/>
          <w:pgMar w:top="1200" w:bottom="280" w:left="980" w:right="1020"/>
          <w:cols w:num="4" w:equalWidth="0">
            <w:col w:w="4833" w:space="107"/>
            <w:col w:w="811" w:space="567"/>
            <w:col w:w="1415" w:space="233"/>
            <w:col w:w="1914"/>
          </w:cols>
        </w:sectPr>
      </w:pPr>
    </w:p>
    <w:p>
      <w:pPr>
        <w:pStyle w:val="BodyText"/>
        <w:tabs>
          <w:tab w:pos="4598" w:val="left" w:leader="none"/>
          <w:tab w:pos="5516" w:val="left" w:leader="none"/>
          <w:tab w:pos="6477" w:val="left" w:leader="none"/>
          <w:tab w:pos="7498" w:val="left" w:leader="none"/>
          <w:tab w:pos="8125" w:val="left" w:leader="none"/>
        </w:tabs>
        <w:spacing w:line="184" w:lineRule="exact" w:before="27"/>
        <w:ind w:left="360" w:right="1518"/>
      </w:pPr>
      <w:r>
        <w:rPr>
          <w:color w:val="231F20"/>
        </w:rPr>
        <w:t>Cash is received from CP  . . . . . . . . . .</w:t>
      </w:r>
      <w:r>
        <w:rPr>
          <w:color w:val="231F20"/>
          <w:spacing w:val="25"/>
        </w:rPr>
        <w:t> </w:t>
      </w:r>
      <w:r>
        <w:rPr>
          <w:color w:val="231F20"/>
        </w:rPr>
        <w:t>. .</w:t>
        <w:tab/>
        <w:t>(b)</w:t>
        <w:tab/>
        <w:t>(b)</w:t>
        <w:tab/>
        <w:t>(b)</w:t>
        <w:tab/>
        <w:t>(b)</w:t>
        <w:tab/>
        <w:t>(b) Aircraft can be pledged to CP</w:t>
      </w:r>
      <w:r>
        <w:rPr>
          <w:color w:val="231F20"/>
          <w:spacing w:val="1"/>
        </w:rPr>
        <w:t> </w:t>
      </w:r>
      <w:r>
        <w:rPr>
          <w:color w:val="231F20"/>
        </w:rPr>
        <w:t>as</w:t>
      </w:r>
    </w:p>
    <w:p>
      <w:pPr>
        <w:spacing w:after="0" w:line="184" w:lineRule="exact"/>
        <w:sectPr>
          <w:type w:val="continuous"/>
          <w:pgSz w:w="11880" w:h="15480"/>
          <w:pgMar w:top="1200" w:bottom="280" w:left="980" w:right="1020"/>
        </w:sectPr>
      </w:pPr>
    </w:p>
    <w:p>
      <w:pPr>
        <w:pStyle w:val="BodyText"/>
        <w:tabs>
          <w:tab w:pos="3632" w:val="left" w:leader="none"/>
        </w:tabs>
        <w:spacing w:line="275" w:lineRule="exact"/>
        <w:jc w:val="right"/>
      </w:pPr>
      <w:r>
        <w:rPr>
          <w:color w:val="231F20"/>
        </w:rPr>
        <w:t>collateral   . . . . . . . . . . . . . . . . . . . . .</w:t>
      </w:r>
      <w:r>
        <w:rPr>
          <w:color w:val="231F20"/>
          <w:spacing w:val="-24"/>
        </w:rPr>
        <w:t> </w:t>
      </w:r>
      <w:r>
        <w:rPr>
          <w:color w:val="231F20"/>
        </w:rPr>
        <w:t>. .</w:t>
        <w:tab/>
      </w:r>
      <w:r>
        <w:rPr>
          <w:color w:val="231F20"/>
          <w:position w:val="-10"/>
        </w:rPr>
        <w:t>(250) to</w:t>
      </w:r>
    </w:p>
    <w:p>
      <w:pPr>
        <w:pStyle w:val="BodyText"/>
        <w:spacing w:line="205" w:lineRule="exact"/>
        <w:jc w:val="right"/>
      </w:pPr>
      <w:r>
        <w:rPr>
          <w:color w:val="231F20"/>
        </w:rPr>
        <w:t>(650)</w:t>
      </w:r>
    </w:p>
    <w:p>
      <w:pPr>
        <w:pStyle w:val="BodyText"/>
        <w:spacing w:line="207" w:lineRule="exact" w:before="65"/>
        <w:ind w:left="238"/>
      </w:pPr>
      <w:r>
        <w:rPr/>
        <w:br w:type="column"/>
      </w:r>
      <w:r>
        <w:rPr>
          <w:color w:val="231F20"/>
        </w:rPr>
        <w:t>(100) to</w:t>
      </w:r>
    </w:p>
    <w:p>
      <w:pPr>
        <w:pStyle w:val="BodyText"/>
        <w:spacing w:line="207" w:lineRule="exact"/>
        <w:ind w:left="444"/>
      </w:pPr>
      <w:r>
        <w:rPr>
          <w:color w:val="231F20"/>
        </w:rPr>
        <w:t>(500)</w:t>
      </w:r>
    </w:p>
    <w:p>
      <w:pPr>
        <w:pStyle w:val="BodyText"/>
        <w:tabs>
          <w:tab w:pos="724" w:val="left" w:leader="none"/>
        </w:tabs>
        <w:spacing w:line="207" w:lineRule="exact" w:before="65"/>
        <w:jc w:val="right"/>
      </w:pPr>
      <w:r>
        <w:rPr/>
        <w:br w:type="column"/>
      </w:r>
      <w:r>
        <w:rPr>
          <w:color w:val="231F20"/>
        </w:rPr>
        <w:t>N/A</w:t>
        <w:tab/>
        <w:t>(250) to</w:t>
      </w:r>
    </w:p>
    <w:p>
      <w:pPr>
        <w:pStyle w:val="BodyText"/>
        <w:spacing w:line="207" w:lineRule="exact"/>
        <w:jc w:val="right"/>
      </w:pPr>
      <w:r>
        <w:rPr>
          <w:color w:val="231F20"/>
        </w:rPr>
        <w:t>(650)</w:t>
      </w:r>
    </w:p>
    <w:p>
      <w:pPr>
        <w:spacing w:before="65"/>
        <w:ind w:left="243" w:right="0" w:firstLine="0"/>
        <w:jc w:val="left"/>
        <w:rPr>
          <w:sz w:val="20"/>
        </w:rPr>
      </w:pPr>
      <w:r>
        <w:rPr/>
        <w:br w:type="column"/>
      </w:r>
      <w:r>
        <w:rPr>
          <w:color w:val="231F20"/>
          <w:sz w:val="20"/>
        </w:rPr>
        <w:t>N/A</w:t>
      </w:r>
    </w:p>
    <w:p>
      <w:pPr>
        <w:spacing w:after="0"/>
        <w:jc w:val="left"/>
        <w:rPr>
          <w:sz w:val="20"/>
        </w:rPr>
        <w:sectPr>
          <w:type w:val="continuous"/>
          <w:pgSz w:w="11880" w:h="15480"/>
          <w:pgMar w:top="1200" w:bottom="280" w:left="980" w:right="1020"/>
          <w:cols w:num="4" w:equalWidth="0">
            <w:col w:w="4833" w:space="40"/>
            <w:col w:w="879" w:space="57"/>
            <w:col w:w="1925" w:space="40"/>
            <w:col w:w="2106"/>
          </w:cols>
        </w:sectPr>
      </w:pPr>
    </w:p>
    <w:p>
      <w:pPr>
        <w:pStyle w:val="BodyText"/>
        <w:spacing w:line="20" w:lineRule="exact"/>
        <w:ind w:left="115"/>
        <w:rPr>
          <w:sz w:val="2"/>
        </w:rPr>
      </w:pPr>
      <w:r>
        <w:rPr>
          <w:sz w:val="2"/>
        </w:rPr>
        <w:pict>
          <v:group style="width:48.5pt;height:.5pt;mso-position-horizontal-relative:char;mso-position-vertical-relative:line" coordorigin="0,0" coordsize="970,10">
            <v:line style="position:absolute" from="5,5" to="965,5" stroked="true" strokeweight=".5pt" strokecolor="#231f20">
              <v:stroke dashstyle="solid"/>
            </v:line>
          </v:group>
        </w:pict>
      </w:r>
      <w:r>
        <w:rPr>
          <w:sz w:val="2"/>
        </w:rPr>
      </w:r>
    </w:p>
    <w:p>
      <w:pPr>
        <w:pStyle w:val="ListParagraph"/>
        <w:numPr>
          <w:ilvl w:val="0"/>
          <w:numId w:val="15"/>
        </w:numPr>
        <w:tabs>
          <w:tab w:pos="520" w:val="left" w:leader="none"/>
        </w:tabs>
        <w:spacing w:line="240" w:lineRule="auto" w:before="53" w:after="0"/>
        <w:ind w:left="520" w:right="0" w:hanging="400"/>
        <w:jc w:val="left"/>
        <w:rPr>
          <w:sz w:val="20"/>
        </w:rPr>
      </w:pPr>
      <w:r>
        <w:rPr>
          <w:color w:val="231F20"/>
          <w:sz w:val="20"/>
        </w:rPr>
        <w:t>Individual counterparties with fair value of fuel derivatives &lt;$20</w:t>
      </w:r>
      <w:r>
        <w:rPr>
          <w:color w:val="231F20"/>
          <w:spacing w:val="8"/>
          <w:sz w:val="20"/>
        </w:rPr>
        <w:t> </w:t>
      </w:r>
      <w:r>
        <w:rPr>
          <w:color w:val="231F20"/>
          <w:sz w:val="20"/>
        </w:rPr>
        <w:t>million.</w:t>
      </w:r>
    </w:p>
    <w:p>
      <w:pPr>
        <w:pStyle w:val="ListParagraph"/>
        <w:numPr>
          <w:ilvl w:val="0"/>
          <w:numId w:val="15"/>
        </w:numPr>
        <w:tabs>
          <w:tab w:pos="520" w:val="left" w:leader="none"/>
        </w:tabs>
        <w:spacing w:line="240" w:lineRule="auto" w:before="9" w:after="0"/>
        <w:ind w:left="520" w:right="0" w:hanging="400"/>
        <w:jc w:val="left"/>
        <w:rPr>
          <w:sz w:val="20"/>
        </w:rPr>
      </w:pPr>
      <w:r>
        <w:rPr>
          <w:color w:val="231F20"/>
          <w:sz w:val="20"/>
        </w:rPr>
        <w:t>Cash collateral is provided at 100 percent of fair value of fuel derivative</w:t>
      </w:r>
      <w:r>
        <w:rPr>
          <w:color w:val="231F20"/>
          <w:spacing w:val="8"/>
          <w:sz w:val="20"/>
        </w:rPr>
        <w:t> </w:t>
      </w:r>
      <w:r>
        <w:rPr>
          <w:color w:val="231F20"/>
          <w:sz w:val="20"/>
        </w:rPr>
        <w:t>contracts.</w:t>
      </w:r>
    </w:p>
    <w:p>
      <w:pPr>
        <w:pStyle w:val="ListParagraph"/>
        <w:numPr>
          <w:ilvl w:val="0"/>
          <w:numId w:val="15"/>
        </w:numPr>
        <w:tabs>
          <w:tab w:pos="520" w:val="left" w:leader="none"/>
        </w:tabs>
        <w:spacing w:line="240" w:lineRule="auto" w:before="9" w:after="0"/>
        <w:ind w:left="520" w:right="0" w:hanging="400"/>
        <w:jc w:val="left"/>
        <w:rPr>
          <w:sz w:val="20"/>
        </w:rPr>
      </w:pPr>
      <w:r>
        <w:rPr>
          <w:color w:val="231F20"/>
          <w:sz w:val="20"/>
        </w:rPr>
        <w:t>Thresholds may vary based on changes in credit ratings within investment</w:t>
      </w:r>
      <w:r>
        <w:rPr>
          <w:color w:val="231F20"/>
          <w:spacing w:val="5"/>
          <w:sz w:val="20"/>
        </w:rPr>
        <w:t> </w:t>
      </w:r>
      <w:r>
        <w:rPr>
          <w:color w:val="231F20"/>
          <w:sz w:val="20"/>
        </w:rPr>
        <w:t>grade.</w:t>
      </w:r>
    </w:p>
    <w:p>
      <w:pPr>
        <w:pStyle w:val="ListParagraph"/>
        <w:numPr>
          <w:ilvl w:val="0"/>
          <w:numId w:val="15"/>
        </w:numPr>
        <w:tabs>
          <w:tab w:pos="520" w:val="left" w:leader="none"/>
        </w:tabs>
        <w:spacing w:line="249" w:lineRule="auto" w:before="9" w:after="0"/>
        <w:ind w:left="520" w:right="276" w:hanging="400"/>
        <w:jc w:val="left"/>
        <w:rPr>
          <w:sz w:val="20"/>
        </w:rPr>
      </w:pPr>
      <w:r>
        <w:rPr>
          <w:color w:val="231F20"/>
          <w:sz w:val="20"/>
        </w:rPr>
        <w:t>The Company has the option of providing cash, letters of credit, or pledging aircraft as collateral. No cash, letters of credit, or aircraft were pledged as collateral with such counterparties as of December 31,</w:t>
      </w:r>
      <w:r>
        <w:rPr>
          <w:color w:val="231F20"/>
          <w:spacing w:val="12"/>
          <w:sz w:val="20"/>
        </w:rPr>
        <w:t> </w:t>
      </w:r>
      <w:r>
        <w:rPr>
          <w:color w:val="231F20"/>
          <w:sz w:val="20"/>
        </w:rPr>
        <w:t>2013.</w:t>
      </w:r>
    </w:p>
    <w:p>
      <w:pPr>
        <w:pStyle w:val="ListParagraph"/>
        <w:numPr>
          <w:ilvl w:val="0"/>
          <w:numId w:val="15"/>
        </w:numPr>
        <w:tabs>
          <w:tab w:pos="520" w:val="left" w:leader="none"/>
        </w:tabs>
        <w:spacing w:line="249" w:lineRule="auto" w:before="0" w:after="0"/>
        <w:ind w:left="520" w:right="326" w:hanging="400"/>
        <w:jc w:val="left"/>
        <w:rPr>
          <w:sz w:val="20"/>
        </w:rPr>
      </w:pPr>
      <w:r>
        <w:rPr>
          <w:color w:val="231F20"/>
          <w:sz w:val="20"/>
        </w:rPr>
        <w:t>The Company has the option of providing cash or letters of credit as collateral. No cash or letters of credit were pledged as collateral with such counterparties as of December 31,</w:t>
      </w:r>
      <w:r>
        <w:rPr>
          <w:color w:val="231F20"/>
          <w:spacing w:val="6"/>
          <w:sz w:val="20"/>
        </w:rPr>
        <w:t> </w:t>
      </w:r>
      <w:r>
        <w:rPr>
          <w:color w:val="231F20"/>
          <w:sz w:val="20"/>
        </w:rPr>
        <w:t>2013.</w:t>
      </w:r>
    </w:p>
    <w:p>
      <w:pPr>
        <w:pStyle w:val="BodyText"/>
        <w:spacing w:before="4"/>
        <w:rPr>
          <w:sz w:val="31"/>
        </w:rPr>
      </w:pPr>
    </w:p>
    <w:p>
      <w:pPr>
        <w:pStyle w:val="Heading3"/>
        <w:numPr>
          <w:ilvl w:val="0"/>
          <w:numId w:val="13"/>
        </w:numPr>
        <w:tabs>
          <w:tab w:pos="420" w:val="left" w:leader="none"/>
        </w:tabs>
        <w:spacing w:line="240" w:lineRule="auto" w:before="0" w:after="0"/>
        <w:ind w:left="420" w:right="0" w:hanging="300"/>
        <w:jc w:val="left"/>
      </w:pPr>
      <w:r>
        <w:rPr>
          <w:color w:val="231F20"/>
        </w:rPr>
        <w:t>FAIR VALUE</w:t>
      </w:r>
      <w:r>
        <w:rPr>
          <w:color w:val="231F20"/>
          <w:spacing w:val="-4"/>
        </w:rPr>
        <w:t> </w:t>
      </w:r>
      <w:r>
        <w:rPr>
          <w:color w:val="231F20"/>
        </w:rPr>
        <w:t>MEASUREMENTS</w:t>
      </w:r>
    </w:p>
    <w:p>
      <w:pPr>
        <w:pStyle w:val="BodyText"/>
        <w:spacing w:line="249" w:lineRule="auto" w:before="129"/>
        <w:ind w:left="120" w:right="119" w:firstLine="490"/>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10"/>
      </w:pPr>
    </w:p>
    <w:p>
      <w:pPr>
        <w:pStyle w:val="BodyText"/>
        <w:spacing w:line="249" w:lineRule="auto"/>
        <w:ind w:left="120" w:right="133" w:firstLine="490"/>
      </w:pPr>
      <w:r>
        <w:rPr>
          <w:color w:val="231F20"/>
        </w:rPr>
        <w:t>As of December 31, 2013, the Company held certain items that are required to be measured at fair value on a recurring basis. These included cash equivalents, short-term investments (primarily treasury bills, commercial paper, and certificates of deposit), certain noncurrent investments,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w:t>
      </w:r>
      <w:r>
        <w:rPr>
          <w:color w:val="231F20"/>
          <w:spacing w:val="2"/>
        </w:rPr>
        <w:t> </w:t>
      </w:r>
      <w:r>
        <w:rPr>
          <w:color w:val="231F20"/>
        </w:rPr>
        <w:t>plan.</w:t>
      </w:r>
    </w:p>
    <w:p>
      <w:pPr>
        <w:pStyle w:val="BodyText"/>
        <w:spacing w:before="10"/>
      </w:pPr>
    </w:p>
    <w:p>
      <w:pPr>
        <w:pStyle w:val="BodyText"/>
        <w:spacing w:line="249" w:lineRule="auto"/>
        <w:ind w:left="120" w:right="108" w:firstLine="490"/>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 to 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w:t>
      </w:r>
      <w:r>
        <w:rPr>
          <w:color w:val="231F20"/>
          <w:spacing w:val="4"/>
        </w:rPr>
        <w:t> </w:t>
      </w:r>
      <w:r>
        <w:rPr>
          <w:color w:val="231F20"/>
        </w:rPr>
        <w:t>holds.</w:t>
      </w:r>
    </w:p>
    <w:p>
      <w:pPr>
        <w:spacing w:after="0" w:line="249" w:lineRule="auto"/>
        <w:sectPr>
          <w:pgSz w:w="11880" w:h="15480"/>
          <w:pgMar w:header="0" w:footer="1253" w:top="1400" w:bottom="1440" w:left="1260" w:right="1280"/>
        </w:sectPr>
      </w:pPr>
    </w:p>
    <w:p>
      <w:pPr>
        <w:pStyle w:val="BodyText"/>
        <w:spacing w:line="249" w:lineRule="auto" w:before="73"/>
        <w:ind w:left="160" w:right="217" w:firstLine="490"/>
      </w:pPr>
      <w:r>
        <w:rPr>
          <w:color w:val="231F20"/>
        </w:rPr>
        <w:t>The Company’s investments associated with its excess benefit plan consist of mutual funds that are publicly traded and for which market prices are readily available. This plan is a non-qualified deferred compensation plan designed to hold Employee contributions in excess of limits established by Section 415 of the Internal Revenue Code of 1986, as amended. Payments under this plan are made based on the participant’s distribution election and plan balance. Assets related to the funded portion of the deferred compensation plan are held in a rabbi trust, and the Company remains liable to these participants for the unfunded portion of the plan. The Company records changes in the fair value of the liability and the asset in the Company’s earnings.</w:t>
      </w:r>
    </w:p>
    <w:p>
      <w:pPr>
        <w:pStyle w:val="BodyText"/>
        <w:spacing w:before="10"/>
      </w:pPr>
    </w:p>
    <w:p>
      <w:pPr>
        <w:pStyle w:val="BodyText"/>
        <w:spacing w:line="249" w:lineRule="auto" w:before="1"/>
        <w:ind w:left="160" w:right="200" w:firstLine="490"/>
      </w:pPr>
      <w:r>
        <w:rPr>
          <w:color w:val="231F20"/>
        </w:rPr>
        <w:t>All of the Company’s auction rate security instruments, totaling $39 million (net) at December 31, 2013, are classified as available-for-sale securities and are reflected at their estimated fair value in the Consolidated Balance Sheet. The Company’s Treasury Department determines the estimated fair values of these securities utilizing a discounted cash flow analysis.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LIBOR or the issuer’s net loan rate, and a counterparty credit spread. To validate the reasonableness of the Company’s discounted cash flow analyses, the Company compares its valuations to third party valuations on a quarterly basis.</w:t>
      </w:r>
    </w:p>
    <w:p>
      <w:pPr>
        <w:pStyle w:val="BodyText"/>
        <w:spacing w:before="11"/>
      </w:pPr>
    </w:p>
    <w:p>
      <w:pPr>
        <w:pStyle w:val="BodyText"/>
        <w:spacing w:line="249" w:lineRule="auto"/>
        <w:ind w:left="160" w:right="716" w:firstLine="490"/>
      </w:pPr>
      <w:r>
        <w:rPr>
          <w:color w:val="231F20"/>
        </w:rPr>
        <w:t>The following tables present the Company’s assets and liabilities that are measured at fair value on a recurring basis at December 31, 2013, and December 31, 2012:</w:t>
      </w:r>
    </w:p>
    <w:p>
      <w:pPr>
        <w:pStyle w:val="BodyText"/>
        <w:spacing w:before="1"/>
        <w:rPr>
          <w:sz w:val="9"/>
        </w:rPr>
      </w:pPr>
    </w:p>
    <w:p>
      <w:pPr>
        <w:spacing w:before="93"/>
        <w:ind w:left="5736" w:right="0" w:firstLine="0"/>
        <w:jc w:val="left"/>
        <w:rPr>
          <w:b/>
          <w:sz w:val="16"/>
        </w:rPr>
      </w:pPr>
      <w:r>
        <w:rPr/>
        <w:pict>
          <v:line style="position:absolute;mso-position-horizontal-relative:page;mso-position-vertical-relative:paragraph;z-index:7432" from="339.25pt,15.61875pt" to="525pt,15.61875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1880" w:h="15480"/>
          <w:pgMar w:header="0" w:footer="1253" w:top="1240" w:bottom="1440" w:left="1220" w:right="1220"/>
        </w:sectPr>
      </w:pPr>
    </w:p>
    <w:p>
      <w:pPr>
        <w:pStyle w:val="BodyText"/>
        <w:spacing w:before="1"/>
        <w:rPr>
          <w:b/>
          <w:sz w:val="2"/>
        </w:rPr>
      </w:pPr>
    </w:p>
    <w:p>
      <w:pPr>
        <w:pStyle w:val="BodyText"/>
        <w:spacing w:line="20" w:lineRule="exact"/>
        <w:ind w:left="3862"/>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p>
    <w:p>
      <w:pPr>
        <w:spacing w:line="160" w:lineRule="exact" w:before="32"/>
        <w:ind w:left="5565" w:right="0" w:hanging="1"/>
        <w:jc w:val="center"/>
        <w:rPr>
          <w:b/>
          <w:sz w:val="16"/>
        </w:rPr>
      </w:pPr>
      <w:r>
        <w:rPr/>
        <w:pict>
          <v:line style="position:absolute;mso-position-horizontal-relative:page;mso-position-vertical-relative:paragraph;z-index:-329392" from="339.25pt,35.5pt" to="402.2pt,35.5pt" stroked="true" strokeweight="1pt" strokecolor="#231f20">
            <v:stroke dashstyle="solid"/>
            <w10:wrap type="none"/>
          </v:line>
        </w:pict>
      </w:r>
      <w:r>
        <w:rPr>
          <w:b/>
          <w:color w:val="231F20"/>
          <w:sz w:val="16"/>
        </w:rPr>
        <w:t>Quoted prices in active markets  for identical</w:t>
      </w:r>
      <w:r>
        <w:rPr>
          <w:b/>
          <w:color w:val="231F20"/>
          <w:spacing w:val="-3"/>
          <w:sz w:val="16"/>
        </w:rPr>
        <w:t> </w:t>
      </w:r>
      <w:r>
        <w:rPr>
          <w:b/>
          <w:color w:val="231F20"/>
          <w:sz w:val="16"/>
        </w:rPr>
        <w:t>assets</w:t>
      </w:r>
    </w:p>
    <w:p>
      <w:pPr>
        <w:spacing w:line="160" w:lineRule="exact" w:before="76"/>
        <w:ind w:left="158"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0" w:lineRule="exact" w:before="76"/>
        <w:ind w:left="159" w:right="157" w:firstLine="0"/>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after="0" w:line="160" w:lineRule="exact"/>
        <w:jc w:val="center"/>
        <w:rPr>
          <w:sz w:val="16"/>
        </w:rPr>
        <w:sectPr>
          <w:type w:val="continuous"/>
          <w:pgSz w:w="11880" w:h="15480"/>
          <w:pgMar w:top="1200" w:bottom="280" w:left="1220" w:right="1220"/>
          <w:cols w:num="3" w:equalWidth="0">
            <w:col w:w="6826" w:space="40"/>
            <w:col w:w="1301" w:space="40"/>
            <w:col w:w="123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02"/>
        <w:gridCol w:w="360"/>
        <w:gridCol w:w="1393"/>
        <w:gridCol w:w="100"/>
        <w:gridCol w:w="1810"/>
        <w:gridCol w:w="890"/>
        <w:gridCol w:w="100"/>
        <w:gridCol w:w="968"/>
      </w:tblGrid>
      <w:tr>
        <w:trPr>
          <w:trHeight w:val="212" w:hRule="exact"/>
        </w:trPr>
        <w:tc>
          <w:tcPr>
            <w:tcW w:w="3602" w:type="dxa"/>
          </w:tcPr>
          <w:p>
            <w:pPr>
              <w:pStyle w:val="TableParagraph"/>
              <w:spacing w:line="162" w:lineRule="exact"/>
              <w:ind w:left="50"/>
              <w:jc w:val="left"/>
              <w:rPr>
                <w:b/>
                <w:sz w:val="16"/>
              </w:rPr>
            </w:pPr>
            <w:r>
              <w:rPr>
                <w:b/>
                <w:color w:val="231F20"/>
                <w:sz w:val="16"/>
              </w:rPr>
              <w:t>Description</w:t>
            </w:r>
          </w:p>
        </w:tc>
        <w:tc>
          <w:tcPr>
            <w:tcW w:w="360" w:type="dxa"/>
          </w:tcPr>
          <w:p>
            <w:pPr>
              <w:pStyle w:val="TableParagraph"/>
              <w:spacing w:before="3"/>
              <w:jc w:val="left"/>
              <w:rPr>
                <w:b/>
                <w:sz w:val="16"/>
              </w:rPr>
            </w:pPr>
          </w:p>
          <w:p>
            <w:pPr>
              <w:pStyle w:val="TableParagraph"/>
              <w:spacing w:line="20" w:lineRule="exact"/>
              <w:ind w:left="150"/>
              <w:jc w:val="left"/>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p>
        </w:tc>
        <w:tc>
          <w:tcPr>
            <w:tcW w:w="1393" w:type="dxa"/>
          </w:tcPr>
          <w:p>
            <w:pPr>
              <w:pStyle w:val="TableParagraph"/>
              <w:spacing w:line="162" w:lineRule="exact"/>
              <w:ind w:left="-1" w:right="98"/>
              <w:rPr>
                <w:b/>
                <w:sz w:val="16"/>
              </w:rPr>
            </w:pPr>
            <w:r>
              <w:rPr>
                <w:b/>
                <w:color w:val="231F20"/>
                <w:sz w:val="16"/>
              </w:rPr>
              <w:t>December 31, 2013</w:t>
            </w:r>
          </w:p>
        </w:tc>
        <w:tc>
          <w:tcPr>
            <w:tcW w:w="100" w:type="dxa"/>
          </w:tcPr>
          <w:p>
            <w:pPr/>
          </w:p>
        </w:tc>
        <w:tc>
          <w:tcPr>
            <w:tcW w:w="2700" w:type="dxa"/>
            <w:gridSpan w:val="2"/>
          </w:tcPr>
          <w:p>
            <w:pPr>
              <w:pStyle w:val="TableParagraph"/>
              <w:tabs>
                <w:tab w:pos="1730" w:val="left" w:leader="none"/>
              </w:tabs>
              <w:spacing w:line="162" w:lineRule="exact"/>
              <w:ind w:left="330"/>
              <w:jc w:val="left"/>
              <w:rPr>
                <w:b/>
                <w:sz w:val="16"/>
              </w:rPr>
            </w:pPr>
            <w:r>
              <w:rPr>
                <w:b/>
                <w:color w:val="231F20"/>
                <w:sz w:val="16"/>
              </w:rPr>
              <w:t>(Level</w:t>
            </w:r>
            <w:r>
              <w:rPr>
                <w:b/>
                <w:color w:val="231F20"/>
                <w:spacing w:val="-1"/>
                <w:sz w:val="16"/>
              </w:rPr>
              <w:t> </w:t>
            </w:r>
            <w:r>
              <w:rPr>
                <w:b/>
                <w:color w:val="231F20"/>
                <w:sz w:val="16"/>
              </w:rPr>
              <w:t>1)</w:t>
              <w:tab/>
              <w:t>(Level</w:t>
            </w:r>
            <w:r>
              <w:rPr>
                <w:b/>
                <w:color w:val="231F20"/>
                <w:spacing w:val="-1"/>
                <w:sz w:val="16"/>
              </w:rPr>
              <w:t> </w:t>
            </w:r>
            <w:r>
              <w:rPr>
                <w:b/>
                <w:color w:val="231F20"/>
                <w:sz w:val="16"/>
              </w:rPr>
              <w:t>2)</w:t>
            </w:r>
          </w:p>
        </w:tc>
        <w:tc>
          <w:tcPr>
            <w:tcW w:w="100" w:type="dxa"/>
          </w:tcPr>
          <w:p>
            <w:pPr/>
          </w:p>
        </w:tc>
        <w:tc>
          <w:tcPr>
            <w:tcW w:w="968" w:type="dxa"/>
          </w:tcPr>
          <w:p>
            <w:pPr>
              <w:pStyle w:val="TableParagraph"/>
              <w:spacing w:line="162" w:lineRule="exact"/>
              <w:ind w:left="158"/>
              <w:jc w:val="left"/>
              <w:rPr>
                <w:b/>
                <w:sz w:val="16"/>
              </w:rPr>
            </w:pPr>
            <w:r>
              <w:rPr>
                <w:b/>
                <w:color w:val="231F20"/>
                <w:sz w:val="16"/>
              </w:rPr>
              <w:t>(Level 3)</w:t>
            </w:r>
          </w:p>
        </w:tc>
      </w:tr>
      <w:tr>
        <w:trPr>
          <w:trHeight w:val="206" w:hRule="exact"/>
        </w:trPr>
        <w:tc>
          <w:tcPr>
            <w:tcW w:w="3602" w:type="dxa"/>
            <w:tcBorders>
              <w:top w:val="single" w:sz="8" w:space="0" w:color="231F20"/>
            </w:tcBorders>
          </w:tcPr>
          <w:p>
            <w:pPr/>
          </w:p>
        </w:tc>
        <w:tc>
          <w:tcPr>
            <w:tcW w:w="360" w:type="dxa"/>
          </w:tcPr>
          <w:p>
            <w:pPr/>
          </w:p>
        </w:tc>
        <w:tc>
          <w:tcPr>
            <w:tcW w:w="1393" w:type="dxa"/>
            <w:tcBorders>
              <w:top w:val="single" w:sz="8" w:space="0" w:color="231F20"/>
            </w:tcBorders>
          </w:tcPr>
          <w:p>
            <w:pPr/>
          </w:p>
        </w:tc>
        <w:tc>
          <w:tcPr>
            <w:tcW w:w="100" w:type="dxa"/>
          </w:tcPr>
          <w:p>
            <w:pPr/>
          </w:p>
        </w:tc>
        <w:tc>
          <w:tcPr>
            <w:tcW w:w="2700" w:type="dxa"/>
            <w:gridSpan w:val="2"/>
          </w:tcPr>
          <w:p>
            <w:pPr>
              <w:pStyle w:val="TableParagraph"/>
              <w:spacing w:before="5"/>
              <w:ind w:left="715"/>
              <w:jc w:val="left"/>
              <w:rPr>
                <w:sz w:val="16"/>
              </w:rPr>
            </w:pPr>
            <w:r>
              <w:rPr>
                <w:color w:val="231F20"/>
                <w:sz w:val="16"/>
              </w:rPr>
              <w:t>(in millions)</w:t>
            </w:r>
          </w:p>
        </w:tc>
        <w:tc>
          <w:tcPr>
            <w:tcW w:w="100" w:type="dxa"/>
          </w:tcPr>
          <w:p>
            <w:pPr/>
          </w:p>
        </w:tc>
        <w:tc>
          <w:tcPr>
            <w:tcW w:w="968" w:type="dxa"/>
            <w:tcBorders>
              <w:top w:val="single" w:sz="8" w:space="0" w:color="231F20"/>
            </w:tcBorders>
          </w:tcPr>
          <w:p>
            <w:pPr/>
          </w:p>
        </w:tc>
      </w:tr>
      <w:tr>
        <w:trPr>
          <w:trHeight w:val="182" w:hRule="exact"/>
        </w:trPr>
        <w:tc>
          <w:tcPr>
            <w:tcW w:w="3602" w:type="dxa"/>
          </w:tcPr>
          <w:p>
            <w:pPr>
              <w:pStyle w:val="TableParagraph"/>
              <w:spacing w:line="164" w:lineRule="exact"/>
              <w:ind w:left="50"/>
              <w:jc w:val="left"/>
              <w:rPr>
                <w:b/>
                <w:sz w:val="16"/>
              </w:rPr>
            </w:pPr>
            <w:r>
              <w:rPr>
                <w:b/>
                <w:color w:val="231F20"/>
                <w:sz w:val="16"/>
              </w:rPr>
              <w:t>Assets</w:t>
            </w:r>
          </w:p>
        </w:tc>
        <w:tc>
          <w:tcPr>
            <w:tcW w:w="360" w:type="dxa"/>
          </w:tcPr>
          <w:p>
            <w:pP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79" w:hRule="exact"/>
        </w:trPr>
        <w:tc>
          <w:tcPr>
            <w:tcW w:w="3602" w:type="dxa"/>
          </w:tcPr>
          <w:p>
            <w:pPr>
              <w:pStyle w:val="TableParagraph"/>
              <w:spacing w:line="162" w:lineRule="exact"/>
              <w:ind w:left="50"/>
              <w:jc w:val="left"/>
              <w:rPr>
                <w:sz w:val="16"/>
              </w:rPr>
            </w:pPr>
            <w:r>
              <w:rPr>
                <w:color w:val="231F20"/>
                <w:sz w:val="16"/>
              </w:rPr>
              <w:t>Cash equivalents</w:t>
            </w:r>
          </w:p>
        </w:tc>
        <w:tc>
          <w:tcPr>
            <w:tcW w:w="360" w:type="dxa"/>
          </w:tcPr>
          <w:p>
            <w:pP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80" w:hRule="exact"/>
        </w:trPr>
        <w:tc>
          <w:tcPr>
            <w:tcW w:w="3602" w:type="dxa"/>
          </w:tcPr>
          <w:p>
            <w:pPr>
              <w:pStyle w:val="TableParagraph"/>
              <w:spacing w:line="163" w:lineRule="exact"/>
              <w:rPr>
                <w:sz w:val="16"/>
              </w:rPr>
            </w:pPr>
            <w:r>
              <w:rPr>
                <w:color w:val="231F20"/>
                <w:sz w:val="16"/>
              </w:rPr>
              <w:t>Cash equivalents (a)  . . . . . . . . . . . . . . . . . . . . . . . . . </w:t>
            </w:r>
          </w:p>
        </w:tc>
        <w:tc>
          <w:tcPr>
            <w:tcW w:w="360" w:type="dxa"/>
          </w:tcPr>
          <w:p>
            <w:pPr/>
          </w:p>
        </w:tc>
        <w:tc>
          <w:tcPr>
            <w:tcW w:w="1393" w:type="dxa"/>
          </w:tcPr>
          <w:p>
            <w:pPr>
              <w:pStyle w:val="TableParagraph"/>
              <w:tabs>
                <w:tab w:pos="1052" w:val="left" w:leader="none"/>
              </w:tabs>
              <w:spacing w:line="163" w:lineRule="exact"/>
              <w:ind w:right="98"/>
              <w:rPr>
                <w:sz w:val="16"/>
              </w:rPr>
            </w:pPr>
            <w:r>
              <w:rPr>
                <w:color w:val="231F20"/>
                <w:sz w:val="16"/>
              </w:rPr>
              <w:t>$</w:t>
              <w:tab/>
              <w:t>992</w:t>
            </w:r>
          </w:p>
        </w:tc>
        <w:tc>
          <w:tcPr>
            <w:tcW w:w="100" w:type="dxa"/>
          </w:tcPr>
          <w:p>
            <w:pPr/>
          </w:p>
        </w:tc>
        <w:tc>
          <w:tcPr>
            <w:tcW w:w="2700" w:type="dxa"/>
            <w:gridSpan w:val="2"/>
          </w:tcPr>
          <w:p>
            <w:pPr>
              <w:pStyle w:val="TableParagraph"/>
              <w:tabs>
                <w:tab w:pos="1018" w:val="left" w:leader="none"/>
                <w:tab w:pos="2359" w:val="left" w:leader="none"/>
              </w:tabs>
              <w:spacing w:line="163" w:lineRule="exact"/>
              <w:jc w:val="left"/>
              <w:rPr>
                <w:sz w:val="16"/>
              </w:rPr>
            </w:pPr>
            <w:r>
              <w:rPr>
                <w:color w:val="231F20"/>
                <w:sz w:val="16"/>
              </w:rPr>
              <w:t>$</w:t>
              <w:tab/>
              <w:t>992     $</w:t>
              <w:tab/>
              <w:t>—</w:t>
            </w:r>
          </w:p>
        </w:tc>
        <w:tc>
          <w:tcPr>
            <w:tcW w:w="100" w:type="dxa"/>
          </w:tcPr>
          <w:p>
            <w:pPr/>
          </w:p>
        </w:tc>
        <w:tc>
          <w:tcPr>
            <w:tcW w:w="968" w:type="dxa"/>
          </w:tcPr>
          <w:p>
            <w:pPr>
              <w:pStyle w:val="TableParagraph"/>
              <w:tabs>
                <w:tab w:pos="674" w:val="left" w:leader="none"/>
              </w:tabs>
              <w:spacing w:line="163" w:lineRule="exact"/>
              <w:jc w:val="left"/>
              <w:rPr>
                <w:sz w:val="16"/>
              </w:rPr>
            </w:pPr>
            <w:r>
              <w:rPr>
                <w:color w:val="231F20"/>
                <w:sz w:val="16"/>
              </w:rPr>
              <w:t>$</w:t>
              <w:tab/>
              <w:t>—</w:t>
            </w:r>
          </w:p>
        </w:tc>
      </w:tr>
      <w:tr>
        <w:trPr>
          <w:trHeight w:val="180" w:hRule="exact"/>
        </w:trPr>
        <w:tc>
          <w:tcPr>
            <w:tcW w:w="3602" w:type="dxa"/>
          </w:tcPr>
          <w:p>
            <w:pPr>
              <w:pStyle w:val="TableParagraph"/>
              <w:spacing w:line="163" w:lineRule="exact"/>
              <w:rPr>
                <w:sz w:val="16"/>
              </w:rPr>
            </w:pPr>
            <w:r>
              <w:rPr>
                <w:color w:val="231F20"/>
                <w:sz w:val="16"/>
              </w:rPr>
              <w:t>Commercial paper . . . . . . . . . . . . . . . . . . . . . . . . . . . </w:t>
            </w:r>
          </w:p>
        </w:tc>
        <w:tc>
          <w:tcPr>
            <w:tcW w:w="360" w:type="dxa"/>
          </w:tcPr>
          <w:p>
            <w:pPr/>
          </w:p>
        </w:tc>
        <w:tc>
          <w:tcPr>
            <w:tcW w:w="1393" w:type="dxa"/>
          </w:tcPr>
          <w:p>
            <w:pPr>
              <w:pStyle w:val="TableParagraph"/>
              <w:spacing w:line="163" w:lineRule="exact"/>
              <w:ind w:left="-1" w:right="98"/>
              <w:rPr>
                <w:sz w:val="16"/>
              </w:rPr>
            </w:pPr>
            <w:r>
              <w:rPr>
                <w:color w:val="231F20"/>
                <w:sz w:val="16"/>
              </w:rPr>
              <w:t>280</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280</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80" w:hRule="exact"/>
        </w:trPr>
        <w:tc>
          <w:tcPr>
            <w:tcW w:w="3602" w:type="dxa"/>
          </w:tcPr>
          <w:p>
            <w:pPr>
              <w:pStyle w:val="TableParagraph"/>
              <w:spacing w:line="163" w:lineRule="exact"/>
              <w:rPr>
                <w:sz w:val="16"/>
              </w:rPr>
            </w:pPr>
            <w:r>
              <w:rPr>
                <w:color w:val="231F20"/>
                <w:sz w:val="16"/>
              </w:rPr>
              <w:t>Certificates of deposit  . . . . . . . . . . . . . . . . . . . . . . . . </w:t>
            </w:r>
          </w:p>
        </w:tc>
        <w:tc>
          <w:tcPr>
            <w:tcW w:w="360" w:type="dxa"/>
          </w:tcPr>
          <w:p>
            <w:pPr/>
          </w:p>
        </w:tc>
        <w:tc>
          <w:tcPr>
            <w:tcW w:w="1393" w:type="dxa"/>
          </w:tcPr>
          <w:p>
            <w:pPr>
              <w:pStyle w:val="TableParagraph"/>
              <w:spacing w:line="163" w:lineRule="exact"/>
              <w:ind w:left="-1" w:right="98"/>
              <w:rPr>
                <w:sz w:val="16"/>
              </w:rPr>
            </w:pPr>
            <w:r>
              <w:rPr>
                <w:color w:val="231F20"/>
                <w:sz w:val="16"/>
              </w:rPr>
              <w:t>23</w:t>
            </w:r>
          </w:p>
        </w:tc>
        <w:tc>
          <w:tcPr>
            <w:tcW w:w="100" w:type="dxa"/>
          </w:tcPr>
          <w:p>
            <w:pPr/>
          </w:p>
        </w:tc>
        <w:tc>
          <w:tcPr>
            <w:tcW w:w="2700" w:type="dxa"/>
            <w:gridSpan w:val="2"/>
          </w:tcPr>
          <w:p>
            <w:pPr>
              <w:pStyle w:val="TableParagraph"/>
              <w:tabs>
                <w:tab w:pos="2439" w:val="left" w:leader="none"/>
              </w:tabs>
              <w:spacing w:line="163" w:lineRule="exact"/>
              <w:ind w:left="1019"/>
              <w:jc w:val="left"/>
              <w:rPr>
                <w:sz w:val="16"/>
              </w:rPr>
            </w:pPr>
            <w:r>
              <w:rPr>
                <w:color w:val="231F20"/>
                <w:sz w:val="16"/>
              </w:rPr>
              <w:t>—</w:t>
              <w:tab/>
              <w:t>23</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78" w:hRule="exact"/>
        </w:trPr>
        <w:tc>
          <w:tcPr>
            <w:tcW w:w="3602" w:type="dxa"/>
          </w:tcPr>
          <w:p>
            <w:pPr>
              <w:pStyle w:val="TableParagraph"/>
              <w:spacing w:line="163" w:lineRule="exact"/>
              <w:rPr>
                <w:sz w:val="16"/>
              </w:rPr>
            </w:pPr>
            <w:r>
              <w:rPr>
                <w:color w:val="231F20"/>
                <w:sz w:val="16"/>
              </w:rPr>
              <w:t>Eurodollar Time Deposits . . . . . . . . . . . . . . . . . . . . . </w:t>
            </w:r>
          </w:p>
        </w:tc>
        <w:tc>
          <w:tcPr>
            <w:tcW w:w="360" w:type="dxa"/>
          </w:tcPr>
          <w:p>
            <w:pPr/>
          </w:p>
        </w:tc>
        <w:tc>
          <w:tcPr>
            <w:tcW w:w="1393" w:type="dxa"/>
          </w:tcPr>
          <w:p>
            <w:pPr>
              <w:pStyle w:val="TableParagraph"/>
              <w:spacing w:line="163" w:lineRule="exact"/>
              <w:ind w:left="-1" w:right="98"/>
              <w:rPr>
                <w:sz w:val="16"/>
              </w:rPr>
            </w:pPr>
            <w:r>
              <w:rPr>
                <w:color w:val="231F20"/>
                <w:sz w:val="16"/>
              </w:rPr>
              <w:t>60</w:t>
            </w:r>
          </w:p>
        </w:tc>
        <w:tc>
          <w:tcPr>
            <w:tcW w:w="100" w:type="dxa"/>
          </w:tcPr>
          <w:p>
            <w:pPr/>
          </w:p>
        </w:tc>
        <w:tc>
          <w:tcPr>
            <w:tcW w:w="2700" w:type="dxa"/>
            <w:gridSpan w:val="2"/>
          </w:tcPr>
          <w:p>
            <w:pPr>
              <w:pStyle w:val="TableParagraph"/>
              <w:tabs>
                <w:tab w:pos="2439" w:val="left" w:leader="none"/>
              </w:tabs>
              <w:spacing w:line="163" w:lineRule="exact"/>
              <w:ind w:left="1019"/>
              <w:jc w:val="left"/>
              <w:rPr>
                <w:sz w:val="16"/>
              </w:rPr>
            </w:pPr>
            <w:r>
              <w:rPr>
                <w:color w:val="231F20"/>
                <w:sz w:val="16"/>
              </w:rPr>
              <w:t>—</w:t>
              <w:tab/>
              <w:t>60</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80" w:hRule="exact"/>
        </w:trPr>
        <w:tc>
          <w:tcPr>
            <w:tcW w:w="3602" w:type="dxa"/>
          </w:tcPr>
          <w:p>
            <w:pPr>
              <w:pStyle w:val="TableParagraph"/>
              <w:spacing w:line="165" w:lineRule="exact"/>
              <w:ind w:left="50"/>
              <w:jc w:val="left"/>
              <w:rPr>
                <w:sz w:val="16"/>
              </w:rPr>
            </w:pPr>
            <w:r>
              <w:rPr>
                <w:color w:val="231F20"/>
                <w:sz w:val="16"/>
              </w:rPr>
              <w:t>Short-term investments:</w:t>
            </w:r>
          </w:p>
        </w:tc>
        <w:tc>
          <w:tcPr>
            <w:tcW w:w="360" w:type="dxa"/>
          </w:tcPr>
          <w:p>
            <w:pP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82" w:hRule="exact"/>
        </w:trPr>
        <w:tc>
          <w:tcPr>
            <w:tcW w:w="3602" w:type="dxa"/>
          </w:tcPr>
          <w:p>
            <w:pPr>
              <w:pStyle w:val="TableParagraph"/>
              <w:spacing w:line="160" w:lineRule="exact"/>
              <w:ind w:right="-1"/>
              <w:rPr>
                <w:sz w:val="16"/>
              </w:rPr>
            </w:pPr>
            <w:r>
              <w:rPr>
                <w:color w:val="231F20"/>
                <w:sz w:val="16"/>
              </w:rPr>
              <w:t>Treasury bills   . . . . . . . . . . . . . . . . . . . . . . . . . . . . . . </w:t>
            </w:r>
          </w:p>
        </w:tc>
        <w:tc>
          <w:tcPr>
            <w:tcW w:w="1753" w:type="dxa"/>
            <w:gridSpan w:val="2"/>
          </w:tcPr>
          <w:p>
            <w:pPr>
              <w:pStyle w:val="TableParagraph"/>
              <w:spacing w:line="160" w:lineRule="exact"/>
              <w:ind w:right="98"/>
              <w:rPr>
                <w:sz w:val="16"/>
              </w:rPr>
            </w:pPr>
            <w:r>
              <w:rPr>
                <w:color w:val="231F20"/>
                <w:sz w:val="16"/>
              </w:rPr>
              <w:t>1,570</w:t>
            </w:r>
          </w:p>
        </w:tc>
        <w:tc>
          <w:tcPr>
            <w:tcW w:w="1910" w:type="dxa"/>
            <w:gridSpan w:val="2"/>
          </w:tcPr>
          <w:p>
            <w:pPr>
              <w:pStyle w:val="TableParagraph"/>
              <w:spacing w:line="160" w:lineRule="exact"/>
              <w:ind w:left="999"/>
              <w:jc w:val="left"/>
              <w:rPr>
                <w:sz w:val="16"/>
              </w:rPr>
            </w:pPr>
            <w:r>
              <w:rPr>
                <w:color w:val="231F20"/>
                <w:sz w:val="16"/>
              </w:rPr>
              <w:t>1,570</w:t>
            </w:r>
          </w:p>
        </w:tc>
        <w:tc>
          <w:tcPr>
            <w:tcW w:w="890" w:type="dxa"/>
          </w:tcPr>
          <w:p>
            <w:pPr>
              <w:pStyle w:val="TableParagraph"/>
              <w:spacing w:line="160" w:lineRule="exact"/>
              <w:ind w:right="178"/>
              <w:rPr>
                <w:sz w:val="16"/>
              </w:rPr>
            </w:pPr>
            <w:r>
              <w:rPr>
                <w:color w:val="231F20"/>
                <w:sz w:val="16"/>
              </w:rPr>
              <w:t>—</w:t>
            </w:r>
          </w:p>
        </w:tc>
        <w:tc>
          <w:tcPr>
            <w:tcW w:w="1068" w:type="dxa"/>
            <w:gridSpan w:val="2"/>
          </w:tcPr>
          <w:p>
            <w:pPr>
              <w:pStyle w:val="TableParagraph"/>
              <w:spacing w:line="160" w:lineRule="exact"/>
              <w:ind w:right="131"/>
              <w:rPr>
                <w:sz w:val="16"/>
              </w:rPr>
            </w:pPr>
            <w:r>
              <w:rPr>
                <w:color w:val="231F20"/>
                <w:sz w:val="16"/>
              </w:rPr>
              <w:t>—</w:t>
            </w:r>
          </w:p>
        </w:tc>
      </w:tr>
      <w:tr>
        <w:trPr>
          <w:trHeight w:val="178" w:hRule="exact"/>
        </w:trPr>
        <w:tc>
          <w:tcPr>
            <w:tcW w:w="3602" w:type="dxa"/>
          </w:tcPr>
          <w:p>
            <w:pPr>
              <w:pStyle w:val="TableParagraph"/>
              <w:spacing w:line="163" w:lineRule="exact"/>
              <w:rPr>
                <w:sz w:val="16"/>
              </w:rPr>
            </w:pPr>
            <w:r>
              <w:rPr>
                <w:color w:val="231F20"/>
                <w:sz w:val="16"/>
              </w:rPr>
              <w:t>Certificates of deposit  . . . . . . . . . . . . . . . . . . . . . . . . </w:t>
            </w:r>
          </w:p>
        </w:tc>
        <w:tc>
          <w:tcPr>
            <w:tcW w:w="1753" w:type="dxa"/>
            <w:gridSpan w:val="2"/>
          </w:tcPr>
          <w:p>
            <w:pPr>
              <w:pStyle w:val="TableParagraph"/>
              <w:spacing w:line="163" w:lineRule="exact"/>
              <w:ind w:right="98"/>
              <w:rPr>
                <w:sz w:val="16"/>
              </w:rPr>
            </w:pPr>
            <w:r>
              <w:rPr>
                <w:color w:val="231F20"/>
                <w:sz w:val="16"/>
              </w:rPr>
              <w:t>227</w:t>
            </w:r>
          </w:p>
        </w:tc>
        <w:tc>
          <w:tcPr>
            <w:tcW w:w="1910" w:type="dxa"/>
            <w:gridSpan w:val="2"/>
          </w:tcPr>
          <w:p>
            <w:pPr>
              <w:pStyle w:val="TableParagraph"/>
              <w:spacing w:line="163" w:lineRule="exact"/>
              <w:ind w:left="1119"/>
              <w:jc w:val="left"/>
              <w:rPr>
                <w:sz w:val="16"/>
              </w:rPr>
            </w:pPr>
            <w:r>
              <w:rPr>
                <w:color w:val="231F20"/>
                <w:sz w:val="16"/>
              </w:rPr>
              <w:t>—</w:t>
            </w:r>
          </w:p>
        </w:tc>
        <w:tc>
          <w:tcPr>
            <w:tcW w:w="890" w:type="dxa"/>
          </w:tcPr>
          <w:p>
            <w:pPr>
              <w:pStyle w:val="TableParagraph"/>
              <w:spacing w:line="163" w:lineRule="exact"/>
              <w:ind w:right="98"/>
              <w:rPr>
                <w:sz w:val="16"/>
              </w:rPr>
            </w:pPr>
            <w:r>
              <w:rPr>
                <w:color w:val="231F20"/>
                <w:sz w:val="16"/>
              </w:rPr>
              <w:t>227</w:t>
            </w:r>
          </w:p>
        </w:tc>
        <w:tc>
          <w:tcPr>
            <w:tcW w:w="1068" w:type="dxa"/>
            <w:gridSpan w:val="2"/>
          </w:tcPr>
          <w:p>
            <w:pPr>
              <w:pStyle w:val="TableParagraph"/>
              <w:spacing w:line="163" w:lineRule="exact"/>
              <w:ind w:right="131"/>
              <w:rPr>
                <w:sz w:val="16"/>
              </w:rPr>
            </w:pPr>
            <w:r>
              <w:rPr>
                <w:color w:val="231F20"/>
                <w:sz w:val="16"/>
              </w:rPr>
              <w:t>—</w:t>
            </w:r>
          </w:p>
        </w:tc>
      </w:tr>
      <w:tr>
        <w:trPr>
          <w:trHeight w:val="180" w:hRule="exact"/>
        </w:trPr>
        <w:tc>
          <w:tcPr>
            <w:tcW w:w="3602" w:type="dxa"/>
          </w:tcPr>
          <w:p>
            <w:pPr>
              <w:pStyle w:val="TableParagraph"/>
              <w:spacing w:line="165" w:lineRule="exact"/>
              <w:ind w:left="50"/>
              <w:jc w:val="left"/>
              <w:rPr>
                <w:sz w:val="16"/>
              </w:rPr>
            </w:pPr>
            <w:r>
              <w:rPr>
                <w:color w:val="231F20"/>
                <w:sz w:val="16"/>
              </w:rPr>
              <w:t>Noncurrent investments (b)</w:t>
            </w:r>
          </w:p>
        </w:tc>
        <w:tc>
          <w:tcPr>
            <w:tcW w:w="360" w:type="dxa"/>
          </w:tcPr>
          <w:p>
            <w:pPr/>
          </w:p>
        </w:tc>
        <w:tc>
          <w:tcPr>
            <w:tcW w:w="1393" w:type="dxa"/>
          </w:tcPr>
          <w:p>
            <w:pPr/>
          </w:p>
        </w:tc>
        <w:tc>
          <w:tcPr>
            <w:tcW w:w="100" w:type="dxa"/>
          </w:tcPr>
          <w:p>
            <w:pPr/>
          </w:p>
        </w:tc>
        <w:tc>
          <w:tcPr>
            <w:tcW w:w="1810" w:type="dxa"/>
          </w:tcPr>
          <w:p>
            <w:pPr/>
          </w:p>
        </w:tc>
        <w:tc>
          <w:tcPr>
            <w:tcW w:w="890" w:type="dxa"/>
          </w:tcPr>
          <w:p>
            <w:pPr/>
          </w:p>
        </w:tc>
        <w:tc>
          <w:tcPr>
            <w:tcW w:w="100" w:type="dxa"/>
          </w:tcPr>
          <w:p>
            <w:pPr/>
          </w:p>
        </w:tc>
        <w:tc>
          <w:tcPr>
            <w:tcW w:w="968" w:type="dxa"/>
          </w:tcPr>
          <w:p>
            <w:pPr/>
          </w:p>
        </w:tc>
      </w:tr>
      <w:tr>
        <w:trPr>
          <w:trHeight w:val="182" w:hRule="exact"/>
        </w:trPr>
        <w:tc>
          <w:tcPr>
            <w:tcW w:w="3962" w:type="dxa"/>
            <w:gridSpan w:val="2"/>
          </w:tcPr>
          <w:p>
            <w:pPr>
              <w:pStyle w:val="TableParagraph"/>
              <w:spacing w:line="160" w:lineRule="exact"/>
              <w:ind w:left="210"/>
              <w:jc w:val="left"/>
              <w:rPr>
                <w:sz w:val="16"/>
              </w:rPr>
            </w:pPr>
            <w:r>
              <w:rPr>
                <w:color w:val="231F20"/>
                <w:sz w:val="16"/>
              </w:rPr>
              <w:t>Auction rate securities   . . . . . . . . . . . . . . . . . . . . . . . </w:t>
            </w:r>
          </w:p>
        </w:tc>
        <w:tc>
          <w:tcPr>
            <w:tcW w:w="1393" w:type="dxa"/>
          </w:tcPr>
          <w:p>
            <w:pPr>
              <w:pStyle w:val="TableParagraph"/>
              <w:spacing w:line="160" w:lineRule="exact"/>
              <w:ind w:left="-1" w:right="98"/>
              <w:rPr>
                <w:sz w:val="16"/>
              </w:rPr>
            </w:pPr>
            <w:r>
              <w:rPr>
                <w:color w:val="231F20"/>
                <w:sz w:val="16"/>
              </w:rPr>
              <w:t>39</w:t>
            </w:r>
          </w:p>
        </w:tc>
        <w:tc>
          <w:tcPr>
            <w:tcW w:w="100" w:type="dxa"/>
          </w:tcPr>
          <w:p>
            <w:pPr/>
          </w:p>
        </w:tc>
        <w:tc>
          <w:tcPr>
            <w:tcW w:w="2700" w:type="dxa"/>
            <w:gridSpan w:val="2"/>
          </w:tcPr>
          <w:p>
            <w:pPr>
              <w:pStyle w:val="TableParagraph"/>
              <w:tabs>
                <w:tab w:pos="2359" w:val="left" w:leader="none"/>
              </w:tabs>
              <w:spacing w:line="160" w:lineRule="exact"/>
              <w:ind w:left="1019"/>
              <w:jc w:val="left"/>
              <w:rPr>
                <w:sz w:val="16"/>
              </w:rPr>
            </w:pPr>
            <w:r>
              <w:rPr>
                <w:color w:val="231F20"/>
                <w:sz w:val="16"/>
              </w:rPr>
              <w:t>—</w:t>
              <w:tab/>
              <w:t>—</w:t>
            </w:r>
          </w:p>
        </w:tc>
        <w:tc>
          <w:tcPr>
            <w:tcW w:w="100" w:type="dxa"/>
          </w:tcPr>
          <w:p>
            <w:pPr/>
          </w:p>
        </w:tc>
        <w:tc>
          <w:tcPr>
            <w:tcW w:w="968" w:type="dxa"/>
          </w:tcPr>
          <w:p>
            <w:pPr>
              <w:pStyle w:val="TableParagraph"/>
              <w:spacing w:line="160" w:lineRule="exact"/>
              <w:ind w:right="51"/>
              <w:rPr>
                <w:sz w:val="16"/>
              </w:rPr>
            </w:pPr>
            <w:r>
              <w:rPr>
                <w:color w:val="231F20"/>
                <w:sz w:val="16"/>
              </w:rPr>
              <w:t>39</w:t>
            </w:r>
          </w:p>
        </w:tc>
      </w:tr>
      <w:tr>
        <w:trPr>
          <w:trHeight w:val="180" w:hRule="exact"/>
        </w:trPr>
        <w:tc>
          <w:tcPr>
            <w:tcW w:w="3962" w:type="dxa"/>
            <w:gridSpan w:val="2"/>
          </w:tcPr>
          <w:p>
            <w:pPr>
              <w:pStyle w:val="TableParagraph"/>
              <w:spacing w:line="163" w:lineRule="exact"/>
              <w:ind w:left="50"/>
              <w:jc w:val="left"/>
              <w:rPr>
                <w:sz w:val="16"/>
              </w:rPr>
            </w:pPr>
            <w:r>
              <w:rPr>
                <w:color w:val="231F20"/>
                <w:sz w:val="16"/>
              </w:rPr>
              <w:t>Interest rate derivatives (see Note 10)   . . . . . . . . . . . . . </w:t>
            </w:r>
          </w:p>
        </w:tc>
        <w:tc>
          <w:tcPr>
            <w:tcW w:w="1393" w:type="dxa"/>
          </w:tcPr>
          <w:p>
            <w:pPr>
              <w:pStyle w:val="TableParagraph"/>
              <w:spacing w:line="163" w:lineRule="exact"/>
              <w:ind w:left="-1" w:right="98"/>
              <w:rPr>
                <w:sz w:val="16"/>
              </w:rPr>
            </w:pPr>
            <w:r>
              <w:rPr>
                <w:color w:val="231F20"/>
                <w:sz w:val="16"/>
              </w:rPr>
              <w:t>20</w:t>
            </w:r>
          </w:p>
        </w:tc>
        <w:tc>
          <w:tcPr>
            <w:tcW w:w="100" w:type="dxa"/>
          </w:tcPr>
          <w:p>
            <w:pPr/>
          </w:p>
        </w:tc>
        <w:tc>
          <w:tcPr>
            <w:tcW w:w="2700" w:type="dxa"/>
            <w:gridSpan w:val="2"/>
          </w:tcPr>
          <w:p>
            <w:pPr>
              <w:pStyle w:val="TableParagraph"/>
              <w:tabs>
                <w:tab w:pos="2439" w:val="left" w:leader="none"/>
              </w:tabs>
              <w:spacing w:line="163" w:lineRule="exact"/>
              <w:ind w:left="1019"/>
              <w:jc w:val="left"/>
              <w:rPr>
                <w:sz w:val="16"/>
              </w:rPr>
            </w:pPr>
            <w:r>
              <w:rPr>
                <w:color w:val="231F20"/>
                <w:sz w:val="16"/>
              </w:rPr>
              <w:t>—</w:t>
              <w:tab/>
              <w:t>20</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80" w:hRule="exact"/>
        </w:trPr>
        <w:tc>
          <w:tcPr>
            <w:tcW w:w="3962" w:type="dxa"/>
            <w:gridSpan w:val="2"/>
          </w:tcPr>
          <w:p>
            <w:pPr>
              <w:pStyle w:val="TableParagraph"/>
              <w:spacing w:line="163" w:lineRule="exact"/>
              <w:ind w:left="50"/>
              <w:jc w:val="left"/>
              <w:rPr>
                <w:sz w:val="16"/>
              </w:rPr>
            </w:pPr>
            <w:r>
              <w:rPr>
                <w:color w:val="231F20"/>
                <w:sz w:val="16"/>
              </w:rPr>
              <w:t>Fuel derivatives:</w:t>
            </w: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80" w:hRule="exact"/>
        </w:trPr>
        <w:tc>
          <w:tcPr>
            <w:tcW w:w="3962" w:type="dxa"/>
            <w:gridSpan w:val="2"/>
          </w:tcPr>
          <w:p>
            <w:pPr>
              <w:pStyle w:val="TableParagraph"/>
              <w:spacing w:line="163" w:lineRule="exact"/>
              <w:ind w:left="210"/>
              <w:jc w:val="left"/>
              <w:rPr>
                <w:sz w:val="16"/>
              </w:rPr>
            </w:pPr>
            <w:r>
              <w:rPr>
                <w:color w:val="231F20"/>
                <w:sz w:val="16"/>
              </w:rPr>
              <w:t>Swap contracts (c) . . . . . . . . . . . . . . . . . . . . . . . . . . . </w:t>
            </w:r>
          </w:p>
        </w:tc>
        <w:tc>
          <w:tcPr>
            <w:tcW w:w="1393" w:type="dxa"/>
          </w:tcPr>
          <w:p>
            <w:pPr>
              <w:pStyle w:val="TableParagraph"/>
              <w:spacing w:line="163" w:lineRule="exact"/>
              <w:ind w:left="-1" w:right="98"/>
              <w:rPr>
                <w:sz w:val="16"/>
              </w:rPr>
            </w:pPr>
            <w:r>
              <w:rPr>
                <w:color w:val="231F20"/>
                <w:sz w:val="16"/>
              </w:rPr>
              <w:t>16</w:t>
            </w:r>
          </w:p>
        </w:tc>
        <w:tc>
          <w:tcPr>
            <w:tcW w:w="100" w:type="dxa"/>
          </w:tcPr>
          <w:p>
            <w:pPr/>
          </w:p>
        </w:tc>
        <w:tc>
          <w:tcPr>
            <w:tcW w:w="2700" w:type="dxa"/>
            <w:gridSpan w:val="2"/>
          </w:tcPr>
          <w:p>
            <w:pPr>
              <w:pStyle w:val="TableParagraph"/>
              <w:tabs>
                <w:tab w:pos="2439" w:val="left" w:leader="none"/>
              </w:tabs>
              <w:spacing w:line="163" w:lineRule="exact"/>
              <w:ind w:left="1019"/>
              <w:jc w:val="left"/>
              <w:rPr>
                <w:sz w:val="16"/>
              </w:rPr>
            </w:pPr>
            <w:r>
              <w:rPr>
                <w:color w:val="231F20"/>
                <w:sz w:val="16"/>
              </w:rPr>
              <w:t>—</w:t>
              <w:tab/>
              <w:t>16</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80" w:hRule="exact"/>
        </w:trPr>
        <w:tc>
          <w:tcPr>
            <w:tcW w:w="3962" w:type="dxa"/>
            <w:gridSpan w:val="2"/>
          </w:tcPr>
          <w:p>
            <w:pPr>
              <w:pStyle w:val="TableParagraph"/>
              <w:spacing w:line="163" w:lineRule="exact"/>
              <w:ind w:left="210"/>
              <w:jc w:val="left"/>
              <w:rPr>
                <w:sz w:val="16"/>
              </w:rPr>
            </w:pPr>
            <w:r>
              <w:rPr>
                <w:color w:val="231F20"/>
                <w:sz w:val="16"/>
              </w:rPr>
              <w:t>Option contracts (c)   . . . . . . . . . . . . . . . . . . . . . . . . . </w:t>
            </w:r>
          </w:p>
        </w:tc>
        <w:tc>
          <w:tcPr>
            <w:tcW w:w="1393" w:type="dxa"/>
          </w:tcPr>
          <w:p>
            <w:pPr>
              <w:pStyle w:val="TableParagraph"/>
              <w:spacing w:line="163" w:lineRule="exact"/>
              <w:ind w:left="-1" w:right="98"/>
              <w:rPr>
                <w:sz w:val="16"/>
              </w:rPr>
            </w:pPr>
            <w:r>
              <w:rPr>
                <w:color w:val="231F20"/>
                <w:sz w:val="16"/>
              </w:rPr>
              <w:t>458</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w:t>
            </w:r>
          </w:p>
        </w:tc>
        <w:tc>
          <w:tcPr>
            <w:tcW w:w="100" w:type="dxa"/>
          </w:tcPr>
          <w:p>
            <w:pPr/>
          </w:p>
        </w:tc>
        <w:tc>
          <w:tcPr>
            <w:tcW w:w="968" w:type="dxa"/>
          </w:tcPr>
          <w:p>
            <w:pPr>
              <w:pStyle w:val="TableParagraph"/>
              <w:spacing w:line="163" w:lineRule="exact"/>
              <w:ind w:right="51"/>
              <w:rPr>
                <w:sz w:val="16"/>
              </w:rPr>
            </w:pPr>
            <w:r>
              <w:rPr>
                <w:color w:val="231F20"/>
                <w:sz w:val="16"/>
              </w:rPr>
              <w:t>458</w:t>
            </w:r>
          </w:p>
        </w:tc>
      </w:tr>
      <w:tr>
        <w:trPr>
          <w:trHeight w:val="180" w:hRule="exact"/>
        </w:trPr>
        <w:tc>
          <w:tcPr>
            <w:tcW w:w="3962" w:type="dxa"/>
            <w:gridSpan w:val="2"/>
          </w:tcPr>
          <w:p>
            <w:pPr>
              <w:pStyle w:val="TableParagraph"/>
              <w:spacing w:line="163" w:lineRule="exact"/>
              <w:ind w:left="210"/>
              <w:jc w:val="left"/>
              <w:rPr>
                <w:sz w:val="16"/>
              </w:rPr>
            </w:pPr>
            <w:r>
              <w:rPr>
                <w:color w:val="231F20"/>
                <w:sz w:val="16"/>
              </w:rPr>
              <w:t>Option contracts (d)   . . . . . . . . . . . . . . . . . . . . . . . . . </w:t>
            </w:r>
          </w:p>
        </w:tc>
        <w:tc>
          <w:tcPr>
            <w:tcW w:w="1393" w:type="dxa"/>
          </w:tcPr>
          <w:p>
            <w:pPr>
              <w:pStyle w:val="TableParagraph"/>
              <w:spacing w:line="163" w:lineRule="exact"/>
              <w:ind w:right="98"/>
              <w:rPr>
                <w:sz w:val="16"/>
              </w:rPr>
            </w:pPr>
            <w:r>
              <w:rPr>
                <w:color w:val="231F20"/>
                <w:sz w:val="16"/>
              </w:rPr>
              <w:t>9</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w:t>
            </w:r>
          </w:p>
        </w:tc>
        <w:tc>
          <w:tcPr>
            <w:tcW w:w="100" w:type="dxa"/>
          </w:tcPr>
          <w:p>
            <w:pPr/>
          </w:p>
        </w:tc>
        <w:tc>
          <w:tcPr>
            <w:tcW w:w="968" w:type="dxa"/>
          </w:tcPr>
          <w:p>
            <w:pPr>
              <w:pStyle w:val="TableParagraph"/>
              <w:spacing w:line="163" w:lineRule="exact"/>
              <w:ind w:right="51"/>
              <w:rPr>
                <w:sz w:val="16"/>
              </w:rPr>
            </w:pPr>
            <w:r>
              <w:rPr>
                <w:color w:val="231F20"/>
                <w:sz w:val="16"/>
              </w:rPr>
              <w:t>9</w:t>
            </w:r>
          </w:p>
        </w:tc>
      </w:tr>
      <w:tr>
        <w:trPr>
          <w:trHeight w:val="218" w:hRule="exact"/>
        </w:trPr>
        <w:tc>
          <w:tcPr>
            <w:tcW w:w="3962" w:type="dxa"/>
            <w:gridSpan w:val="2"/>
          </w:tcPr>
          <w:p>
            <w:pPr>
              <w:pStyle w:val="TableParagraph"/>
              <w:spacing w:line="163" w:lineRule="exact"/>
              <w:ind w:left="50"/>
              <w:jc w:val="left"/>
              <w:rPr>
                <w:sz w:val="16"/>
              </w:rPr>
            </w:pPr>
            <w:r>
              <w:rPr>
                <w:color w:val="231F20"/>
                <w:sz w:val="16"/>
              </w:rPr>
              <w:t>Other available-for-sale securities   . . . . . . . . . . . . . . . . </w:t>
            </w:r>
          </w:p>
        </w:tc>
        <w:tc>
          <w:tcPr>
            <w:tcW w:w="1393" w:type="dxa"/>
            <w:tcBorders>
              <w:bottom w:val="single" w:sz="4" w:space="0" w:color="231F20"/>
            </w:tcBorders>
          </w:tcPr>
          <w:p>
            <w:pPr>
              <w:pStyle w:val="TableParagraph"/>
              <w:spacing w:line="163" w:lineRule="exact"/>
              <w:ind w:left="-1" w:right="98"/>
              <w:rPr>
                <w:sz w:val="16"/>
              </w:rPr>
            </w:pPr>
            <w:r>
              <w:rPr>
                <w:color w:val="231F20"/>
                <w:sz w:val="16"/>
              </w:rPr>
              <w:t>63</w:t>
            </w:r>
          </w:p>
        </w:tc>
        <w:tc>
          <w:tcPr>
            <w:tcW w:w="100" w:type="dxa"/>
          </w:tcPr>
          <w:p>
            <w:pPr/>
          </w:p>
        </w:tc>
        <w:tc>
          <w:tcPr>
            <w:tcW w:w="2700" w:type="dxa"/>
            <w:gridSpan w:val="2"/>
          </w:tcPr>
          <w:p>
            <w:pPr>
              <w:pStyle w:val="TableParagraph"/>
              <w:tabs>
                <w:tab w:pos="2359" w:val="left" w:leader="none"/>
              </w:tabs>
              <w:spacing w:line="163" w:lineRule="exact"/>
              <w:ind w:left="1099"/>
              <w:jc w:val="left"/>
              <w:rPr>
                <w:sz w:val="16"/>
              </w:rPr>
            </w:pPr>
            <w:r>
              <w:rPr>
                <w:color w:val="231F20"/>
                <w:sz w:val="16"/>
              </w:rPr>
              <w:t>58</w:t>
              <w:tab/>
              <w:t>—</w:t>
            </w:r>
          </w:p>
        </w:tc>
        <w:tc>
          <w:tcPr>
            <w:tcW w:w="100" w:type="dxa"/>
          </w:tcPr>
          <w:p>
            <w:pPr/>
          </w:p>
        </w:tc>
        <w:tc>
          <w:tcPr>
            <w:tcW w:w="968" w:type="dxa"/>
            <w:tcBorders>
              <w:bottom w:val="single" w:sz="4" w:space="0" w:color="231F20"/>
            </w:tcBorders>
          </w:tcPr>
          <w:p>
            <w:pPr>
              <w:pStyle w:val="TableParagraph"/>
              <w:spacing w:line="163" w:lineRule="exact"/>
              <w:ind w:right="51"/>
              <w:rPr>
                <w:sz w:val="16"/>
              </w:rPr>
            </w:pPr>
            <w:r>
              <w:rPr>
                <w:color w:val="231F20"/>
                <w:sz w:val="16"/>
              </w:rPr>
              <w:t>5</w:t>
            </w:r>
          </w:p>
        </w:tc>
      </w:tr>
      <w:tr>
        <w:trPr>
          <w:trHeight w:val="300" w:hRule="exact"/>
        </w:trPr>
        <w:tc>
          <w:tcPr>
            <w:tcW w:w="3962" w:type="dxa"/>
            <w:gridSpan w:val="2"/>
          </w:tcPr>
          <w:p>
            <w:pPr>
              <w:pStyle w:val="TableParagraph"/>
              <w:spacing w:line="20" w:lineRule="exact"/>
              <w:ind w:left="3757"/>
              <w:jc w:val="left"/>
              <w:rPr>
                <w:sz w:val="2"/>
              </w:rPr>
            </w:pPr>
            <w:r>
              <w:rPr>
                <w:sz w:val="2"/>
              </w:rPr>
              <w:pict>
                <v:group style="width:.5pt;height:.5pt;mso-position-horizontal-relative:char;mso-position-vertical-relative:line" coordorigin="0,0" coordsize="10,10">
                  <v:line style="position:absolute" from="5,5" to="5,5" stroked="true" strokeweight=".5pt" strokecolor="#231f20">
                    <v:stroke dashstyle="solid"/>
                  </v:line>
                </v:group>
              </w:pict>
            </w:r>
            <w:r>
              <w:rPr>
                <w:sz w:val="2"/>
              </w:rPr>
            </w:r>
          </w:p>
          <w:p>
            <w:pPr>
              <w:pStyle w:val="TableParagraph"/>
              <w:ind w:left="50"/>
              <w:jc w:val="left"/>
              <w:rPr>
                <w:sz w:val="16"/>
              </w:rPr>
            </w:pPr>
            <w:r>
              <w:rPr>
                <w:b/>
                <w:color w:val="231F20"/>
                <w:sz w:val="16"/>
              </w:rPr>
              <w:t>Total assets   </w:t>
            </w:r>
            <w:r>
              <w:rPr>
                <w:color w:val="231F20"/>
                <w:sz w:val="16"/>
              </w:rPr>
              <w:t>. . . . . . . . . . . . . . . . . . . . . . . . . . . . . . . . . </w:t>
            </w:r>
          </w:p>
        </w:tc>
        <w:tc>
          <w:tcPr>
            <w:tcW w:w="1393" w:type="dxa"/>
            <w:tcBorders>
              <w:top w:val="single" w:sz="4" w:space="0" w:color="231F20"/>
              <w:bottom w:val="single" w:sz="4" w:space="0" w:color="231F20"/>
            </w:tcBorders>
          </w:tcPr>
          <w:p>
            <w:pPr>
              <w:pStyle w:val="TableParagraph"/>
              <w:tabs>
                <w:tab w:pos="932" w:val="left" w:leader="none"/>
              </w:tabs>
              <w:spacing w:before="15"/>
              <w:ind w:right="98"/>
              <w:rPr>
                <w:sz w:val="16"/>
              </w:rPr>
            </w:pPr>
            <w:r>
              <w:rPr>
                <w:color w:val="231F20"/>
                <w:sz w:val="16"/>
              </w:rPr>
              <w:t>$</w:t>
              <w:tab/>
              <w:t>3,757</w:t>
            </w:r>
          </w:p>
        </w:tc>
        <w:tc>
          <w:tcPr>
            <w:tcW w:w="100" w:type="dxa"/>
          </w:tcPr>
          <w:p>
            <w:pPr/>
          </w:p>
        </w:tc>
        <w:tc>
          <w:tcPr>
            <w:tcW w:w="2700" w:type="dxa"/>
            <w:gridSpan w:val="2"/>
          </w:tcPr>
          <w:p>
            <w:pPr>
              <w:pStyle w:val="TableParagraph"/>
              <w:tabs>
                <w:tab w:pos="898" w:val="left" w:leader="none"/>
                <w:tab w:pos="2359" w:val="left" w:leader="none"/>
              </w:tabs>
              <w:spacing w:before="20"/>
              <w:ind w:left="-1"/>
              <w:jc w:val="left"/>
              <w:rPr>
                <w:sz w:val="16"/>
              </w:rPr>
            </w:pPr>
            <w:r>
              <w:rPr>
                <w:color w:val="231F20"/>
                <w:sz w:val="16"/>
              </w:rPr>
              <w:t>$</w:t>
              <w:tab/>
              <w:t>2,620   </w:t>
            </w:r>
            <w:r>
              <w:rPr>
                <w:color w:val="231F20"/>
                <w:spacing w:val="40"/>
                <w:sz w:val="16"/>
              </w:rPr>
              <w:t> </w:t>
            </w:r>
            <w:r>
              <w:rPr>
                <w:color w:val="231F20"/>
                <w:sz w:val="16"/>
              </w:rPr>
              <w:t>$</w:t>
              <w:tab/>
              <w:t>626</w:t>
            </w:r>
          </w:p>
        </w:tc>
        <w:tc>
          <w:tcPr>
            <w:tcW w:w="100" w:type="dxa"/>
          </w:tcPr>
          <w:p>
            <w:pPr/>
          </w:p>
        </w:tc>
        <w:tc>
          <w:tcPr>
            <w:tcW w:w="968" w:type="dxa"/>
            <w:tcBorders>
              <w:top w:val="single" w:sz="4" w:space="0" w:color="231F20"/>
              <w:bottom w:val="single" w:sz="4" w:space="0" w:color="231F20"/>
            </w:tcBorders>
          </w:tcPr>
          <w:p>
            <w:pPr>
              <w:pStyle w:val="TableParagraph"/>
              <w:tabs>
                <w:tab w:pos="674" w:val="left" w:leader="none"/>
              </w:tabs>
              <w:spacing w:before="15"/>
              <w:ind w:left="-1"/>
              <w:jc w:val="left"/>
              <w:rPr>
                <w:sz w:val="16"/>
              </w:rPr>
            </w:pPr>
            <w:r>
              <w:rPr>
                <w:color w:val="231F20"/>
                <w:sz w:val="16"/>
              </w:rPr>
              <w:t>$</w:t>
              <w:tab/>
              <w:t>511</w:t>
            </w:r>
          </w:p>
        </w:tc>
      </w:tr>
      <w:tr>
        <w:trPr>
          <w:trHeight w:val="223" w:hRule="exact"/>
        </w:trPr>
        <w:tc>
          <w:tcPr>
            <w:tcW w:w="3962" w:type="dxa"/>
            <w:gridSpan w:val="2"/>
          </w:tcPr>
          <w:p>
            <w:pPr>
              <w:pStyle w:val="TableParagraph"/>
              <w:spacing w:before="20"/>
              <w:ind w:left="50"/>
              <w:jc w:val="left"/>
              <w:rPr>
                <w:b/>
                <w:sz w:val="16"/>
              </w:rPr>
            </w:pPr>
            <w:r>
              <w:rPr>
                <w:b/>
                <w:color w:val="231F20"/>
                <w:sz w:val="16"/>
              </w:rPr>
              <w:t>Liabilities</w:t>
            </w:r>
          </w:p>
        </w:tc>
        <w:tc>
          <w:tcPr>
            <w:tcW w:w="1393" w:type="dxa"/>
            <w:tcBorders>
              <w:top w:val="single" w:sz="4" w:space="0" w:color="231F20"/>
            </w:tcBorders>
          </w:tcPr>
          <w:p>
            <w:pPr/>
          </w:p>
        </w:tc>
        <w:tc>
          <w:tcPr>
            <w:tcW w:w="100" w:type="dxa"/>
          </w:tcPr>
          <w:p>
            <w:pPr/>
          </w:p>
        </w:tc>
        <w:tc>
          <w:tcPr>
            <w:tcW w:w="2700" w:type="dxa"/>
            <w:gridSpan w:val="2"/>
          </w:tcPr>
          <w:p>
            <w:pPr/>
          </w:p>
        </w:tc>
        <w:tc>
          <w:tcPr>
            <w:tcW w:w="100" w:type="dxa"/>
          </w:tcPr>
          <w:p>
            <w:pPr/>
          </w:p>
        </w:tc>
        <w:tc>
          <w:tcPr>
            <w:tcW w:w="968" w:type="dxa"/>
            <w:tcBorders>
              <w:top w:val="single" w:sz="4" w:space="0" w:color="231F20"/>
            </w:tcBorders>
          </w:tcPr>
          <w:p>
            <w:pPr/>
          </w:p>
        </w:tc>
      </w:tr>
      <w:tr>
        <w:trPr>
          <w:trHeight w:val="179" w:hRule="exact"/>
        </w:trPr>
        <w:tc>
          <w:tcPr>
            <w:tcW w:w="3962" w:type="dxa"/>
            <w:gridSpan w:val="2"/>
          </w:tcPr>
          <w:p>
            <w:pPr>
              <w:pStyle w:val="TableParagraph"/>
              <w:spacing w:line="162" w:lineRule="exact"/>
              <w:ind w:left="50"/>
              <w:jc w:val="left"/>
              <w:rPr>
                <w:sz w:val="16"/>
              </w:rPr>
            </w:pPr>
            <w:r>
              <w:rPr>
                <w:color w:val="231F20"/>
                <w:sz w:val="16"/>
              </w:rPr>
              <w:t>Fuel derivatives:</w:t>
            </w: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80" w:hRule="exact"/>
        </w:trPr>
        <w:tc>
          <w:tcPr>
            <w:tcW w:w="3962" w:type="dxa"/>
            <w:gridSpan w:val="2"/>
          </w:tcPr>
          <w:p>
            <w:pPr>
              <w:pStyle w:val="TableParagraph"/>
              <w:spacing w:line="163" w:lineRule="exact"/>
              <w:ind w:left="210"/>
              <w:jc w:val="left"/>
              <w:rPr>
                <w:sz w:val="16"/>
              </w:rPr>
            </w:pPr>
            <w:r>
              <w:rPr>
                <w:color w:val="231F20"/>
                <w:sz w:val="16"/>
              </w:rPr>
              <w:t>Swap contracts (c) . . . . . . . . . . . . . . . . . . . . . . . . . . . </w:t>
            </w:r>
          </w:p>
        </w:tc>
        <w:tc>
          <w:tcPr>
            <w:tcW w:w="1393" w:type="dxa"/>
          </w:tcPr>
          <w:p>
            <w:pPr>
              <w:pStyle w:val="TableParagraph"/>
              <w:tabs>
                <w:tab w:pos="1159" w:val="left" w:leader="none"/>
              </w:tabs>
              <w:spacing w:line="163" w:lineRule="exact"/>
              <w:ind w:right="44"/>
              <w:rPr>
                <w:sz w:val="16"/>
              </w:rPr>
            </w:pPr>
            <w:r>
              <w:rPr>
                <w:color w:val="231F20"/>
                <w:sz w:val="16"/>
              </w:rPr>
              <w:t>$</w:t>
              <w:tab/>
              <w:t>(8)</w:t>
            </w:r>
          </w:p>
        </w:tc>
        <w:tc>
          <w:tcPr>
            <w:tcW w:w="100" w:type="dxa"/>
          </w:tcPr>
          <w:p>
            <w:pPr/>
          </w:p>
        </w:tc>
        <w:tc>
          <w:tcPr>
            <w:tcW w:w="2700" w:type="dxa"/>
            <w:gridSpan w:val="2"/>
          </w:tcPr>
          <w:p>
            <w:pPr>
              <w:pStyle w:val="TableParagraph"/>
              <w:tabs>
                <w:tab w:pos="1018" w:val="left" w:leader="none"/>
                <w:tab w:pos="1458" w:val="left" w:leader="none"/>
                <w:tab w:pos="2466" w:val="left" w:leader="none"/>
              </w:tabs>
              <w:spacing w:line="163" w:lineRule="exact"/>
              <w:jc w:val="left"/>
              <w:rPr>
                <w:sz w:val="16"/>
              </w:rPr>
            </w:pPr>
            <w:r>
              <w:rPr>
                <w:color w:val="231F20"/>
                <w:sz w:val="16"/>
              </w:rPr>
              <w:t>$</w:t>
              <w:tab/>
              <w:t>—</w:t>
              <w:tab/>
              <w:t>$</w:t>
              <w:tab/>
              <w:t>(8)</w:t>
            </w:r>
          </w:p>
        </w:tc>
        <w:tc>
          <w:tcPr>
            <w:tcW w:w="100" w:type="dxa"/>
          </w:tcPr>
          <w:p>
            <w:pPr/>
          </w:p>
        </w:tc>
        <w:tc>
          <w:tcPr>
            <w:tcW w:w="968" w:type="dxa"/>
          </w:tcPr>
          <w:p>
            <w:pPr>
              <w:pStyle w:val="TableParagraph"/>
              <w:tabs>
                <w:tab w:pos="674" w:val="left" w:leader="none"/>
              </w:tabs>
              <w:spacing w:line="163" w:lineRule="exact"/>
              <w:ind w:left="-1"/>
              <w:jc w:val="left"/>
              <w:rPr>
                <w:sz w:val="16"/>
              </w:rPr>
            </w:pPr>
            <w:r>
              <w:rPr>
                <w:color w:val="231F20"/>
                <w:sz w:val="16"/>
              </w:rPr>
              <w:t>$</w:t>
              <w:tab/>
              <w:t>—</w:t>
            </w:r>
          </w:p>
        </w:tc>
      </w:tr>
      <w:tr>
        <w:trPr>
          <w:trHeight w:val="180" w:hRule="exact"/>
        </w:trPr>
        <w:tc>
          <w:tcPr>
            <w:tcW w:w="3962" w:type="dxa"/>
            <w:gridSpan w:val="2"/>
          </w:tcPr>
          <w:p>
            <w:pPr>
              <w:pStyle w:val="TableParagraph"/>
              <w:spacing w:line="163" w:lineRule="exact"/>
              <w:ind w:left="210"/>
              <w:jc w:val="left"/>
              <w:rPr>
                <w:sz w:val="16"/>
              </w:rPr>
            </w:pPr>
            <w:r>
              <w:rPr>
                <w:color w:val="231F20"/>
                <w:sz w:val="16"/>
              </w:rPr>
              <w:t>Option contracts (c)   . . . . . . . . . . . . . . . . . . . . . . . . . </w:t>
            </w:r>
          </w:p>
        </w:tc>
        <w:tc>
          <w:tcPr>
            <w:tcW w:w="1393" w:type="dxa"/>
          </w:tcPr>
          <w:p>
            <w:pPr>
              <w:pStyle w:val="TableParagraph"/>
              <w:spacing w:line="163" w:lineRule="exact"/>
              <w:ind w:left="-1" w:right="44"/>
              <w:rPr>
                <w:sz w:val="16"/>
              </w:rPr>
            </w:pPr>
            <w:r>
              <w:rPr>
                <w:color w:val="231F20"/>
                <w:sz w:val="16"/>
              </w:rPr>
              <w:t>(274)</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w:t>
            </w:r>
          </w:p>
        </w:tc>
        <w:tc>
          <w:tcPr>
            <w:tcW w:w="100" w:type="dxa"/>
          </w:tcPr>
          <w:p>
            <w:pPr/>
          </w:p>
        </w:tc>
        <w:tc>
          <w:tcPr>
            <w:tcW w:w="968" w:type="dxa"/>
          </w:tcPr>
          <w:p>
            <w:pPr>
              <w:pStyle w:val="TableParagraph"/>
              <w:spacing w:line="163" w:lineRule="exact"/>
              <w:rPr>
                <w:sz w:val="16"/>
              </w:rPr>
            </w:pPr>
            <w:r>
              <w:rPr>
                <w:color w:val="231F20"/>
                <w:sz w:val="16"/>
              </w:rPr>
              <w:t>(274)</w:t>
            </w:r>
          </w:p>
        </w:tc>
      </w:tr>
      <w:tr>
        <w:trPr>
          <w:trHeight w:val="180" w:hRule="exact"/>
        </w:trPr>
        <w:tc>
          <w:tcPr>
            <w:tcW w:w="3962" w:type="dxa"/>
            <w:gridSpan w:val="2"/>
          </w:tcPr>
          <w:p>
            <w:pPr>
              <w:pStyle w:val="TableParagraph"/>
              <w:spacing w:line="163" w:lineRule="exact"/>
              <w:ind w:left="210"/>
              <w:jc w:val="left"/>
              <w:rPr>
                <w:sz w:val="16"/>
              </w:rPr>
            </w:pPr>
            <w:r>
              <w:rPr>
                <w:color w:val="231F20"/>
                <w:sz w:val="16"/>
              </w:rPr>
              <w:t>Option contracts (d)   . . . . . . . . . . . . . . . . . . . . . . . . . </w:t>
            </w:r>
          </w:p>
        </w:tc>
        <w:tc>
          <w:tcPr>
            <w:tcW w:w="1393" w:type="dxa"/>
          </w:tcPr>
          <w:p>
            <w:pPr>
              <w:pStyle w:val="TableParagraph"/>
              <w:spacing w:line="163" w:lineRule="exact"/>
              <w:ind w:left="-1" w:right="44"/>
              <w:rPr>
                <w:sz w:val="16"/>
              </w:rPr>
            </w:pPr>
            <w:r>
              <w:rPr>
                <w:color w:val="231F20"/>
                <w:sz w:val="16"/>
              </w:rPr>
              <w:t>(21)</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w:t>
            </w:r>
          </w:p>
        </w:tc>
        <w:tc>
          <w:tcPr>
            <w:tcW w:w="100" w:type="dxa"/>
          </w:tcPr>
          <w:p>
            <w:pPr/>
          </w:p>
        </w:tc>
        <w:tc>
          <w:tcPr>
            <w:tcW w:w="968" w:type="dxa"/>
          </w:tcPr>
          <w:p>
            <w:pPr>
              <w:pStyle w:val="TableParagraph"/>
              <w:spacing w:line="163" w:lineRule="exact"/>
              <w:rPr>
                <w:sz w:val="16"/>
              </w:rPr>
            </w:pPr>
            <w:r>
              <w:rPr>
                <w:color w:val="231F20"/>
                <w:sz w:val="16"/>
              </w:rPr>
              <w:t>(21)</w:t>
            </w:r>
          </w:p>
        </w:tc>
      </w:tr>
      <w:tr>
        <w:trPr>
          <w:trHeight w:val="180" w:hRule="exact"/>
        </w:trPr>
        <w:tc>
          <w:tcPr>
            <w:tcW w:w="3962" w:type="dxa"/>
            <w:gridSpan w:val="2"/>
          </w:tcPr>
          <w:p>
            <w:pPr>
              <w:pStyle w:val="TableParagraph"/>
              <w:spacing w:line="163" w:lineRule="exact"/>
              <w:ind w:left="50"/>
              <w:jc w:val="left"/>
              <w:rPr>
                <w:sz w:val="16"/>
              </w:rPr>
            </w:pPr>
            <w:r>
              <w:rPr>
                <w:color w:val="231F20"/>
                <w:sz w:val="16"/>
              </w:rPr>
              <w:t>Interest rate derivatives (see Note 10)   . . . . . . . . . . . . . </w:t>
            </w:r>
          </w:p>
        </w:tc>
        <w:tc>
          <w:tcPr>
            <w:tcW w:w="1393" w:type="dxa"/>
          </w:tcPr>
          <w:p>
            <w:pPr>
              <w:pStyle w:val="TableParagraph"/>
              <w:spacing w:line="163" w:lineRule="exact"/>
              <w:ind w:left="-1" w:right="44"/>
              <w:rPr>
                <w:sz w:val="16"/>
              </w:rPr>
            </w:pPr>
            <w:r>
              <w:rPr>
                <w:color w:val="231F20"/>
                <w:sz w:val="16"/>
              </w:rPr>
              <w:t>(77)</w:t>
            </w:r>
          </w:p>
        </w:tc>
        <w:tc>
          <w:tcPr>
            <w:tcW w:w="100" w:type="dxa"/>
          </w:tcPr>
          <w:p>
            <w:pPr/>
          </w:p>
        </w:tc>
        <w:tc>
          <w:tcPr>
            <w:tcW w:w="2700" w:type="dxa"/>
            <w:gridSpan w:val="2"/>
          </w:tcPr>
          <w:p>
            <w:pPr>
              <w:pStyle w:val="TableParagraph"/>
              <w:tabs>
                <w:tab w:pos="2386" w:val="left" w:leader="none"/>
              </w:tabs>
              <w:spacing w:line="163" w:lineRule="exact"/>
              <w:ind w:left="1019"/>
              <w:jc w:val="left"/>
              <w:rPr>
                <w:sz w:val="16"/>
              </w:rPr>
            </w:pPr>
            <w:r>
              <w:rPr>
                <w:color w:val="231F20"/>
                <w:sz w:val="16"/>
              </w:rPr>
              <w:t>—</w:t>
              <w:tab/>
              <w:t>(77)</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218" w:hRule="exact"/>
        </w:trPr>
        <w:tc>
          <w:tcPr>
            <w:tcW w:w="3962" w:type="dxa"/>
            <w:gridSpan w:val="2"/>
          </w:tcPr>
          <w:p>
            <w:pPr>
              <w:pStyle w:val="TableParagraph"/>
              <w:spacing w:line="163" w:lineRule="exact"/>
              <w:ind w:left="50"/>
              <w:jc w:val="left"/>
              <w:rPr>
                <w:sz w:val="16"/>
              </w:rPr>
            </w:pPr>
            <w:r>
              <w:rPr>
                <w:color w:val="231F20"/>
                <w:sz w:val="16"/>
              </w:rPr>
              <w:t>Deferred compensation . . . . . . . . . . . . . . . . . . . . . . . . . </w:t>
            </w:r>
          </w:p>
        </w:tc>
        <w:tc>
          <w:tcPr>
            <w:tcW w:w="1393" w:type="dxa"/>
            <w:tcBorders>
              <w:bottom w:val="single" w:sz="4" w:space="0" w:color="231F20"/>
            </w:tcBorders>
          </w:tcPr>
          <w:p>
            <w:pPr>
              <w:pStyle w:val="TableParagraph"/>
              <w:spacing w:line="163" w:lineRule="exact"/>
              <w:ind w:left="-1" w:right="44"/>
              <w:rPr>
                <w:sz w:val="16"/>
              </w:rPr>
            </w:pPr>
            <w:r>
              <w:rPr>
                <w:color w:val="231F20"/>
                <w:sz w:val="16"/>
              </w:rPr>
              <w:t>(158)</w:t>
            </w:r>
          </w:p>
        </w:tc>
        <w:tc>
          <w:tcPr>
            <w:tcW w:w="100" w:type="dxa"/>
          </w:tcPr>
          <w:p>
            <w:pPr/>
          </w:p>
        </w:tc>
        <w:tc>
          <w:tcPr>
            <w:tcW w:w="2700" w:type="dxa"/>
            <w:gridSpan w:val="2"/>
          </w:tcPr>
          <w:p>
            <w:pPr>
              <w:pStyle w:val="TableParagraph"/>
              <w:tabs>
                <w:tab w:pos="2359" w:val="left" w:leader="none"/>
              </w:tabs>
              <w:spacing w:line="163" w:lineRule="exact"/>
              <w:ind w:left="966"/>
              <w:jc w:val="left"/>
              <w:rPr>
                <w:sz w:val="16"/>
              </w:rPr>
            </w:pPr>
            <w:r>
              <w:rPr>
                <w:color w:val="231F20"/>
                <w:sz w:val="16"/>
              </w:rPr>
              <w:t>(158)</w:t>
              <w:tab/>
              <w:t>—</w:t>
            </w:r>
          </w:p>
        </w:tc>
        <w:tc>
          <w:tcPr>
            <w:tcW w:w="100" w:type="dxa"/>
          </w:tcPr>
          <w:p>
            <w:pPr/>
          </w:p>
        </w:tc>
        <w:tc>
          <w:tcPr>
            <w:tcW w:w="968" w:type="dxa"/>
            <w:tcBorders>
              <w:bottom w:val="single" w:sz="4" w:space="0" w:color="231F20"/>
            </w:tcBorders>
          </w:tcPr>
          <w:p>
            <w:pPr>
              <w:pStyle w:val="TableParagraph"/>
              <w:spacing w:line="163" w:lineRule="exact"/>
              <w:ind w:right="131"/>
              <w:rPr>
                <w:sz w:val="16"/>
              </w:rPr>
            </w:pPr>
            <w:r>
              <w:rPr>
                <w:color w:val="231F20"/>
                <w:sz w:val="16"/>
              </w:rPr>
              <w:t>—</w:t>
            </w:r>
          </w:p>
        </w:tc>
      </w:tr>
    </w:tbl>
    <w:p>
      <w:pPr>
        <w:tabs>
          <w:tab w:pos="4071" w:val="left" w:leader="none"/>
          <w:tab w:pos="5071" w:val="left" w:leader="none"/>
          <w:tab w:pos="6530" w:val="left" w:leader="none"/>
          <w:tab w:pos="7951" w:val="left" w:leader="none"/>
          <w:tab w:pos="8986" w:val="left" w:leader="none"/>
        </w:tabs>
        <w:spacing w:before="10"/>
        <w:ind w:left="160" w:right="0" w:firstLine="0"/>
        <w:jc w:val="left"/>
        <w:rPr>
          <w:sz w:val="16"/>
        </w:rPr>
      </w:pPr>
      <w:r>
        <w:rPr/>
        <w:pict>
          <v:group style="position:absolute;margin-left:264.350006pt;margin-top:11.46875pt;width:65.1500pt;height:2.5pt;mso-position-horizontal-relative:page;mso-position-vertical-relative:paragraph;z-index:7312;mso-wrap-distance-left:0;mso-wrap-distance-right:0" coordorigin="5287,229" coordsize="1303,50">
            <v:line style="position:absolute" from="5292,234" to="6585,234" stroked="true" strokeweight=".5pt" strokecolor="#231f20">
              <v:stroke dashstyle="solid"/>
            </v:line>
            <v:line style="position:absolute" from="5292,274" to="6585,274" stroked="true" strokeweight=".5pt" strokecolor="#231f20">
              <v:stroke dashstyle="solid"/>
            </v:line>
            <w10:wrap type="topAndBottom"/>
          </v:group>
        </w:pict>
      </w:r>
      <w:r>
        <w:rPr/>
        <w:pict>
          <v:group style="position:absolute;margin-left:339pt;margin-top:11.46875pt;width:63.45pt;height:2.5pt;mso-position-horizontal-relative:page;mso-position-vertical-relative:paragraph;z-index:7336;mso-wrap-distance-left:0;mso-wrap-distance-right:0" coordorigin="6780,229" coordsize="1269,50">
            <v:line style="position:absolute" from="6785,234" to="8044,234" stroked="true" strokeweight=".5pt" strokecolor="#231f20">
              <v:stroke dashstyle="solid"/>
            </v:line>
            <v:line style="position:absolute" from="6785,274" to="8044,274" stroked="true" strokeweight=".5pt" strokecolor="#231f20">
              <v:stroke dashstyle="solid"/>
            </v:line>
            <w10:wrap type="topAndBottom"/>
          </v:group>
        </w:pict>
      </w:r>
      <w:r>
        <w:rPr/>
        <w:pict>
          <v:group style="position:absolute;margin-left:411.949982pt;margin-top:11.46875pt;width:57.55pt;height:2.5pt;mso-position-horizontal-relative:page;mso-position-vertical-relative:paragraph;z-index:7360;mso-wrap-distance-left:0;mso-wrap-distance-right:0" coordorigin="8239,229" coordsize="1151,50">
            <v:line style="position:absolute" from="8244,234" to="9385,234" stroked="true" strokeweight=".5pt" strokecolor="#231f20">
              <v:stroke dashstyle="solid"/>
            </v:line>
            <v:line style="position:absolute" from="8244,274" to="9385,274" stroked="true" strokeweight=".5pt" strokecolor="#231f20">
              <v:stroke dashstyle="solid"/>
            </v:line>
            <w10:wrap type="topAndBottom"/>
          </v:group>
        </w:pict>
      </w:r>
      <w:r>
        <w:rPr/>
        <w:pict>
          <v:group style="position:absolute;margin-left:479pt;margin-top:11.46875pt;width:46.25pt;height:2.5pt;mso-position-horizontal-relative:page;mso-position-vertical-relative:paragraph;z-index:7384;mso-wrap-distance-left:0;mso-wrap-distance-right:0" coordorigin="9580,229" coordsize="925,50">
            <v:line style="position:absolute" from="9585,234" to="10500,234" stroked="true" strokeweight=".5pt" strokecolor="#231f20">
              <v:stroke dashstyle="solid"/>
            </v:line>
            <v:line style="position:absolute" from="9585,274" to="10500,274" stroked="true" strokeweight=".5pt" strokecolor="#231f20">
              <v:stroke dashstyle="solid"/>
            </v:line>
            <w10:wrap type="topAndBottom"/>
          </v:group>
        </w:pict>
      </w:r>
      <w:r>
        <w:rPr/>
        <w:pict>
          <v:line style="position:absolute;mso-position-horizontal-relative:page;mso-position-vertical-relative:paragraph;z-index:7408;mso-wrap-distance-left:0;mso-wrap-distance-right:0" from="69pt,21.71875pt" to="117pt,21.71875pt" stroked="true" strokeweight=".5pt" strokecolor="#231f20">
            <v:stroke dashstyle="solid"/>
            <w10:wrap type="topAndBottom"/>
          </v:line>
        </w:pict>
      </w:r>
      <w:r>
        <w:rPr/>
        <w:pict>
          <v:line style="position:absolute;mso-position-horizontal-relative:page;mso-position-vertical-relative:paragraph;z-index:-329368" from="339.25pt,-83.28125pt" to="402.2pt,-83.28125pt" stroked="true" strokeweight=".5pt" strokecolor="#231f20">
            <v:stroke dashstyle="solid"/>
            <w10:wrap type="none"/>
          </v:line>
        </w:pict>
      </w:r>
      <w:r>
        <w:rPr/>
        <w:pict>
          <v:line style="position:absolute;mso-position-horizontal-relative:page;mso-position-vertical-relative:paragraph;z-index:-329344" from="264.600006pt,-70.28125pt" to="329.250006pt,-70.28125pt" stroked="true" strokeweight=".5pt" strokecolor="#231f20">
            <v:stroke dashstyle="solid"/>
            <w10:wrap type="none"/>
          </v:line>
        </w:pict>
      </w:r>
      <w:r>
        <w:rPr/>
        <w:pict>
          <v:group style="position:absolute;margin-left:339pt;margin-top:-70.53125pt;width:63.45pt;height:2.5pt;mso-position-horizontal-relative:page;mso-position-vertical-relative:paragraph;z-index:-329320" coordorigin="6780,-1411" coordsize="1269,50">
            <v:line style="position:absolute" from="6785,-1406" to="8044,-1406" stroked="true" strokeweight=".5pt" strokecolor="#231f20">
              <v:stroke dashstyle="solid"/>
            </v:line>
            <v:line style="position:absolute" from="6785,-1366" to="8044,-1366" stroked="true" strokeweight=".5pt" strokecolor="#231f20">
              <v:stroke dashstyle="solid"/>
            </v:line>
            <w10:wrap type="none"/>
          </v:group>
        </w:pict>
      </w:r>
      <w:r>
        <w:rPr/>
        <w:pict>
          <v:line style="position:absolute;mso-position-horizontal-relative:page;mso-position-vertical-relative:paragraph;z-index:-329296" from="412.199982pt,-70.28125pt" to="469.249982pt,-70.28125pt" stroked="true" strokeweight=".5pt" strokecolor="#231f20">
            <v:stroke dashstyle="solid"/>
            <w10:wrap type="none"/>
          </v:line>
        </w:pict>
      </w:r>
      <w:r>
        <w:rPr/>
        <w:pict>
          <v:line style="position:absolute;mso-position-horizontal-relative:page;mso-position-vertical-relative:paragraph;z-index:-329272" from="479.25pt,-70.28125pt" to="525pt,-70.28125pt" stroked="true" strokeweight=".5pt" strokecolor="#231f20">
            <v:stroke dashstyle="solid"/>
            <w10:wrap type="none"/>
          </v:line>
        </w:pict>
      </w:r>
      <w:r>
        <w:rPr/>
        <w:pict>
          <v:line style="position:absolute;mso-position-horizontal-relative:page;mso-position-vertical-relative:paragraph;z-index:-329248" from="254.600006pt,-1.28125pt" to="254.600006pt,-1.28125pt" stroked="true" strokeweight=".5pt" strokecolor="#231f20">
            <v:stroke dashstyle="solid"/>
            <w10:wrap type="none"/>
          </v:line>
        </w:pict>
      </w:r>
      <w:r>
        <w:rPr/>
        <w:pict>
          <v:line style="position:absolute;mso-position-horizontal-relative:page;mso-position-vertical-relative:paragraph;z-index:-329224" from="339.25pt,-1.28125pt" to="402.2pt,-1.28125pt" stroked="true" strokeweight=".5pt" strokecolor="#231f20">
            <v:stroke dashstyle="solid"/>
            <w10:wrap type="none"/>
          </v:line>
        </w:pict>
      </w:r>
      <w:r>
        <w:rPr>
          <w:b/>
          <w:color w:val="231F20"/>
          <w:sz w:val="16"/>
        </w:rPr>
        <w:t>Total liabilities </w:t>
      </w:r>
      <w:r>
        <w:rPr>
          <w:color w:val="231F20"/>
          <w:sz w:val="16"/>
        </w:rPr>
        <w:t>. . . . . . . . . . . . . . . . . . . . . . . . . . . . .</w:t>
      </w:r>
      <w:r>
        <w:rPr>
          <w:color w:val="231F20"/>
          <w:spacing w:val="4"/>
          <w:sz w:val="16"/>
        </w:rPr>
        <w:t> </w:t>
      </w:r>
      <w:r>
        <w:rPr>
          <w:color w:val="231F20"/>
          <w:sz w:val="16"/>
        </w:rPr>
        <w:t>. .</w:t>
        <w:tab/>
        <w:t>$</w:t>
        <w:tab/>
        <w:t>(538)  </w:t>
      </w:r>
      <w:r>
        <w:rPr>
          <w:color w:val="231F20"/>
          <w:spacing w:val="26"/>
          <w:sz w:val="16"/>
        </w:rPr>
        <w:t> </w:t>
      </w:r>
      <w:r>
        <w:rPr>
          <w:color w:val="231F20"/>
          <w:sz w:val="16"/>
        </w:rPr>
        <w:t>$</w:t>
        <w:tab/>
        <w:t>(158)  </w:t>
      </w:r>
      <w:r>
        <w:rPr>
          <w:color w:val="231F20"/>
          <w:spacing w:val="26"/>
          <w:sz w:val="16"/>
        </w:rPr>
        <w:t> </w:t>
      </w:r>
      <w:r>
        <w:rPr>
          <w:color w:val="231F20"/>
          <w:sz w:val="16"/>
        </w:rPr>
        <w:t>$</w:t>
        <w:tab/>
        <w:t>(85)  </w:t>
      </w:r>
      <w:r>
        <w:rPr>
          <w:color w:val="231F20"/>
          <w:spacing w:val="26"/>
          <w:sz w:val="16"/>
        </w:rPr>
        <w:t> </w:t>
      </w:r>
      <w:r>
        <w:rPr>
          <w:color w:val="231F20"/>
          <w:sz w:val="16"/>
        </w:rPr>
        <w:t>$</w:t>
        <w:tab/>
        <w:t>(295)</w:t>
      </w:r>
    </w:p>
    <w:p>
      <w:pPr>
        <w:pStyle w:val="BodyText"/>
        <w:spacing w:before="1"/>
        <w:rPr>
          <w:sz w:val="7"/>
        </w:rPr>
      </w:pPr>
    </w:p>
    <w:p>
      <w:pPr>
        <w:pStyle w:val="ListParagraph"/>
        <w:numPr>
          <w:ilvl w:val="0"/>
          <w:numId w:val="16"/>
        </w:numPr>
        <w:tabs>
          <w:tab w:pos="480" w:val="left" w:leader="none"/>
        </w:tabs>
        <w:spacing w:line="240" w:lineRule="auto" w:before="21" w:after="0"/>
        <w:ind w:left="480" w:right="0" w:hanging="320"/>
        <w:jc w:val="left"/>
        <w:rPr>
          <w:sz w:val="16"/>
        </w:rPr>
      </w:pPr>
      <w:r>
        <w:rPr>
          <w:color w:val="231F20"/>
          <w:sz w:val="16"/>
        </w:rPr>
        <w:t>Cash equivalents are primarily composed of money market</w:t>
      </w:r>
      <w:r>
        <w:rPr>
          <w:color w:val="231F20"/>
          <w:spacing w:val="-11"/>
          <w:sz w:val="16"/>
        </w:rPr>
        <w:t> </w:t>
      </w:r>
      <w:r>
        <w:rPr>
          <w:color w:val="231F20"/>
          <w:sz w:val="16"/>
        </w:rPr>
        <w:t>investments.</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Noncurrent investments are included in Other assets in the Consolidated Balance</w:t>
      </w:r>
      <w:r>
        <w:rPr>
          <w:color w:val="231F20"/>
          <w:spacing w:val="-16"/>
          <w:sz w:val="16"/>
        </w:rPr>
        <w:t> </w:t>
      </w:r>
      <w:r>
        <w:rPr>
          <w:color w:val="231F20"/>
          <w:sz w:val="16"/>
        </w:rPr>
        <w:t>Sheet.</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In the Consolidated Balance Sheet amounts are presented as a net asset. See Note</w:t>
      </w:r>
      <w:r>
        <w:rPr>
          <w:color w:val="231F20"/>
          <w:spacing w:val="-15"/>
          <w:sz w:val="16"/>
        </w:rPr>
        <w:t> </w:t>
      </w:r>
      <w:r>
        <w:rPr>
          <w:color w:val="231F20"/>
          <w:sz w:val="16"/>
        </w:rPr>
        <w:t>10.</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In the Consolidated Balance Sheet amounts are presented as a net liability. See Note</w:t>
      </w:r>
      <w:r>
        <w:rPr>
          <w:color w:val="231F20"/>
          <w:spacing w:val="-16"/>
          <w:sz w:val="16"/>
        </w:rPr>
        <w:t> </w:t>
      </w:r>
      <w:r>
        <w:rPr>
          <w:color w:val="231F20"/>
          <w:sz w:val="16"/>
        </w:rPr>
        <w:t>10.</w:t>
      </w:r>
    </w:p>
    <w:p>
      <w:pPr>
        <w:spacing w:after="0" w:line="240" w:lineRule="auto"/>
        <w:jc w:val="left"/>
        <w:rPr>
          <w:sz w:val="16"/>
        </w:rPr>
        <w:sectPr>
          <w:type w:val="continuous"/>
          <w:pgSz w:w="11880" w:h="15480"/>
          <w:pgMar w:top="1200" w:bottom="280" w:left="1220" w:right="1220"/>
        </w:sectPr>
      </w:pPr>
    </w:p>
    <w:p>
      <w:pPr>
        <w:spacing w:before="70"/>
        <w:ind w:left="5623" w:right="0" w:firstLine="0"/>
        <w:jc w:val="left"/>
        <w:rPr>
          <w:b/>
          <w:sz w:val="16"/>
        </w:rPr>
      </w:pPr>
      <w:r>
        <w:rPr/>
        <w:pict>
          <v:line style="position:absolute;mso-position-horizontal-relative:page;mso-position-vertical-relative:paragraph;z-index:8008" from="332pt,14.46875pt" to="525pt,14.46875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1880" w:h="15480"/>
          <w:pgMar w:header="0" w:footer="1253" w:top="1200" w:bottom="1440" w:left="1260" w:right="1260"/>
        </w:sectPr>
      </w:pPr>
    </w:p>
    <w:p>
      <w:pPr>
        <w:pStyle w:val="BodyText"/>
        <w:rPr>
          <w:b/>
          <w:sz w:val="18"/>
        </w:rPr>
      </w:pPr>
    </w:p>
    <w:p>
      <w:pPr>
        <w:pStyle w:val="BodyText"/>
        <w:rPr>
          <w:b/>
          <w:sz w:val="18"/>
        </w:rPr>
      </w:pPr>
    </w:p>
    <w:p>
      <w:pPr>
        <w:spacing w:before="121"/>
        <w:ind w:left="120" w:right="0" w:firstLine="0"/>
        <w:jc w:val="left"/>
        <w:rPr>
          <w:b/>
          <w:sz w:val="16"/>
        </w:rPr>
      </w:pPr>
      <w:r>
        <w:rPr>
          <w:b/>
          <w:color w:val="231F20"/>
          <w:sz w:val="16"/>
        </w:rPr>
        <w:t>Description</w:t>
      </w:r>
    </w:p>
    <w:p>
      <w:pPr>
        <w:pStyle w:val="BodyText"/>
        <w:rPr>
          <w:b/>
          <w:sz w:val="18"/>
        </w:rPr>
      </w:pPr>
      <w:r>
        <w:rPr/>
        <w:br w:type="column"/>
      </w:r>
      <w:r>
        <w:rPr>
          <w:b/>
          <w:sz w:val="18"/>
        </w:rPr>
      </w:r>
    </w:p>
    <w:p>
      <w:pPr>
        <w:pStyle w:val="BodyText"/>
        <w:spacing w:before="5"/>
        <w:rPr>
          <w:b/>
          <w:sz w:val="16"/>
        </w:rPr>
      </w:pPr>
    </w:p>
    <w:p>
      <w:pPr>
        <w:spacing w:line="160" w:lineRule="exact" w:before="0"/>
        <w:ind w:left="427" w:right="-19" w:hanging="308"/>
        <w:jc w:val="left"/>
        <w:rPr>
          <w:b/>
          <w:sz w:val="16"/>
        </w:rPr>
      </w:pPr>
      <w:r>
        <w:rPr/>
        <w:pict>
          <v:group style="position:absolute;margin-left:258.5pt;margin-top:17.4pt;width:267pt;height:1pt;mso-position-horizontal-relative:page;mso-position-vertical-relative:paragraph;z-index:7984" coordorigin="5170,348" coordsize="5340,20">
            <v:line style="position:absolute" from="5180,358" to="6440,358" stroked="true" strokeweight="1pt" strokecolor="#231f20">
              <v:stroke dashstyle="solid"/>
            </v:line>
            <v:line style="position:absolute" from="6440,358" to="7899,358" stroked="true" strokeweight="1pt" strokecolor="#231f20">
              <v:stroke dashstyle="solid"/>
            </v:line>
            <v:line style="position:absolute" from="7899,358" to="9240,358" stroked="true" strokeweight="1pt" strokecolor="#231f20">
              <v:stroke dashstyle="solid"/>
            </v:line>
            <v:line style="position:absolute" from="9240,358" to="10500,358" stroked="true" strokeweight="1pt" strokecolor="#231f20">
              <v:stroke dashstyle="solid"/>
            </v:line>
            <w10:wrap type="none"/>
          </v:group>
        </w:pict>
      </w:r>
      <w:r>
        <w:rPr>
          <w:b/>
          <w:color w:val="231F20"/>
          <w:sz w:val="16"/>
        </w:rPr>
        <w:t>December 31,</w:t>
      </w:r>
      <w:r>
        <w:rPr>
          <w:b/>
          <w:color w:val="231F20"/>
          <w:w w:val="100"/>
          <w:sz w:val="16"/>
        </w:rPr>
        <w:t> </w:t>
      </w:r>
      <w:r>
        <w:rPr>
          <w:b/>
          <w:color w:val="231F20"/>
          <w:sz w:val="16"/>
        </w:rPr>
        <w:t>2012</w:t>
      </w:r>
    </w:p>
    <w:p>
      <w:pPr>
        <w:spacing w:line="160" w:lineRule="exact" w:before="76"/>
        <w:ind w:left="120" w:right="0" w:hanging="1"/>
        <w:jc w:val="center"/>
        <w:rPr>
          <w:b/>
          <w:sz w:val="16"/>
        </w:rPr>
      </w:pPr>
      <w:r>
        <w:rPr/>
        <w:br w:type="column"/>
      </w:r>
      <w:r>
        <w:rPr>
          <w:b/>
          <w:color w:val="231F20"/>
          <w:sz w:val="16"/>
        </w:rPr>
        <w:t>Quoted prices in active markets  for</w:t>
      </w:r>
      <w:r>
        <w:rPr>
          <w:b/>
          <w:color w:val="231F20"/>
          <w:spacing w:val="-1"/>
          <w:sz w:val="16"/>
        </w:rPr>
        <w:t> </w:t>
      </w:r>
      <w:r>
        <w:rPr>
          <w:b/>
          <w:color w:val="231F20"/>
          <w:sz w:val="16"/>
        </w:rPr>
        <w:t>identical</w:t>
      </w:r>
      <w:r>
        <w:rPr>
          <w:b/>
          <w:color w:val="231F20"/>
          <w:spacing w:val="-2"/>
          <w:sz w:val="16"/>
        </w:rPr>
        <w:t> </w:t>
      </w:r>
      <w:r>
        <w:rPr>
          <w:b/>
          <w:color w:val="231F20"/>
          <w:sz w:val="16"/>
        </w:rPr>
        <w:t>assets</w:t>
      </w:r>
      <w:r>
        <w:rPr>
          <w:b/>
          <w:color w:val="231F20"/>
          <w:w w:val="99"/>
          <w:sz w:val="16"/>
        </w:rPr>
        <w:t> </w:t>
      </w:r>
      <w:r>
        <w:rPr>
          <w:b/>
          <w:color w:val="231F20"/>
          <w:sz w:val="16"/>
        </w:rPr>
        <w:t>(Level</w:t>
      </w:r>
      <w:r>
        <w:rPr>
          <w:b/>
          <w:color w:val="231F20"/>
          <w:spacing w:val="-1"/>
          <w:sz w:val="16"/>
        </w:rPr>
        <w:t> </w:t>
      </w:r>
      <w:r>
        <w:rPr>
          <w:b/>
          <w:color w:val="231F20"/>
          <w:sz w:val="16"/>
        </w:rPr>
        <w:t>1)</w:t>
      </w:r>
    </w:p>
    <w:p>
      <w:pPr>
        <w:spacing w:line="160" w:lineRule="exact" w:before="76"/>
        <w:ind w:left="120"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3" w:lineRule="exact" w:before="0"/>
        <w:ind w:left="119" w:right="0" w:firstLine="0"/>
        <w:jc w:val="center"/>
        <w:rPr>
          <w:b/>
          <w:sz w:val="16"/>
        </w:rPr>
      </w:pPr>
      <w:r>
        <w:rPr>
          <w:b/>
          <w:color w:val="231F20"/>
          <w:sz w:val="16"/>
        </w:rPr>
        <w:t>(Level 2)</w:t>
      </w:r>
    </w:p>
    <w:p>
      <w:pPr>
        <w:spacing w:line="160" w:lineRule="exact" w:before="76"/>
        <w:ind w:left="120" w:right="190" w:firstLine="2"/>
        <w:jc w:val="center"/>
        <w:rPr>
          <w:b/>
          <w:sz w:val="16"/>
        </w:rPr>
      </w:pPr>
      <w:r>
        <w:rPr/>
        <w:br w:type="column"/>
      </w:r>
      <w:r>
        <w:rPr>
          <w:b/>
          <w:color w:val="231F20"/>
          <w:sz w:val="16"/>
        </w:rPr>
        <w:t>Significant unobservable</w:t>
      </w:r>
      <w:r>
        <w:rPr>
          <w:b/>
          <w:color w:val="231F20"/>
          <w:w w:val="100"/>
          <w:sz w:val="16"/>
        </w:rPr>
        <w:t> </w:t>
      </w:r>
      <w:r>
        <w:rPr>
          <w:b/>
          <w:color w:val="231F20"/>
          <w:sz w:val="16"/>
        </w:rPr>
        <w:t>inputs  (Level</w:t>
      </w:r>
      <w:r>
        <w:rPr>
          <w:b/>
          <w:color w:val="231F20"/>
          <w:spacing w:val="-1"/>
          <w:sz w:val="16"/>
        </w:rPr>
        <w:t> </w:t>
      </w:r>
      <w:r>
        <w:rPr>
          <w:b/>
          <w:color w:val="231F20"/>
          <w:sz w:val="16"/>
        </w:rPr>
        <w:t>3)</w:t>
      </w:r>
    </w:p>
    <w:p>
      <w:pPr>
        <w:spacing w:after="0" w:line="160" w:lineRule="exact"/>
        <w:jc w:val="center"/>
        <w:rPr>
          <w:sz w:val="16"/>
        </w:rPr>
        <w:sectPr>
          <w:type w:val="continuous"/>
          <w:pgSz w:w="11880" w:h="15480"/>
          <w:pgMar w:top="1200" w:bottom="280" w:left="1260" w:right="1260"/>
          <w:cols w:num="5" w:equalWidth="0">
            <w:col w:w="912" w:space="3151"/>
            <w:col w:w="1053" w:space="144"/>
            <w:col w:w="1381" w:space="78"/>
            <w:col w:w="1262" w:space="151"/>
            <w:col w:w="1228"/>
          </w:cols>
        </w:sectPr>
      </w:pPr>
    </w:p>
    <w:p>
      <w:pPr>
        <w:pStyle w:val="BodyText"/>
        <w:spacing w:before="1"/>
        <w:rPr>
          <w:b/>
          <w:sz w:val="2"/>
        </w:rPr>
      </w:pPr>
    </w:p>
    <w:p>
      <w:pPr>
        <w:pStyle w:val="BodyText"/>
        <w:spacing w:line="20" w:lineRule="exact"/>
        <w:ind w:left="110" w:right="-20"/>
        <w:rPr>
          <w:sz w:val="2"/>
        </w:rPr>
      </w:pPr>
      <w:r>
        <w:rPr>
          <w:sz w:val="2"/>
        </w:rPr>
        <w:pict>
          <v:group style="width:181pt;height:1pt;mso-position-horizontal-relative:char;mso-position-vertical-relative:line" coordorigin="0,0" coordsize="3620,20">
            <v:line style="position:absolute" from="10,10" to="3610,10" stroked="true" strokeweight="1pt" strokecolor="#231f20">
              <v:stroke dashstyle="solid"/>
            </v:line>
          </v:group>
        </w:pict>
      </w:r>
      <w:r>
        <w:rPr>
          <w:sz w:val="2"/>
        </w:rPr>
      </w:r>
    </w:p>
    <w:p>
      <w:pPr>
        <w:pStyle w:val="BodyText"/>
        <w:spacing w:before="4"/>
        <w:rPr>
          <w:b/>
          <w:sz w:val="18"/>
        </w:rPr>
      </w:pPr>
    </w:p>
    <w:p>
      <w:pPr>
        <w:spacing w:before="0"/>
        <w:ind w:left="120" w:right="0" w:firstLine="0"/>
        <w:jc w:val="left"/>
        <w:rPr>
          <w:b/>
          <w:sz w:val="16"/>
        </w:rPr>
      </w:pPr>
      <w:r>
        <w:rPr>
          <w:b/>
          <w:color w:val="231F20"/>
          <w:sz w:val="16"/>
        </w:rPr>
        <w:t>Assets</w:t>
      </w:r>
    </w:p>
    <w:p>
      <w:pPr>
        <w:spacing w:before="15"/>
        <w:ind w:left="120" w:right="0" w:firstLine="0"/>
        <w:jc w:val="left"/>
        <w:rPr>
          <w:sz w:val="16"/>
        </w:rPr>
      </w:pPr>
      <w:r>
        <w:rPr>
          <w:color w:val="231F20"/>
          <w:sz w:val="16"/>
        </w:rPr>
        <w:t>Cash equivalents  . . . . . . . . . . . . . . . . . . . . . . . . . . . . . . . </w:t>
      </w:r>
    </w:p>
    <w:p>
      <w:pPr>
        <w:spacing w:before="55"/>
        <w:ind w:left="120" w:right="0" w:firstLine="0"/>
        <w:jc w:val="left"/>
        <w:rPr>
          <w:sz w:val="16"/>
        </w:rPr>
      </w:pPr>
      <w:r>
        <w:rPr/>
        <w:br w:type="column"/>
      </w:r>
      <w:r>
        <w:rPr>
          <w:color w:val="231F20"/>
          <w:sz w:val="16"/>
        </w:rPr>
        <w:t>(in millions)</w:t>
      </w:r>
    </w:p>
    <w:p>
      <w:pPr>
        <w:spacing w:after="0"/>
        <w:jc w:val="left"/>
        <w:rPr>
          <w:sz w:val="16"/>
        </w:rPr>
        <w:sectPr>
          <w:type w:val="continuous"/>
          <w:pgSz w:w="11880" w:h="15480"/>
          <w:pgMar w:top="1200" w:bottom="280" w:left="1260" w:right="1260"/>
          <w:cols w:num="2" w:equalWidth="0">
            <w:col w:w="3761" w:space="2403"/>
            <w:col w:w="3196"/>
          </w:cols>
        </w:sectPr>
      </w:pPr>
    </w:p>
    <w:p>
      <w:pPr>
        <w:tabs>
          <w:tab w:pos="3919" w:val="left" w:leader="none"/>
          <w:tab w:pos="4739" w:val="left" w:leader="none"/>
          <w:tab w:pos="6198" w:val="left" w:leader="none"/>
          <w:tab w:pos="7539" w:val="left" w:leader="none"/>
          <w:tab w:pos="7979" w:val="left" w:leader="none"/>
          <w:tab w:pos="8799" w:val="left" w:leader="none"/>
        </w:tabs>
        <w:spacing w:before="15"/>
        <w:ind w:left="80" w:right="0" w:firstLine="0"/>
        <w:jc w:val="center"/>
        <w:rPr>
          <w:sz w:val="16"/>
        </w:rPr>
      </w:pPr>
      <w:r>
        <w:rPr>
          <w:color w:val="231F20"/>
          <w:sz w:val="16"/>
        </w:rPr>
        <w:t>Cash equivalents (a)  . . . . . . . . . . . . . . . . . . . . . . . .</w:t>
      </w:r>
      <w:r>
        <w:rPr>
          <w:color w:val="231F20"/>
          <w:spacing w:val="13"/>
          <w:sz w:val="16"/>
        </w:rPr>
        <w:t> </w:t>
      </w:r>
      <w:r>
        <w:rPr>
          <w:color w:val="231F20"/>
          <w:sz w:val="16"/>
        </w:rPr>
        <w:t>. .</w:t>
        <w:tab/>
        <w:t>$</w:t>
        <w:tab/>
        <w:t>829     $</w:t>
        <w:tab/>
        <w:t>829     $</w:t>
        <w:tab/>
        <w:t>—</w:t>
        <w:tab/>
        <w:t>$</w:t>
        <w:tab/>
        <w:t>—</w:t>
      </w:r>
    </w:p>
    <w:p>
      <w:pPr>
        <w:tabs>
          <w:tab w:pos="4739" w:val="left" w:leader="none"/>
          <w:tab w:pos="6198" w:val="left" w:leader="none"/>
          <w:tab w:pos="7539" w:val="left" w:leader="none"/>
          <w:tab w:pos="8799" w:val="left" w:leader="none"/>
        </w:tabs>
        <w:spacing w:before="15"/>
        <w:ind w:left="80" w:right="0" w:firstLine="0"/>
        <w:jc w:val="center"/>
        <w:rPr>
          <w:sz w:val="16"/>
        </w:rPr>
      </w:pPr>
      <w:r>
        <w:rPr>
          <w:color w:val="231F20"/>
          <w:sz w:val="16"/>
        </w:rPr>
        <w:t>Commercial paper . . . . . . . . . . . . . . . . . . . . . . . . . .</w:t>
      </w:r>
      <w:r>
        <w:rPr>
          <w:color w:val="231F20"/>
          <w:spacing w:val="12"/>
          <w:sz w:val="16"/>
        </w:rPr>
        <w:t> </w:t>
      </w:r>
      <w:r>
        <w:rPr>
          <w:color w:val="231F20"/>
          <w:sz w:val="16"/>
        </w:rPr>
        <w:t>. .</w:t>
        <w:tab/>
        <w:t>170</w:t>
        <w:tab/>
        <w:t>—</w:t>
        <w:tab/>
        <w:t>170</w:t>
        <w:tab/>
        <w:t>—</w:t>
      </w:r>
    </w:p>
    <w:p>
      <w:pPr>
        <w:tabs>
          <w:tab w:pos="4819" w:val="left" w:leader="none"/>
          <w:tab w:pos="6198" w:val="left" w:leader="none"/>
          <w:tab w:pos="7619" w:val="left" w:leader="none"/>
          <w:tab w:pos="8799" w:val="left" w:leader="none"/>
        </w:tabs>
        <w:spacing w:before="15"/>
        <w:ind w:left="80" w:right="0" w:firstLine="0"/>
        <w:jc w:val="center"/>
        <w:rPr>
          <w:sz w:val="16"/>
        </w:rPr>
      </w:pPr>
      <w:r>
        <w:rPr>
          <w:color w:val="231F20"/>
          <w:sz w:val="16"/>
        </w:rPr>
        <w:t>Certificates of deposit  . . . . . . . . . . . . . . . . . . . . . . .</w:t>
      </w:r>
      <w:r>
        <w:rPr>
          <w:color w:val="231F20"/>
          <w:spacing w:val="-15"/>
          <w:sz w:val="16"/>
        </w:rPr>
        <w:t> </w:t>
      </w:r>
      <w:r>
        <w:rPr>
          <w:color w:val="231F20"/>
          <w:sz w:val="16"/>
        </w:rPr>
        <w:t>. .</w:t>
        <w:tab/>
        <w:t>34</w:t>
        <w:tab/>
        <w:t>—</w:t>
        <w:tab/>
        <w:t>34</w:t>
        <w:tab/>
        <w:t>—</w:t>
      </w:r>
    </w:p>
    <w:p>
      <w:pPr>
        <w:tabs>
          <w:tab w:pos="5019" w:val="left" w:leader="none"/>
          <w:tab w:pos="6398" w:val="left" w:leader="none"/>
          <w:tab w:pos="7819" w:val="left" w:leader="none"/>
          <w:tab w:pos="8999" w:val="left" w:leader="none"/>
        </w:tabs>
        <w:spacing w:line="261" w:lineRule="auto" w:before="15"/>
        <w:ind w:left="120" w:right="199" w:firstLine="160"/>
        <w:jc w:val="left"/>
        <w:rPr>
          <w:sz w:val="16"/>
        </w:rPr>
      </w:pPr>
      <w:r>
        <w:rPr>
          <w:color w:val="231F20"/>
          <w:sz w:val="16"/>
        </w:rPr>
        <w:t>Eurodollar Time Deposits  . . . . . . . . . . . . . . . . . . . .</w:t>
      </w:r>
      <w:r>
        <w:rPr>
          <w:color w:val="231F20"/>
          <w:spacing w:val="-23"/>
          <w:sz w:val="16"/>
        </w:rPr>
        <w:t> </w:t>
      </w:r>
      <w:r>
        <w:rPr>
          <w:color w:val="231F20"/>
          <w:sz w:val="16"/>
        </w:rPr>
        <w:t>. .</w:t>
        <w:tab/>
        <w:t>80</w:t>
        <w:tab/>
        <w:t>—</w:t>
        <w:tab/>
        <w:t>80</w:t>
        <w:tab/>
        <w:t>— Short-term</w:t>
      </w:r>
      <w:r>
        <w:rPr>
          <w:color w:val="231F20"/>
          <w:spacing w:val="-3"/>
          <w:sz w:val="16"/>
        </w:rPr>
        <w:t> </w:t>
      </w:r>
      <w:r>
        <w:rPr>
          <w:color w:val="231F20"/>
          <w:sz w:val="16"/>
        </w:rPr>
        <w:t>investments:</w:t>
      </w:r>
    </w:p>
    <w:p>
      <w:pPr>
        <w:tabs>
          <w:tab w:pos="4619" w:val="left" w:leader="none"/>
          <w:tab w:pos="6078" w:val="left" w:leader="none"/>
          <w:tab w:pos="7539" w:val="left" w:leader="none"/>
          <w:tab w:pos="8799" w:val="left" w:leader="none"/>
        </w:tabs>
        <w:spacing w:before="0"/>
        <w:ind w:left="80" w:right="0" w:firstLine="0"/>
        <w:jc w:val="center"/>
        <w:rPr>
          <w:sz w:val="16"/>
        </w:rPr>
      </w:pPr>
      <w:r>
        <w:rPr>
          <w:color w:val="231F20"/>
          <w:sz w:val="16"/>
        </w:rPr>
        <w:t>Treasury bills   . . . . . . . . . . . . . . . . . . . . . . . . . . . . .</w:t>
      </w:r>
      <w:r>
        <w:rPr>
          <w:color w:val="231F20"/>
          <w:spacing w:val="-5"/>
          <w:sz w:val="16"/>
        </w:rPr>
        <w:t> </w:t>
      </w:r>
      <w:r>
        <w:rPr>
          <w:color w:val="231F20"/>
          <w:sz w:val="16"/>
        </w:rPr>
        <w:t>. .</w:t>
        <w:tab/>
        <w:t>1,624</w:t>
        <w:tab/>
        <w:t>1,624</w:t>
        <w:tab/>
        <w:t>—</w:t>
        <w:tab/>
        <w:t>—</w:t>
      </w:r>
    </w:p>
    <w:p>
      <w:pPr>
        <w:tabs>
          <w:tab w:pos="4739" w:val="left" w:leader="none"/>
          <w:tab w:pos="6198" w:val="left" w:leader="none"/>
          <w:tab w:pos="7539" w:val="left" w:leader="none"/>
          <w:tab w:pos="8799" w:val="left" w:leader="none"/>
        </w:tabs>
        <w:spacing w:before="16"/>
        <w:ind w:left="80" w:right="0" w:firstLine="0"/>
        <w:jc w:val="center"/>
        <w:rPr>
          <w:sz w:val="16"/>
        </w:rPr>
      </w:pPr>
      <w:r>
        <w:rPr>
          <w:color w:val="231F20"/>
          <w:sz w:val="16"/>
        </w:rPr>
        <w:t>Certificates of deposit  . . . . . . . . . . . . . . . . . . . . . . .</w:t>
      </w:r>
      <w:r>
        <w:rPr>
          <w:color w:val="231F20"/>
          <w:spacing w:val="-15"/>
          <w:sz w:val="16"/>
        </w:rPr>
        <w:t> </w:t>
      </w:r>
      <w:r>
        <w:rPr>
          <w:color w:val="231F20"/>
          <w:sz w:val="16"/>
        </w:rPr>
        <w:t>. .</w:t>
        <w:tab/>
        <w:t>233</w:t>
        <w:tab/>
        <w:t>—</w:t>
        <w:tab/>
        <w:t>233</w:t>
        <w:tab/>
        <w:t>—</w:t>
      </w:r>
    </w:p>
    <w:p>
      <w:pPr>
        <w:spacing w:before="15"/>
        <w:ind w:left="120" w:right="0" w:firstLine="0"/>
        <w:jc w:val="left"/>
        <w:rPr>
          <w:sz w:val="16"/>
        </w:rPr>
      </w:pPr>
      <w:r>
        <w:rPr>
          <w:color w:val="231F20"/>
          <w:sz w:val="16"/>
        </w:rPr>
        <w:t>Noncurrent investments (b) . . . . . . . . . . . . . . . . . . . . . . . </w:t>
      </w:r>
    </w:p>
    <w:p>
      <w:pPr>
        <w:tabs>
          <w:tab w:pos="5019" w:val="left" w:leader="none"/>
          <w:tab w:pos="6398" w:val="left" w:leader="none"/>
          <w:tab w:pos="7739" w:val="left" w:leader="none"/>
          <w:tab w:pos="9239" w:val="right" w:leader="none"/>
        </w:tabs>
        <w:spacing w:before="15"/>
        <w:ind w:left="280" w:right="0" w:firstLine="0"/>
        <w:jc w:val="left"/>
        <w:rPr>
          <w:sz w:val="16"/>
        </w:rPr>
      </w:pPr>
      <w:r>
        <w:rPr>
          <w:color w:val="231F20"/>
          <w:sz w:val="16"/>
        </w:rPr>
        <w:t>Auction rate securities . . . . . . . . . . . . . . . . . . . . . . .</w:t>
      </w:r>
      <w:r>
        <w:rPr>
          <w:color w:val="231F20"/>
          <w:spacing w:val="-1"/>
          <w:sz w:val="16"/>
        </w:rPr>
        <w:t> </w:t>
      </w:r>
      <w:r>
        <w:rPr>
          <w:color w:val="231F20"/>
          <w:sz w:val="16"/>
        </w:rPr>
        <w:t>. .</w:t>
        <w:tab/>
        <w:t>36</w:t>
        <w:tab/>
        <w:t>—</w:t>
        <w:tab/>
        <w:t>—</w:t>
        <w:tab/>
        <w:t>36</w:t>
      </w:r>
    </w:p>
    <w:p>
      <w:pPr>
        <w:tabs>
          <w:tab w:pos="5019" w:val="left" w:leader="none"/>
          <w:tab w:pos="6398" w:val="left" w:leader="none"/>
          <w:tab w:pos="7819" w:val="left" w:leader="none"/>
          <w:tab w:pos="8999" w:val="left" w:leader="none"/>
        </w:tabs>
        <w:spacing w:line="261" w:lineRule="auto" w:before="15"/>
        <w:ind w:left="120" w:right="199" w:firstLine="0"/>
        <w:jc w:val="left"/>
        <w:rPr>
          <w:sz w:val="16"/>
        </w:rPr>
      </w:pPr>
      <w:r>
        <w:rPr>
          <w:color w:val="231F20"/>
          <w:sz w:val="16"/>
        </w:rPr>
        <w:t>Interest rate derivatives (see Note 10) . . . . . . . . . . . . .</w:t>
      </w:r>
      <w:r>
        <w:rPr>
          <w:color w:val="231F20"/>
          <w:spacing w:val="-6"/>
          <w:sz w:val="16"/>
        </w:rPr>
        <w:t> </w:t>
      </w:r>
      <w:r>
        <w:rPr>
          <w:color w:val="231F20"/>
          <w:sz w:val="16"/>
        </w:rPr>
        <w:t>. .</w:t>
        <w:tab/>
        <w:t>31</w:t>
        <w:tab/>
        <w:t>—</w:t>
        <w:tab/>
        <w:t>31</w:t>
        <w:tab/>
        <w:t>— Fuel</w:t>
      </w:r>
      <w:r>
        <w:rPr>
          <w:color w:val="231F20"/>
          <w:spacing w:val="-1"/>
          <w:sz w:val="16"/>
        </w:rPr>
        <w:t> </w:t>
      </w:r>
      <w:r>
        <w:rPr>
          <w:color w:val="231F20"/>
          <w:sz w:val="16"/>
        </w:rPr>
        <w:t>derivatives:</w:t>
      </w:r>
    </w:p>
    <w:p>
      <w:pPr>
        <w:tabs>
          <w:tab w:pos="4739" w:val="left" w:leader="none"/>
          <w:tab w:pos="6198" w:val="left" w:leader="none"/>
          <w:tab w:pos="7539" w:val="left" w:leader="none"/>
          <w:tab w:pos="8799" w:val="left" w:leader="none"/>
        </w:tabs>
        <w:spacing w:before="0"/>
        <w:ind w:left="80" w:right="0" w:firstLine="0"/>
        <w:jc w:val="center"/>
        <w:rPr>
          <w:sz w:val="16"/>
        </w:rPr>
      </w:pPr>
      <w:r>
        <w:rPr>
          <w:color w:val="231F20"/>
          <w:sz w:val="16"/>
        </w:rPr>
        <w:t>Swap contracts (c) . . . . . . . . . . . . . . . . . . . . . . . . . .</w:t>
      </w:r>
      <w:r>
        <w:rPr>
          <w:color w:val="231F20"/>
          <w:spacing w:val="8"/>
          <w:sz w:val="16"/>
        </w:rPr>
        <w:t> </w:t>
      </w:r>
      <w:r>
        <w:rPr>
          <w:color w:val="231F20"/>
          <w:sz w:val="16"/>
        </w:rPr>
        <w:t>. .</w:t>
        <w:tab/>
        <w:t>113</w:t>
        <w:tab/>
        <w:t>—</w:t>
        <w:tab/>
        <w:t>113</w:t>
        <w:tab/>
        <w:t>—</w:t>
      </w:r>
    </w:p>
    <w:p>
      <w:pPr>
        <w:tabs>
          <w:tab w:pos="4939" w:val="left" w:leader="none"/>
          <w:tab w:pos="6398" w:val="left" w:leader="none"/>
          <w:tab w:pos="7739" w:val="left" w:leader="none"/>
          <w:tab w:pos="9239" w:val="right" w:leader="none"/>
        </w:tabs>
        <w:spacing w:before="16"/>
        <w:ind w:left="280" w:right="0" w:firstLine="0"/>
        <w:jc w:val="left"/>
        <w:rPr>
          <w:sz w:val="16"/>
        </w:rPr>
      </w:pPr>
      <w:r>
        <w:rPr>
          <w:color w:val="231F20"/>
          <w:sz w:val="16"/>
        </w:rPr>
        <w:t>Option contracts (c) . . . . . . . . . . . . . . . . . . . . . . . . .</w:t>
      </w:r>
      <w:r>
        <w:rPr>
          <w:color w:val="231F20"/>
          <w:spacing w:val="-1"/>
          <w:sz w:val="16"/>
        </w:rPr>
        <w:t> </w:t>
      </w:r>
      <w:r>
        <w:rPr>
          <w:color w:val="231F20"/>
          <w:sz w:val="16"/>
        </w:rPr>
        <w:t>. .</w:t>
        <w:tab/>
        <w:t>850</w:t>
        <w:tab/>
        <w:t>—</w:t>
        <w:tab/>
        <w:t>—</w:t>
        <w:tab/>
        <w:t>850</w:t>
      </w:r>
    </w:p>
    <w:p>
      <w:pPr>
        <w:tabs>
          <w:tab w:pos="5019" w:val="left" w:leader="none"/>
          <w:tab w:pos="6398" w:val="left" w:leader="none"/>
          <w:tab w:pos="7739" w:val="left" w:leader="none"/>
          <w:tab w:pos="9239" w:val="right" w:leader="none"/>
        </w:tabs>
        <w:spacing w:before="15"/>
        <w:ind w:left="280" w:right="0" w:firstLine="0"/>
        <w:jc w:val="left"/>
        <w:rPr>
          <w:sz w:val="16"/>
        </w:rPr>
      </w:pPr>
      <w:r>
        <w:rPr>
          <w:color w:val="231F20"/>
          <w:sz w:val="16"/>
        </w:rPr>
        <w:t>Option contracts (d)   . . . . . . . . . . . . . . . . . . . . . . . .</w:t>
      </w:r>
      <w:r>
        <w:rPr>
          <w:color w:val="231F20"/>
          <w:spacing w:val="-10"/>
          <w:sz w:val="16"/>
        </w:rPr>
        <w:t> </w:t>
      </w:r>
      <w:r>
        <w:rPr>
          <w:color w:val="231F20"/>
          <w:sz w:val="16"/>
        </w:rPr>
        <w:t>. .</w:t>
        <w:tab/>
        <w:t>10</w:t>
        <w:tab/>
        <w:t>—</w:t>
        <w:tab/>
        <w:t>—</w:t>
        <w:tab/>
        <w:t>10</w:t>
      </w:r>
    </w:p>
    <w:p>
      <w:pPr>
        <w:tabs>
          <w:tab w:pos="4899" w:val="left" w:leader="none"/>
          <w:tab w:pos="6358" w:val="left" w:leader="none"/>
          <w:tab w:pos="7619" w:val="left" w:leader="none"/>
          <w:tab w:pos="9119" w:val="right" w:leader="none"/>
        </w:tabs>
        <w:spacing w:before="15"/>
        <w:ind w:left="0" w:right="0" w:firstLine="0"/>
        <w:jc w:val="center"/>
        <w:rPr>
          <w:sz w:val="16"/>
        </w:rPr>
      </w:pPr>
      <w:r>
        <w:rPr/>
        <w:pict>
          <v:line style="position:absolute;mso-position-horizontal-relative:page;mso-position-vertical-relative:paragraph;z-index:8032" from="269pt,11.96875pt" to="322pt,11.96875pt" stroked="true" strokeweight=".5pt" strokecolor="#231f20">
            <v:stroke dashstyle="solid"/>
            <w10:wrap type="none"/>
          </v:line>
        </w:pict>
      </w:r>
      <w:r>
        <w:rPr/>
        <w:pict>
          <v:line style="position:absolute;mso-position-horizontal-relative:page;mso-position-vertical-relative:paragraph;z-index:8056" from="332pt,11.96875pt" to="394.95pt,11.96875pt" stroked="true" strokeweight=".5pt" strokecolor="#231f20">
            <v:stroke dashstyle="solid"/>
            <w10:wrap type="none"/>
          </v:line>
        </w:pict>
      </w:r>
      <w:r>
        <w:rPr/>
        <w:pict>
          <v:line style="position:absolute;mso-position-horizontal-relative:page;mso-position-vertical-relative:paragraph;z-index:8080" from="404.949982pt,11.96875pt" to="461.999982pt,11.96875pt" stroked="true" strokeweight=".5pt" strokecolor="#231f20">
            <v:stroke dashstyle="solid"/>
            <w10:wrap type="none"/>
          </v:line>
        </w:pict>
      </w:r>
      <w:r>
        <w:rPr/>
        <w:pict>
          <v:line style="position:absolute;mso-position-horizontal-relative:page;mso-position-vertical-relative:paragraph;z-index:8104" from="472pt,11.96875pt" to="525pt,11.96875pt" stroked="true" strokeweight=".5pt" strokecolor="#231f20">
            <v:stroke dashstyle="solid"/>
            <w10:wrap type="none"/>
          </v:line>
        </w:pict>
      </w:r>
      <w:r>
        <w:rPr>
          <w:color w:val="231F20"/>
          <w:sz w:val="16"/>
        </w:rPr>
        <w:t>Other available-for-sale securities   . . . . . . . . . . . . . . .</w:t>
      </w:r>
      <w:r>
        <w:rPr>
          <w:color w:val="231F20"/>
          <w:spacing w:val="-10"/>
          <w:sz w:val="16"/>
        </w:rPr>
        <w:t> </w:t>
      </w:r>
      <w:r>
        <w:rPr>
          <w:color w:val="231F20"/>
          <w:sz w:val="16"/>
        </w:rPr>
        <w:t>. .</w:t>
        <w:tab/>
        <w:t>49</w:t>
        <w:tab/>
        <w:t>44</w:t>
        <w:tab/>
        <w:t>—</w:t>
        <w:tab/>
        <w:t>5</w:t>
      </w:r>
    </w:p>
    <w:p>
      <w:pPr>
        <w:tabs>
          <w:tab w:pos="3999" w:val="left" w:leader="none"/>
          <w:tab w:pos="4699" w:val="left" w:leader="none"/>
          <w:tab w:pos="6158" w:val="left" w:leader="none"/>
          <w:tab w:pos="7619" w:val="left" w:leader="none"/>
          <w:tab w:pos="9119" w:val="right" w:leader="none"/>
        </w:tabs>
        <w:spacing w:before="95"/>
        <w:ind w:left="0" w:right="0" w:firstLine="0"/>
        <w:jc w:val="center"/>
        <w:rPr>
          <w:sz w:val="16"/>
        </w:rPr>
      </w:pPr>
      <w:r>
        <w:rPr/>
        <w:pict>
          <v:group style="position:absolute;margin-left:268.75pt;margin-top:15.71875pt;width:53.5pt;height:2.5pt;mso-position-horizontal-relative:page;mso-position-vertical-relative:paragraph;z-index:7672;mso-wrap-distance-left:0;mso-wrap-distance-right:0" coordorigin="5375,314" coordsize="1070,50">
            <v:line style="position:absolute" from="5380,319" to="6440,319" stroked="true" strokeweight=".5pt" strokecolor="#231f20">
              <v:stroke dashstyle="solid"/>
            </v:line>
            <v:line style="position:absolute" from="5380,359" to="6440,359" stroked="true" strokeweight=".5pt" strokecolor="#231f20">
              <v:stroke dashstyle="solid"/>
            </v:line>
            <w10:wrap type="topAndBottom"/>
          </v:group>
        </w:pict>
      </w:r>
      <w:r>
        <w:rPr/>
        <w:pict>
          <v:group style="position:absolute;margin-left:331.75pt;margin-top:15.71875pt;width:63.45pt;height:2.5pt;mso-position-horizontal-relative:page;mso-position-vertical-relative:paragraph;z-index:7696;mso-wrap-distance-left:0;mso-wrap-distance-right:0" coordorigin="6635,314" coordsize="1269,50">
            <v:line style="position:absolute" from="6640,319" to="7899,319" stroked="true" strokeweight=".5pt" strokecolor="#231f20">
              <v:stroke dashstyle="solid"/>
            </v:line>
            <v:line style="position:absolute" from="6640,359" to="7899,359" stroked="true" strokeweight=".5pt" strokecolor="#231f20">
              <v:stroke dashstyle="solid"/>
            </v:line>
            <w10:wrap type="topAndBottom"/>
          </v:group>
        </w:pict>
      </w:r>
      <w:r>
        <w:rPr/>
        <w:pict>
          <v:group style="position:absolute;margin-left:404.699982pt;margin-top:15.71875pt;width:57.55pt;height:2.5pt;mso-position-horizontal-relative:page;mso-position-vertical-relative:paragraph;z-index:7720;mso-wrap-distance-left:0;mso-wrap-distance-right:0" coordorigin="8094,314" coordsize="1151,50">
            <v:line style="position:absolute" from="8099,319" to="9240,319" stroked="true" strokeweight=".5pt" strokecolor="#231f20">
              <v:stroke dashstyle="solid"/>
            </v:line>
            <v:line style="position:absolute" from="8099,359" to="9240,359" stroked="true" strokeweight=".5pt" strokecolor="#231f20">
              <v:stroke dashstyle="solid"/>
            </v:line>
            <w10:wrap type="topAndBottom"/>
          </v:group>
        </w:pict>
      </w:r>
      <w:r>
        <w:rPr/>
        <w:pict>
          <v:group style="position:absolute;margin-left:471.75pt;margin-top:15.71875pt;width:53.5pt;height:2.5pt;mso-position-horizontal-relative:page;mso-position-vertical-relative:paragraph;z-index:7744;mso-wrap-distance-left:0;mso-wrap-distance-right:0" coordorigin="9435,314" coordsize="1070,50">
            <v:line style="position:absolute" from="9440,319" to="10500,319" stroked="true" strokeweight=".5pt" strokecolor="#231f20">
              <v:stroke dashstyle="solid"/>
            </v:line>
            <v:line style="position:absolute" from="9440,359" to="10500,359" stroked="true" strokeweight=".5pt" strokecolor="#231f20">
              <v:stroke dashstyle="solid"/>
            </v:line>
            <w10:wrap type="topAndBottom"/>
          </v:group>
        </w:pict>
      </w:r>
      <w:r>
        <w:rPr>
          <w:b/>
          <w:color w:val="231F20"/>
          <w:sz w:val="16"/>
        </w:rPr>
        <w:t>Total</w:t>
      </w:r>
      <w:r>
        <w:rPr>
          <w:b/>
          <w:color w:val="231F20"/>
          <w:spacing w:val="-1"/>
          <w:sz w:val="16"/>
        </w:rPr>
        <w:t> </w:t>
      </w:r>
      <w:r>
        <w:rPr>
          <w:b/>
          <w:color w:val="231F20"/>
          <w:sz w:val="16"/>
        </w:rPr>
        <w:t>assets</w:t>
        <w:tab/>
      </w:r>
      <w:r>
        <w:rPr>
          <w:color w:val="231F20"/>
          <w:sz w:val="16"/>
        </w:rPr>
        <w:t>$</w:t>
        <w:tab/>
        <w:t>4,059     $</w:t>
        <w:tab/>
        <w:t>2,497     $</w:t>
        <w:tab/>
        <w:t>661     $</w:t>
        <w:tab/>
        <w:t>901</w:t>
      </w:r>
    </w:p>
    <w:p>
      <w:pPr>
        <w:spacing w:before="21"/>
        <w:ind w:left="120" w:right="0" w:firstLine="0"/>
        <w:jc w:val="left"/>
        <w:rPr>
          <w:b/>
          <w:sz w:val="16"/>
        </w:rPr>
      </w:pPr>
      <w:r>
        <w:rPr>
          <w:b/>
          <w:color w:val="231F20"/>
          <w:sz w:val="16"/>
        </w:rPr>
        <w:t>Liabilities</w:t>
      </w:r>
    </w:p>
    <w:p>
      <w:pPr>
        <w:spacing w:before="15"/>
        <w:ind w:left="120" w:right="0" w:firstLine="0"/>
        <w:jc w:val="left"/>
        <w:rPr>
          <w:sz w:val="16"/>
        </w:rPr>
      </w:pPr>
      <w:r>
        <w:rPr>
          <w:color w:val="231F20"/>
          <w:sz w:val="16"/>
        </w:rPr>
        <w:t>Fuel derivatives:</w:t>
      </w:r>
    </w:p>
    <w:p>
      <w:pPr>
        <w:tabs>
          <w:tab w:pos="3919" w:val="left" w:leader="none"/>
          <w:tab w:pos="4713" w:val="left" w:leader="none"/>
          <w:tab w:pos="6198" w:val="left" w:leader="none"/>
          <w:tab w:pos="6638" w:val="left" w:leader="none"/>
          <w:tab w:pos="7513" w:val="left" w:leader="none"/>
          <w:tab w:pos="8799" w:val="left" w:leader="none"/>
        </w:tabs>
        <w:spacing w:before="15"/>
        <w:ind w:left="79" w:right="0" w:firstLine="0"/>
        <w:jc w:val="center"/>
        <w:rPr>
          <w:sz w:val="16"/>
        </w:rPr>
      </w:pPr>
      <w:r>
        <w:rPr>
          <w:color w:val="231F20"/>
          <w:sz w:val="16"/>
        </w:rPr>
        <w:t>Swap contracts (c) . . . . . . . . . . . . . . . . . . . . . . . . . .</w:t>
      </w:r>
      <w:r>
        <w:rPr>
          <w:color w:val="231F20"/>
          <w:spacing w:val="8"/>
          <w:sz w:val="16"/>
        </w:rPr>
        <w:t> </w:t>
      </w:r>
      <w:r>
        <w:rPr>
          <w:color w:val="231F20"/>
          <w:sz w:val="16"/>
        </w:rPr>
        <w:t>. .</w:t>
        <w:tab/>
        <w:t>$</w:t>
        <w:tab/>
        <w:t>(57)   </w:t>
      </w:r>
      <w:r>
        <w:rPr>
          <w:color w:val="231F20"/>
          <w:spacing w:val="39"/>
          <w:sz w:val="16"/>
        </w:rPr>
        <w:t> </w:t>
      </w:r>
      <w:r>
        <w:rPr>
          <w:color w:val="231F20"/>
          <w:sz w:val="16"/>
        </w:rPr>
        <w:t>$</w:t>
        <w:tab/>
        <w:t>—</w:t>
        <w:tab/>
        <w:t>$</w:t>
        <w:tab/>
        <w:t>(57)   </w:t>
      </w:r>
      <w:r>
        <w:rPr>
          <w:color w:val="231F20"/>
          <w:spacing w:val="39"/>
          <w:sz w:val="16"/>
        </w:rPr>
        <w:t> </w:t>
      </w:r>
      <w:r>
        <w:rPr>
          <w:color w:val="231F20"/>
          <w:sz w:val="16"/>
        </w:rPr>
        <w:t>$</w:t>
        <w:tab/>
        <w:t>—</w:t>
      </w:r>
    </w:p>
    <w:p>
      <w:pPr>
        <w:tabs>
          <w:tab w:pos="4714" w:val="left" w:leader="none"/>
          <w:tab w:pos="6279" w:val="left" w:leader="none"/>
          <w:tab w:pos="7620" w:val="left" w:leader="none"/>
          <w:tab w:pos="8774" w:val="left" w:leader="none"/>
        </w:tabs>
        <w:spacing w:before="15"/>
        <w:ind w:left="160" w:right="0" w:firstLine="0"/>
        <w:jc w:val="center"/>
        <w:rPr>
          <w:sz w:val="16"/>
        </w:rPr>
      </w:pPr>
      <w:r>
        <w:rPr>
          <w:color w:val="231F20"/>
          <w:sz w:val="16"/>
        </w:rPr>
        <w:t>Option contracts (c) . . . . . . . . . . . . . . . . . . . . . . . . .</w:t>
      </w:r>
      <w:r>
        <w:rPr>
          <w:color w:val="231F20"/>
          <w:spacing w:val="-1"/>
          <w:sz w:val="16"/>
        </w:rPr>
        <w:t> </w:t>
      </w:r>
      <w:r>
        <w:rPr>
          <w:color w:val="231F20"/>
          <w:sz w:val="16"/>
        </w:rPr>
        <w:t>. .</w:t>
        <w:tab/>
        <w:t>(637)</w:t>
        <w:tab/>
        <w:t>—</w:t>
        <w:tab/>
        <w:t>—</w:t>
        <w:tab/>
        <w:t>(637)</w:t>
      </w:r>
    </w:p>
    <w:p>
      <w:pPr>
        <w:tabs>
          <w:tab w:pos="4713" w:val="left" w:leader="none"/>
          <w:tab w:pos="6198" w:val="left" w:leader="none"/>
          <w:tab w:pos="7513" w:val="left" w:leader="none"/>
          <w:tab w:pos="8798" w:val="left" w:leader="none"/>
        </w:tabs>
        <w:spacing w:before="15"/>
        <w:ind w:left="79" w:right="0" w:firstLine="0"/>
        <w:jc w:val="center"/>
        <w:rPr>
          <w:sz w:val="16"/>
        </w:rPr>
      </w:pPr>
      <w:r>
        <w:rPr>
          <w:color w:val="231F20"/>
          <w:sz w:val="16"/>
        </w:rPr>
        <w:t>Swap contracts (d) . . . . . . . . . . . . . . . . . . . . . . . . . .</w:t>
      </w:r>
      <w:r>
        <w:rPr>
          <w:color w:val="231F20"/>
          <w:spacing w:val="-1"/>
          <w:sz w:val="16"/>
        </w:rPr>
        <w:t> </w:t>
      </w:r>
      <w:r>
        <w:rPr>
          <w:color w:val="231F20"/>
          <w:sz w:val="16"/>
        </w:rPr>
        <w:t>. .</w:t>
        <w:tab/>
        <w:t>(56)</w:t>
        <w:tab/>
        <w:t>—</w:t>
        <w:tab/>
        <w:t>(56)</w:t>
        <w:tab/>
        <w:t>—</w:t>
      </w:r>
    </w:p>
    <w:p>
      <w:pPr>
        <w:tabs>
          <w:tab w:pos="4873" w:val="left" w:leader="none"/>
          <w:tab w:pos="6278" w:val="left" w:leader="none"/>
          <w:tab w:pos="7619" w:val="left" w:leader="none"/>
          <w:tab w:pos="8933" w:val="left" w:leader="none"/>
        </w:tabs>
        <w:spacing w:before="15"/>
        <w:ind w:left="159" w:right="0" w:firstLine="0"/>
        <w:jc w:val="center"/>
        <w:rPr>
          <w:sz w:val="16"/>
        </w:rPr>
      </w:pPr>
      <w:r>
        <w:rPr>
          <w:color w:val="231F20"/>
          <w:sz w:val="16"/>
        </w:rPr>
        <w:t>Option contracts (d)   . . . . . . . . . . . . . . . . . . . . . . . .</w:t>
      </w:r>
      <w:r>
        <w:rPr>
          <w:color w:val="231F20"/>
          <w:spacing w:val="-10"/>
          <w:sz w:val="16"/>
        </w:rPr>
        <w:t> </w:t>
      </w:r>
      <w:r>
        <w:rPr>
          <w:color w:val="231F20"/>
          <w:sz w:val="16"/>
        </w:rPr>
        <w:t>. .</w:t>
        <w:tab/>
        <w:t>(4)</w:t>
        <w:tab/>
        <w:t>—</w:t>
        <w:tab/>
        <w:t>—</w:t>
        <w:tab/>
        <w:t>(4)</w:t>
      </w:r>
    </w:p>
    <w:p>
      <w:pPr>
        <w:tabs>
          <w:tab w:pos="4714" w:val="left" w:leader="none"/>
          <w:tab w:pos="6278" w:val="left" w:leader="none"/>
          <w:tab w:pos="7514" w:val="left" w:leader="none"/>
          <w:tab w:pos="8879" w:val="left" w:leader="none"/>
        </w:tabs>
        <w:spacing w:before="15"/>
        <w:ind w:left="0" w:right="79" w:firstLine="0"/>
        <w:jc w:val="center"/>
        <w:rPr>
          <w:sz w:val="16"/>
        </w:rPr>
      </w:pPr>
      <w:r>
        <w:rPr>
          <w:color w:val="231F20"/>
          <w:sz w:val="16"/>
        </w:rPr>
        <w:t>Interest rate derivatives (see Note 10) . . . . . . . . . . . . .</w:t>
      </w:r>
      <w:r>
        <w:rPr>
          <w:color w:val="231F20"/>
          <w:spacing w:val="-6"/>
          <w:sz w:val="16"/>
        </w:rPr>
        <w:t> </w:t>
      </w:r>
      <w:r>
        <w:rPr>
          <w:color w:val="231F20"/>
          <w:sz w:val="16"/>
        </w:rPr>
        <w:t>. .</w:t>
        <w:tab/>
        <w:t>(126)</w:t>
        <w:tab/>
        <w:t>—</w:t>
        <w:tab/>
        <w:t>(126)</w:t>
        <w:tab/>
        <w:t>—</w:t>
      </w:r>
    </w:p>
    <w:p>
      <w:pPr>
        <w:tabs>
          <w:tab w:pos="4713" w:val="left" w:leader="none"/>
          <w:tab w:pos="6172" w:val="left" w:leader="none"/>
          <w:tab w:pos="7619" w:val="left" w:leader="none"/>
          <w:tab w:pos="8879" w:val="left" w:leader="none"/>
        </w:tabs>
        <w:spacing w:before="15"/>
        <w:ind w:left="0" w:right="79" w:firstLine="0"/>
        <w:jc w:val="center"/>
        <w:rPr>
          <w:sz w:val="16"/>
        </w:rPr>
      </w:pPr>
      <w:r>
        <w:rPr/>
        <w:pict>
          <v:line style="position:absolute;mso-position-horizontal-relative:page;mso-position-vertical-relative:paragraph;z-index:7768;mso-wrap-distance-left:0;mso-wrap-distance-right:0" from="269pt,11.96875pt" to="322pt,11.96875pt" stroked="true" strokeweight=".5pt" strokecolor="#231f20">
            <v:stroke dashstyle="solid"/>
            <w10:wrap type="topAndBottom"/>
          </v:line>
        </w:pict>
      </w:r>
      <w:r>
        <w:rPr/>
        <w:pict>
          <v:line style="position:absolute;mso-position-horizontal-relative:page;mso-position-vertical-relative:paragraph;z-index:7792;mso-wrap-distance-left:0;mso-wrap-distance-right:0" from="332pt,11.96875pt" to="394.95pt,11.96875pt" stroked="true" strokeweight=".5pt" strokecolor="#231f20">
            <v:stroke dashstyle="solid"/>
            <w10:wrap type="topAndBottom"/>
          </v:line>
        </w:pict>
      </w:r>
      <w:r>
        <w:rPr/>
        <w:pict>
          <v:line style="position:absolute;mso-position-horizontal-relative:page;mso-position-vertical-relative:paragraph;z-index:7816;mso-wrap-distance-left:0;mso-wrap-distance-right:0" from="404.949982pt,11.96875pt" to="461.999982pt,11.96875pt" stroked="true" strokeweight=".5pt" strokecolor="#231f20">
            <v:stroke dashstyle="solid"/>
            <w10:wrap type="topAndBottom"/>
          </v:line>
        </w:pict>
      </w:r>
      <w:r>
        <w:rPr/>
        <w:pict>
          <v:line style="position:absolute;mso-position-horizontal-relative:page;mso-position-vertical-relative:paragraph;z-index:7840;mso-wrap-distance-left:0;mso-wrap-distance-right:0" from="472pt,11.96875pt" to="525pt,11.96875pt" stroked="true" strokeweight=".5pt" strokecolor="#231f20">
            <v:stroke dashstyle="solid"/>
            <w10:wrap type="topAndBottom"/>
          </v:line>
        </w:pict>
      </w:r>
      <w:r>
        <w:rPr>
          <w:color w:val="231F20"/>
          <w:sz w:val="16"/>
        </w:rPr>
        <w:t>Deferred Compensation   . . . . . . . . . . . . . . . . . . . . . . .</w:t>
      </w:r>
      <w:r>
        <w:rPr>
          <w:color w:val="231F20"/>
          <w:spacing w:val="-14"/>
          <w:sz w:val="16"/>
        </w:rPr>
        <w:t> </w:t>
      </w:r>
      <w:r>
        <w:rPr>
          <w:color w:val="231F20"/>
          <w:sz w:val="16"/>
        </w:rPr>
        <w:t>. .</w:t>
        <w:tab/>
        <w:t>(137)</w:t>
        <w:tab/>
        <w:t>(137)</w:t>
        <w:tab/>
        <w:t>—</w:t>
        <w:tab/>
        <w:t>—</w:t>
      </w:r>
    </w:p>
    <w:p>
      <w:pPr>
        <w:tabs>
          <w:tab w:pos="4000" w:val="left" w:leader="none"/>
          <w:tab w:pos="4594" w:val="left" w:leader="none"/>
          <w:tab w:pos="6172" w:val="left" w:leader="none"/>
          <w:tab w:pos="7513" w:val="left" w:leader="none"/>
          <w:tab w:pos="8773" w:val="left" w:leader="none"/>
        </w:tabs>
        <w:spacing w:before="21" w:after="35"/>
        <w:ind w:left="0" w:right="0" w:firstLine="0"/>
        <w:jc w:val="center"/>
        <w:rPr>
          <w:sz w:val="16"/>
        </w:rPr>
      </w:pPr>
      <w:r>
        <w:rPr>
          <w:b/>
          <w:color w:val="231F20"/>
          <w:sz w:val="16"/>
        </w:rPr>
        <w:t>Total</w:t>
      </w:r>
      <w:r>
        <w:rPr>
          <w:b/>
          <w:color w:val="231F20"/>
          <w:spacing w:val="-1"/>
          <w:sz w:val="16"/>
        </w:rPr>
        <w:t> </w:t>
      </w:r>
      <w:r>
        <w:rPr>
          <w:b/>
          <w:color w:val="231F20"/>
          <w:sz w:val="16"/>
        </w:rPr>
        <w:t>liabilities</w:t>
        <w:tab/>
      </w:r>
      <w:r>
        <w:rPr>
          <w:color w:val="231F20"/>
          <w:sz w:val="16"/>
        </w:rPr>
        <w:t>$</w:t>
        <w:tab/>
        <w:t>(1,017)   </w:t>
      </w:r>
      <w:r>
        <w:rPr>
          <w:color w:val="231F20"/>
          <w:spacing w:val="39"/>
          <w:sz w:val="16"/>
        </w:rPr>
        <w:t> </w:t>
      </w:r>
      <w:r>
        <w:rPr>
          <w:color w:val="231F20"/>
          <w:sz w:val="16"/>
        </w:rPr>
        <w:t>$</w:t>
        <w:tab/>
        <w:t>(137)   </w:t>
      </w:r>
      <w:r>
        <w:rPr>
          <w:color w:val="231F20"/>
          <w:spacing w:val="39"/>
          <w:sz w:val="16"/>
        </w:rPr>
        <w:t> </w:t>
      </w:r>
      <w:r>
        <w:rPr>
          <w:color w:val="231F20"/>
          <w:sz w:val="16"/>
        </w:rPr>
        <w:t>$</w:t>
        <w:tab/>
        <w:t>(239)   </w:t>
      </w:r>
      <w:r>
        <w:rPr>
          <w:color w:val="231F20"/>
          <w:spacing w:val="39"/>
          <w:sz w:val="16"/>
        </w:rPr>
        <w:t> </w:t>
      </w:r>
      <w:r>
        <w:rPr>
          <w:color w:val="231F20"/>
          <w:sz w:val="16"/>
        </w:rPr>
        <w:t>$</w:t>
        <w:tab/>
        <w:t>(641)</w:t>
      </w:r>
    </w:p>
    <w:p>
      <w:pPr>
        <w:spacing w:line="50" w:lineRule="exact"/>
        <w:ind w:left="4115" w:right="0" w:firstLine="0"/>
        <w:rPr>
          <w:sz w:val="5"/>
        </w:rPr>
      </w:pPr>
      <w:r>
        <w:rPr>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position w:val="0"/>
          <w:sz w:val="5"/>
        </w:rPr>
      </w:r>
      <w:r>
        <w:rPr>
          <w:spacing w:val="157"/>
          <w:position w:val="0"/>
          <w:sz w:val="5"/>
        </w:rPr>
        <w:t> </w:t>
      </w:r>
      <w:r>
        <w:rPr>
          <w:spacing w:val="157"/>
          <w:position w:val="0"/>
          <w:sz w:val="5"/>
        </w:rPr>
        <w:pict>
          <v:group style="width:63.45pt;height:2.5pt;mso-position-horizontal-relative:char;mso-position-vertical-relative:line" coordorigin="0,0" coordsize="1269,50">
            <v:line style="position:absolute" from="5,5" to="1264,5" stroked="true" strokeweight=".5pt" strokecolor="#231f20">
              <v:stroke dashstyle="solid"/>
            </v:line>
            <v:line style="position:absolute" from="5,45" to="1264,45" stroked="true" strokeweight=".5pt" strokecolor="#231f20">
              <v:stroke dashstyle="solid"/>
            </v:line>
          </v:group>
        </w:pict>
      </w:r>
      <w:r>
        <w:rPr>
          <w:spacing w:val="157"/>
          <w:position w:val="0"/>
          <w:sz w:val="5"/>
        </w:rPr>
      </w:r>
      <w:r>
        <w:rPr>
          <w:spacing w:val="161"/>
          <w:position w:val="0"/>
          <w:sz w:val="5"/>
        </w:rPr>
        <w:t> </w:t>
      </w:r>
      <w:r>
        <w:rPr>
          <w:spacing w:val="161"/>
          <w:position w:val="0"/>
          <w:sz w:val="5"/>
        </w:rPr>
        <w:pict>
          <v:group style="width:57.55pt;height:2.5pt;mso-position-horizontal-relative:char;mso-position-vertical-relative:line" coordorigin="0,0" coordsize="1151,50">
            <v:line style="position:absolute" from="5,5" to="1146,5" stroked="true" strokeweight=".5pt" strokecolor="#231f20">
              <v:stroke dashstyle="solid"/>
            </v:line>
            <v:line style="position:absolute" from="5,45" to="1146,45" stroked="true" strokeweight=".5pt" strokecolor="#231f20">
              <v:stroke dashstyle="solid"/>
            </v:line>
          </v:group>
        </w:pict>
      </w:r>
      <w:r>
        <w:rPr>
          <w:spacing w:val="161"/>
          <w:position w:val="0"/>
          <w:sz w:val="5"/>
        </w:rPr>
      </w:r>
      <w:r>
        <w:rPr>
          <w:spacing w:val="163"/>
          <w:position w:val="0"/>
          <w:sz w:val="5"/>
        </w:rPr>
        <w:t> </w:t>
      </w:r>
      <w:r>
        <w:rPr>
          <w:spacing w:val="163"/>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spacing w:val="163"/>
          <w:position w:val="0"/>
          <w:sz w:val="5"/>
        </w:rPr>
      </w:r>
    </w:p>
    <w:p>
      <w:pPr>
        <w:pStyle w:val="BodyText"/>
        <w:spacing w:before="7"/>
        <w:rPr>
          <w:sz w:val="9"/>
        </w:rPr>
      </w:pPr>
      <w:r>
        <w:rPr/>
        <w:pict>
          <v:line style="position:absolute;mso-position-horizontal-relative:page;mso-position-vertical-relative:paragraph;z-index:7960;mso-wrap-distance-left:0;mso-wrap-distance-right:0" from="69pt,7.75pt" to="117pt,7.75pt" stroked="true" strokeweight=".5pt" strokecolor="#231f20">
            <v:stroke dashstyle="solid"/>
            <w10:wrap type="topAndBottom"/>
          </v:line>
        </w:pict>
      </w:r>
    </w:p>
    <w:p>
      <w:pPr>
        <w:pStyle w:val="ListParagraph"/>
        <w:numPr>
          <w:ilvl w:val="0"/>
          <w:numId w:val="17"/>
        </w:numPr>
        <w:tabs>
          <w:tab w:pos="440" w:val="left" w:leader="none"/>
        </w:tabs>
        <w:spacing w:line="240" w:lineRule="auto" w:before="21" w:after="0"/>
        <w:ind w:left="440" w:right="0" w:hanging="320"/>
        <w:jc w:val="left"/>
        <w:rPr>
          <w:sz w:val="16"/>
        </w:rPr>
      </w:pPr>
      <w:r>
        <w:rPr>
          <w:color w:val="231F20"/>
          <w:sz w:val="16"/>
        </w:rPr>
        <w:t>Cash equivalents are primarily composed of money market</w:t>
      </w:r>
      <w:r>
        <w:rPr>
          <w:color w:val="231F20"/>
          <w:spacing w:val="-11"/>
          <w:sz w:val="16"/>
        </w:rPr>
        <w:t> </w:t>
      </w:r>
      <w:r>
        <w:rPr>
          <w:color w:val="231F20"/>
          <w:sz w:val="16"/>
        </w:rPr>
        <w:t>investments.</w:t>
      </w:r>
    </w:p>
    <w:p>
      <w:pPr>
        <w:pStyle w:val="ListParagraph"/>
        <w:numPr>
          <w:ilvl w:val="0"/>
          <w:numId w:val="17"/>
        </w:numPr>
        <w:tabs>
          <w:tab w:pos="440" w:val="left" w:leader="none"/>
        </w:tabs>
        <w:spacing w:line="240" w:lineRule="auto" w:before="15" w:after="0"/>
        <w:ind w:left="440" w:right="0" w:hanging="320"/>
        <w:jc w:val="left"/>
        <w:rPr>
          <w:sz w:val="16"/>
        </w:rPr>
      </w:pPr>
      <w:r>
        <w:rPr>
          <w:color w:val="231F20"/>
          <w:sz w:val="16"/>
        </w:rPr>
        <w:t>Noncurrent investments are included in Other assets in the Consolidated Balance</w:t>
      </w:r>
      <w:r>
        <w:rPr>
          <w:color w:val="231F20"/>
          <w:spacing w:val="-16"/>
          <w:sz w:val="16"/>
        </w:rPr>
        <w:t> </w:t>
      </w:r>
      <w:r>
        <w:rPr>
          <w:color w:val="231F20"/>
          <w:sz w:val="16"/>
        </w:rPr>
        <w:t>Sheet.</w:t>
      </w:r>
    </w:p>
    <w:p>
      <w:pPr>
        <w:pStyle w:val="ListParagraph"/>
        <w:numPr>
          <w:ilvl w:val="0"/>
          <w:numId w:val="17"/>
        </w:numPr>
        <w:tabs>
          <w:tab w:pos="440" w:val="left" w:leader="none"/>
        </w:tabs>
        <w:spacing w:line="240" w:lineRule="auto" w:before="15" w:after="0"/>
        <w:ind w:left="440" w:right="0" w:hanging="320"/>
        <w:jc w:val="left"/>
        <w:rPr>
          <w:sz w:val="16"/>
        </w:rPr>
      </w:pPr>
      <w:r>
        <w:rPr>
          <w:color w:val="231F20"/>
          <w:sz w:val="16"/>
        </w:rPr>
        <w:t>In the Consolidated Balance Sheet amounts are presented as a net asset. See Note</w:t>
      </w:r>
      <w:r>
        <w:rPr>
          <w:color w:val="231F20"/>
          <w:spacing w:val="-15"/>
          <w:sz w:val="16"/>
        </w:rPr>
        <w:t> </w:t>
      </w:r>
      <w:r>
        <w:rPr>
          <w:color w:val="231F20"/>
          <w:sz w:val="16"/>
        </w:rPr>
        <w:t>10.</w:t>
      </w:r>
    </w:p>
    <w:p>
      <w:pPr>
        <w:pStyle w:val="ListParagraph"/>
        <w:numPr>
          <w:ilvl w:val="0"/>
          <w:numId w:val="17"/>
        </w:numPr>
        <w:tabs>
          <w:tab w:pos="440" w:val="left" w:leader="none"/>
        </w:tabs>
        <w:spacing w:line="240" w:lineRule="auto" w:before="15" w:after="0"/>
        <w:ind w:left="440" w:right="0" w:hanging="320"/>
        <w:jc w:val="left"/>
        <w:rPr>
          <w:sz w:val="16"/>
        </w:rPr>
      </w:pPr>
      <w:r>
        <w:rPr>
          <w:color w:val="231F20"/>
          <w:sz w:val="16"/>
        </w:rPr>
        <w:t>In the Consolidated Balance Sheet amounts are presented as a net liability. See Note</w:t>
      </w:r>
      <w:r>
        <w:rPr>
          <w:color w:val="231F20"/>
          <w:spacing w:val="-16"/>
          <w:sz w:val="16"/>
        </w:rPr>
        <w:t> </w:t>
      </w:r>
      <w:r>
        <w:rPr>
          <w:color w:val="231F20"/>
          <w:sz w:val="16"/>
        </w:rPr>
        <w:t>10.</w:t>
      </w:r>
    </w:p>
    <w:p>
      <w:pPr>
        <w:spacing w:after="0" w:line="240" w:lineRule="auto"/>
        <w:jc w:val="left"/>
        <w:rPr>
          <w:sz w:val="16"/>
        </w:rPr>
        <w:sectPr>
          <w:type w:val="continuous"/>
          <w:pgSz w:w="11880" w:h="15480"/>
          <w:pgMar w:top="1200" w:bottom="280" w:left="1260" w:right="1260"/>
        </w:sectPr>
      </w:pPr>
    </w:p>
    <w:p>
      <w:pPr>
        <w:pStyle w:val="BodyText"/>
        <w:spacing w:line="249" w:lineRule="auto" w:before="73"/>
        <w:ind w:left="160" w:right="239" w:firstLine="490"/>
      </w:pPr>
      <w:r>
        <w:rPr>
          <w:color w:val="231F20"/>
        </w:rPr>
        <w:t>The Company had no transfers of assets or liabilities between any of the above levels during the years ended December 31, 2013 or 2012. The Company did not have any assets or liabilities measured at fair value on a nonrecurring basis as of December 31, 2013 or 2012. The following tables present the Company’s activity for items measured at fair value on a recurring basis using significant unobservable inputs (Level 3) for 2013 and 2012:</w:t>
      </w:r>
    </w:p>
    <w:p>
      <w:pPr>
        <w:pStyle w:val="BodyText"/>
        <w:spacing w:before="5"/>
        <w:rPr>
          <w:sz w:val="18"/>
        </w:rPr>
      </w:pPr>
    </w:p>
    <w:p>
      <w:pPr>
        <w:spacing w:line="254" w:lineRule="auto" w:before="0"/>
        <w:ind w:left="5722" w:right="901" w:hanging="483"/>
        <w:jc w:val="left"/>
        <w:rPr>
          <w:b/>
          <w:sz w:val="18"/>
        </w:rPr>
      </w:pPr>
      <w:r>
        <w:rPr/>
        <w:pict>
          <v:line style="position:absolute;mso-position-horizontal-relative:page;mso-position-vertical-relative:paragraph;z-index:8560" from="283pt,22.902313pt" to="525pt,22.902313pt" stroked="true" strokeweight="1pt" strokecolor="#231f20">
            <v:stroke dashstyle="solid"/>
            <w10:wrap type="none"/>
          </v:line>
        </w:pict>
      </w:r>
      <w:r>
        <w:rPr>
          <w:b/>
          <w:color w:val="231F20"/>
          <w:sz w:val="18"/>
        </w:rPr>
        <w:t>Fair value measurements using significant unobservable inputs (Level 3)</w:t>
      </w:r>
    </w:p>
    <w:p>
      <w:pPr>
        <w:spacing w:after="0" w:line="254" w:lineRule="auto"/>
        <w:jc w:val="left"/>
        <w:rPr>
          <w:sz w:val="18"/>
        </w:rPr>
        <w:sectPr>
          <w:pgSz w:w="11880" w:h="15480"/>
          <w:pgMar w:header="0" w:footer="1253" w:top="1240" w:bottom="1440" w:left="1220" w:right="1260"/>
        </w:sectPr>
      </w:pPr>
    </w:p>
    <w:p>
      <w:pPr>
        <w:pStyle w:val="BodyText"/>
        <w:spacing w:before="1"/>
        <w:rPr>
          <w:b/>
          <w:sz w:val="26"/>
        </w:rPr>
      </w:pPr>
    </w:p>
    <w:p>
      <w:pPr>
        <w:spacing w:before="0"/>
        <w:ind w:left="160" w:right="0" w:firstLine="0"/>
        <w:jc w:val="left"/>
        <w:rPr>
          <w:sz w:val="18"/>
        </w:rPr>
      </w:pPr>
      <w:r>
        <w:rPr/>
        <w:pict>
          <v:line style="position:absolute;mso-position-horizontal-relative:page;mso-position-vertical-relative:paragraph;z-index:-328264" from="351pt,11.902313pt" to="399pt,11.902313pt" stroked="true" strokeweight="1pt" strokecolor="#231f20">
            <v:stroke dashstyle="solid"/>
            <w10:wrap type="none"/>
          </v:line>
        </w:pict>
      </w:r>
      <w:r>
        <w:rPr>
          <w:color w:val="231F20"/>
          <w:sz w:val="18"/>
        </w:rPr>
        <w:t>(in millions)</w:t>
      </w:r>
    </w:p>
    <w:p>
      <w:pPr>
        <w:spacing w:line="254" w:lineRule="auto" w:before="80"/>
        <w:ind w:left="160" w:right="-20" w:firstLine="250"/>
        <w:jc w:val="left"/>
        <w:rPr>
          <w:b/>
          <w:sz w:val="18"/>
        </w:rPr>
      </w:pPr>
      <w:r>
        <w:rPr/>
        <w:br w:type="column"/>
      </w:r>
      <w:r>
        <w:rPr>
          <w:b/>
          <w:color w:val="231F20"/>
          <w:sz w:val="18"/>
        </w:rPr>
        <w:t>Fuel derivatives</w:t>
      </w:r>
    </w:p>
    <w:p>
      <w:pPr>
        <w:spacing w:line="254" w:lineRule="auto" w:before="80"/>
        <w:ind w:left="282" w:right="-19" w:hanging="123"/>
        <w:jc w:val="left"/>
        <w:rPr>
          <w:b/>
          <w:sz w:val="18"/>
        </w:rPr>
      </w:pPr>
      <w:r>
        <w:rPr/>
        <w:br w:type="column"/>
      </w:r>
      <w:r>
        <w:rPr>
          <w:b/>
          <w:color w:val="231F20"/>
          <w:sz w:val="18"/>
        </w:rPr>
        <w:t>Auction rate</w:t>
      </w:r>
      <w:r>
        <w:rPr>
          <w:b/>
          <w:color w:val="231F20"/>
          <w:w w:val="100"/>
          <w:sz w:val="18"/>
        </w:rPr>
        <w:t> </w:t>
      </w:r>
      <w:r>
        <w:rPr>
          <w:b/>
          <w:color w:val="231F20"/>
          <w:sz w:val="18"/>
        </w:rPr>
        <w:t>securities</w:t>
      </w:r>
    </w:p>
    <w:p>
      <w:pPr>
        <w:spacing w:before="80"/>
        <w:ind w:left="289" w:right="0" w:firstLine="0"/>
        <w:jc w:val="left"/>
        <w:rPr>
          <w:b/>
          <w:sz w:val="18"/>
        </w:rPr>
      </w:pPr>
      <w:r>
        <w:rPr/>
        <w:br w:type="column"/>
      </w:r>
      <w:r>
        <w:rPr>
          <w:b/>
          <w:color w:val="231F20"/>
          <w:sz w:val="18"/>
        </w:rPr>
        <w:t>Other</w:t>
      </w:r>
    </w:p>
    <w:p>
      <w:pPr>
        <w:tabs>
          <w:tab w:pos="1574" w:val="left" w:leader="none"/>
        </w:tabs>
        <w:spacing w:before="12"/>
        <w:ind w:left="160" w:right="0" w:firstLine="0"/>
        <w:jc w:val="left"/>
        <w:rPr>
          <w:b/>
          <w:sz w:val="18"/>
        </w:rPr>
      </w:pPr>
      <w:r>
        <w:rPr/>
        <w:pict>
          <v:line style="position:absolute;mso-position-horizontal-relative:page;mso-position-vertical-relative:paragraph;z-index:-328240" from="409pt,12.504328pt" to="462pt,12.504328pt" stroked="true" strokeweight="1pt" strokecolor="#231f20">
            <v:stroke dashstyle="solid"/>
            <w10:wrap type="none"/>
          </v:line>
        </w:pict>
      </w:r>
      <w:r>
        <w:rPr>
          <w:b/>
          <w:color w:val="231F20"/>
          <w:sz w:val="18"/>
        </w:rPr>
        <w:t>securities</w:t>
        <w:tab/>
        <w:t>Total</w:t>
      </w:r>
    </w:p>
    <w:p>
      <w:pPr>
        <w:spacing w:after="0"/>
        <w:jc w:val="left"/>
        <w:rPr>
          <w:sz w:val="18"/>
        </w:rPr>
        <w:sectPr>
          <w:type w:val="continuous"/>
          <w:pgSz w:w="11880" w:h="15480"/>
          <w:pgMar w:top="1200" w:bottom="280" w:left="1220" w:right="1260"/>
          <w:cols w:num="4" w:equalWidth="0">
            <w:col w:w="1056" w:space="3334"/>
            <w:col w:w="1000" w:space="248"/>
            <w:col w:w="1125" w:space="207"/>
            <w:col w:w="2430"/>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53"/>
        <w:gridCol w:w="1367"/>
        <w:gridCol w:w="3550"/>
      </w:tblGrid>
      <w:tr>
        <w:trPr>
          <w:trHeight w:val="450" w:hRule="exact"/>
        </w:trPr>
        <w:tc>
          <w:tcPr>
            <w:tcW w:w="4253" w:type="dxa"/>
            <w:tcBorders>
              <w:top w:val="single" w:sz="8" w:space="0" w:color="231F20"/>
            </w:tcBorders>
          </w:tcPr>
          <w:p>
            <w:pPr>
              <w:pStyle w:val="TableParagraph"/>
              <w:spacing w:line="200" w:lineRule="exact" w:before="40"/>
              <w:ind w:left="50"/>
              <w:jc w:val="left"/>
              <w:rPr>
                <w:sz w:val="18"/>
              </w:rPr>
            </w:pPr>
            <w:r>
              <w:rPr>
                <w:color w:val="231F20"/>
                <w:sz w:val="18"/>
              </w:rPr>
              <w:t>Balance at December 31, 2012 . . . . . . . . . . . . . . . . . . . . Total gains or (losses) (realized or unrealized)</w:t>
            </w:r>
          </w:p>
        </w:tc>
        <w:tc>
          <w:tcPr>
            <w:tcW w:w="1367" w:type="dxa"/>
            <w:tcBorders>
              <w:top w:val="single" w:sz="8" w:space="0" w:color="231F20"/>
            </w:tcBorders>
          </w:tcPr>
          <w:p>
            <w:pPr>
              <w:pStyle w:val="TableParagraph"/>
              <w:tabs>
                <w:tab w:pos="767" w:val="left" w:leader="none"/>
              </w:tabs>
              <w:spacing w:before="32"/>
              <w:ind w:left="77"/>
              <w:jc w:val="left"/>
              <w:rPr>
                <w:sz w:val="18"/>
              </w:rPr>
            </w:pPr>
            <w:r>
              <w:rPr>
                <w:color w:val="231F20"/>
                <w:sz w:val="18"/>
              </w:rPr>
              <w:t>$</w:t>
              <w:tab/>
              <w:t>219</w:t>
            </w:r>
          </w:p>
        </w:tc>
        <w:tc>
          <w:tcPr>
            <w:tcW w:w="3550" w:type="dxa"/>
            <w:tcBorders>
              <w:top w:val="single" w:sz="8" w:space="0" w:color="231F20"/>
            </w:tcBorders>
          </w:tcPr>
          <w:p>
            <w:pPr>
              <w:pStyle w:val="TableParagraph"/>
              <w:tabs>
                <w:tab w:pos="750" w:val="left" w:leader="none"/>
                <w:tab w:pos="1230" w:val="left" w:leader="none"/>
                <w:tab w:pos="2100" w:val="left" w:leader="none"/>
                <w:tab w:pos="2490" w:val="left" w:leader="none"/>
                <w:tab w:pos="3180" w:val="left" w:leader="none"/>
              </w:tabs>
              <w:spacing w:before="32"/>
              <w:ind w:left="70"/>
              <w:jc w:val="left"/>
              <w:rPr>
                <w:sz w:val="18"/>
              </w:rPr>
            </w:pPr>
            <w:r>
              <w:rPr>
                <w:color w:val="231F20"/>
                <w:sz w:val="18"/>
              </w:rPr>
              <w:t>$</w:t>
              <w:tab/>
              <w:t>36</w:t>
              <w:tab/>
              <w:t>$</w:t>
              <w:tab/>
              <w:t>5</w:t>
              <w:tab/>
              <w:t>$</w:t>
              <w:tab/>
              <w:t>260</w:t>
            </w:r>
          </w:p>
        </w:tc>
      </w:tr>
      <w:tr>
        <w:trPr>
          <w:trHeight w:val="200" w:hRule="exact"/>
        </w:trPr>
        <w:tc>
          <w:tcPr>
            <w:tcW w:w="4253" w:type="dxa"/>
          </w:tcPr>
          <w:p>
            <w:pPr>
              <w:pStyle w:val="TableParagraph"/>
              <w:spacing w:line="199" w:lineRule="exact"/>
              <w:ind w:right="75"/>
              <w:rPr>
                <w:sz w:val="18"/>
              </w:rPr>
            </w:pPr>
            <w:r>
              <w:rPr>
                <w:color w:val="231F20"/>
                <w:sz w:val="18"/>
              </w:rPr>
              <w:t>Included in earnings . . . . . . . . . . . . . . . . . . . . . . . . . . . </w:t>
            </w:r>
          </w:p>
        </w:tc>
        <w:tc>
          <w:tcPr>
            <w:tcW w:w="1367" w:type="dxa"/>
          </w:tcPr>
          <w:p>
            <w:pPr>
              <w:pStyle w:val="TableParagraph"/>
              <w:spacing w:line="199" w:lineRule="exact"/>
              <w:ind w:left="857"/>
              <w:jc w:val="left"/>
              <w:rPr>
                <w:sz w:val="18"/>
              </w:rPr>
            </w:pPr>
            <w:r>
              <w:rPr>
                <w:color w:val="231F20"/>
                <w:sz w:val="18"/>
              </w:rPr>
              <w:t>71</w:t>
            </w:r>
          </w:p>
        </w:tc>
        <w:tc>
          <w:tcPr>
            <w:tcW w:w="3550" w:type="dxa"/>
          </w:tcPr>
          <w:p>
            <w:pPr>
              <w:pStyle w:val="TableParagraph"/>
              <w:tabs>
                <w:tab w:pos="1259" w:val="left" w:leader="none"/>
                <w:tab w:pos="2609" w:val="left" w:leader="none"/>
              </w:tabs>
              <w:spacing w:line="199" w:lineRule="exact"/>
              <w:ind w:right="98"/>
              <w:rPr>
                <w:sz w:val="18"/>
              </w:rPr>
            </w:pPr>
            <w:r>
              <w:rPr>
                <w:color w:val="231F20"/>
                <w:sz w:val="18"/>
              </w:rPr>
              <w:t>—</w:t>
              <w:tab/>
              <w:t>—</w:t>
              <w:tab/>
              <w:t>71</w:t>
            </w:r>
          </w:p>
        </w:tc>
      </w:tr>
      <w:tr>
        <w:trPr>
          <w:trHeight w:val="200" w:hRule="exact"/>
        </w:trPr>
        <w:tc>
          <w:tcPr>
            <w:tcW w:w="4253" w:type="dxa"/>
          </w:tcPr>
          <w:p>
            <w:pPr>
              <w:pStyle w:val="TableParagraph"/>
              <w:spacing w:line="199" w:lineRule="exact"/>
              <w:ind w:right="75"/>
              <w:rPr>
                <w:sz w:val="18"/>
              </w:rPr>
            </w:pPr>
            <w:r>
              <w:rPr>
                <w:color w:val="231F20"/>
                <w:sz w:val="18"/>
              </w:rPr>
              <w:t>Included in other comprehensive income  . . . . . . . . . . </w:t>
            </w:r>
          </w:p>
        </w:tc>
        <w:tc>
          <w:tcPr>
            <w:tcW w:w="1367" w:type="dxa"/>
          </w:tcPr>
          <w:p>
            <w:pPr>
              <w:pStyle w:val="TableParagraph"/>
              <w:spacing w:line="199" w:lineRule="exact"/>
              <w:ind w:left="707"/>
              <w:jc w:val="left"/>
              <w:rPr>
                <w:sz w:val="18"/>
              </w:rPr>
            </w:pPr>
            <w:r>
              <w:rPr>
                <w:color w:val="231F20"/>
                <w:sz w:val="18"/>
              </w:rPr>
              <w:t>(107)</w:t>
            </w:r>
          </w:p>
        </w:tc>
        <w:tc>
          <w:tcPr>
            <w:tcW w:w="3550" w:type="dxa"/>
          </w:tcPr>
          <w:p>
            <w:pPr>
              <w:pStyle w:val="TableParagraph"/>
              <w:tabs>
                <w:tab w:pos="1079" w:val="left" w:leader="none"/>
                <w:tab w:pos="2279" w:val="left" w:leader="none"/>
              </w:tabs>
              <w:spacing w:line="199" w:lineRule="exact"/>
              <w:ind w:right="38"/>
              <w:rPr>
                <w:sz w:val="18"/>
              </w:rPr>
            </w:pPr>
            <w:r>
              <w:rPr>
                <w:color w:val="231F20"/>
                <w:sz w:val="18"/>
              </w:rPr>
              <w:t>3</w:t>
              <w:tab/>
              <w:t>—</w:t>
              <w:tab/>
              <w:t>(104)</w:t>
            </w:r>
          </w:p>
        </w:tc>
      </w:tr>
      <w:tr>
        <w:trPr>
          <w:trHeight w:val="200" w:hRule="exact"/>
        </w:trPr>
        <w:tc>
          <w:tcPr>
            <w:tcW w:w="4253" w:type="dxa"/>
          </w:tcPr>
          <w:p>
            <w:pPr>
              <w:pStyle w:val="TableParagraph"/>
              <w:spacing w:line="199" w:lineRule="exact"/>
              <w:ind w:left="50"/>
              <w:jc w:val="left"/>
              <w:rPr>
                <w:sz w:val="18"/>
              </w:rPr>
            </w:pPr>
            <w:r>
              <w:rPr>
                <w:color w:val="231F20"/>
                <w:sz w:val="18"/>
              </w:rPr>
              <w:t>Purchases  . . . . . . . . . . . . . . . . . . . . . . . . . . . . . . . . . . . . . </w:t>
            </w:r>
          </w:p>
        </w:tc>
        <w:tc>
          <w:tcPr>
            <w:tcW w:w="1367" w:type="dxa"/>
          </w:tcPr>
          <w:p>
            <w:pPr>
              <w:pStyle w:val="TableParagraph"/>
              <w:spacing w:line="199" w:lineRule="exact"/>
              <w:ind w:right="128"/>
              <w:rPr>
                <w:sz w:val="18"/>
              </w:rPr>
            </w:pPr>
            <w:r>
              <w:rPr>
                <w:color w:val="231F20"/>
                <w:sz w:val="18"/>
              </w:rPr>
              <w:t>357(a)</w:t>
            </w:r>
          </w:p>
        </w:tc>
        <w:tc>
          <w:tcPr>
            <w:tcW w:w="3550" w:type="dxa"/>
          </w:tcPr>
          <w:p>
            <w:pPr>
              <w:pStyle w:val="TableParagraph"/>
              <w:tabs>
                <w:tab w:pos="1259" w:val="left" w:leader="none"/>
                <w:tab w:pos="2519" w:val="left" w:leader="none"/>
              </w:tabs>
              <w:spacing w:line="199" w:lineRule="exact"/>
              <w:ind w:right="98"/>
              <w:rPr>
                <w:sz w:val="18"/>
              </w:rPr>
            </w:pPr>
            <w:r>
              <w:rPr>
                <w:color w:val="231F20"/>
                <w:sz w:val="18"/>
              </w:rPr>
              <w:t>—</w:t>
              <w:tab/>
              <w:t>—</w:t>
              <w:tab/>
              <w:t>357</w:t>
            </w:r>
          </w:p>
        </w:tc>
      </w:tr>
      <w:tr>
        <w:trPr>
          <w:trHeight w:val="200" w:hRule="exact"/>
        </w:trPr>
        <w:tc>
          <w:tcPr>
            <w:tcW w:w="4253" w:type="dxa"/>
          </w:tcPr>
          <w:p>
            <w:pPr>
              <w:pStyle w:val="TableParagraph"/>
              <w:spacing w:line="199" w:lineRule="exact"/>
              <w:ind w:left="50"/>
              <w:jc w:val="left"/>
              <w:rPr>
                <w:sz w:val="18"/>
              </w:rPr>
            </w:pPr>
            <w:r>
              <w:rPr>
                <w:color w:val="231F20"/>
                <w:sz w:val="18"/>
              </w:rPr>
              <w:t>Sales . . . . . . . . . . . . . . . . . . . . . . . . . . . . . . . . . . . . . . . . . </w:t>
            </w:r>
          </w:p>
        </w:tc>
        <w:tc>
          <w:tcPr>
            <w:tcW w:w="1367" w:type="dxa"/>
          </w:tcPr>
          <w:p>
            <w:pPr>
              <w:pStyle w:val="TableParagraph"/>
              <w:spacing w:line="199" w:lineRule="exact"/>
              <w:ind w:right="68"/>
              <w:rPr>
                <w:sz w:val="18"/>
              </w:rPr>
            </w:pPr>
            <w:r>
              <w:rPr>
                <w:color w:val="231F20"/>
                <w:sz w:val="18"/>
              </w:rPr>
              <w:t>(417)(a)</w:t>
            </w:r>
          </w:p>
        </w:tc>
        <w:tc>
          <w:tcPr>
            <w:tcW w:w="3550" w:type="dxa"/>
          </w:tcPr>
          <w:p>
            <w:pPr>
              <w:pStyle w:val="TableParagraph"/>
              <w:tabs>
                <w:tab w:pos="1259" w:val="left" w:leader="none"/>
                <w:tab w:pos="2459" w:val="left" w:leader="none"/>
              </w:tabs>
              <w:spacing w:line="199" w:lineRule="exact"/>
              <w:ind w:right="38"/>
              <w:rPr>
                <w:sz w:val="18"/>
              </w:rPr>
            </w:pPr>
            <w:r>
              <w:rPr>
                <w:color w:val="231F20"/>
                <w:sz w:val="18"/>
              </w:rPr>
              <w:t>—</w:t>
              <w:tab/>
              <w:t>—</w:t>
              <w:tab/>
              <w:t>(417)</w:t>
            </w:r>
          </w:p>
        </w:tc>
      </w:tr>
      <w:tr>
        <w:trPr>
          <w:trHeight w:val="235" w:hRule="exact"/>
        </w:trPr>
        <w:tc>
          <w:tcPr>
            <w:tcW w:w="4253" w:type="dxa"/>
          </w:tcPr>
          <w:p>
            <w:pPr>
              <w:pStyle w:val="TableParagraph"/>
              <w:spacing w:line="199" w:lineRule="exact"/>
              <w:ind w:left="50"/>
              <w:jc w:val="left"/>
              <w:rPr>
                <w:sz w:val="18"/>
              </w:rPr>
            </w:pPr>
            <w:r>
              <w:rPr>
                <w:color w:val="231F20"/>
                <w:sz w:val="18"/>
              </w:rPr>
              <w:t>Settlements . . . . . . . . . . . . . . . . . . . . . . . . . . . . . . . . . . . . </w:t>
            </w:r>
          </w:p>
        </w:tc>
        <w:tc>
          <w:tcPr>
            <w:tcW w:w="1367" w:type="dxa"/>
            <w:tcBorders>
              <w:bottom w:val="single" w:sz="4" w:space="0" w:color="231F20"/>
            </w:tcBorders>
          </w:tcPr>
          <w:p>
            <w:pPr>
              <w:pStyle w:val="TableParagraph"/>
              <w:spacing w:line="199" w:lineRule="exact"/>
              <w:ind w:left="857"/>
              <w:jc w:val="left"/>
              <w:rPr>
                <w:sz w:val="18"/>
              </w:rPr>
            </w:pPr>
            <w:r>
              <w:rPr>
                <w:color w:val="231F20"/>
                <w:sz w:val="18"/>
              </w:rPr>
              <w:t>49</w:t>
            </w:r>
          </w:p>
        </w:tc>
        <w:tc>
          <w:tcPr>
            <w:tcW w:w="3550" w:type="dxa"/>
            <w:tcBorders>
              <w:bottom w:val="single" w:sz="4" w:space="0" w:color="231F20"/>
            </w:tcBorders>
          </w:tcPr>
          <w:p>
            <w:pPr>
              <w:pStyle w:val="TableParagraph"/>
              <w:tabs>
                <w:tab w:pos="1259" w:val="left" w:leader="none"/>
                <w:tab w:pos="2609" w:val="left" w:leader="none"/>
              </w:tabs>
              <w:spacing w:line="199" w:lineRule="exact"/>
              <w:ind w:right="98"/>
              <w:rPr>
                <w:sz w:val="18"/>
              </w:rPr>
            </w:pPr>
            <w:r>
              <w:rPr>
                <w:color w:val="231F20"/>
                <w:sz w:val="18"/>
              </w:rPr>
              <w:t>—</w:t>
              <w:tab/>
              <w:t>—</w:t>
              <w:tab/>
              <w:t>49</w:t>
            </w:r>
          </w:p>
        </w:tc>
      </w:tr>
      <w:tr>
        <w:trPr>
          <w:trHeight w:val="320" w:hRule="exact"/>
        </w:trPr>
        <w:tc>
          <w:tcPr>
            <w:tcW w:w="4253" w:type="dxa"/>
          </w:tcPr>
          <w:p>
            <w:pPr>
              <w:pStyle w:val="TableParagraph"/>
              <w:spacing w:before="37"/>
              <w:ind w:left="50"/>
              <w:jc w:val="left"/>
              <w:rPr>
                <w:sz w:val="18"/>
              </w:rPr>
            </w:pPr>
            <w:r>
              <w:rPr>
                <w:color w:val="231F20"/>
                <w:sz w:val="18"/>
              </w:rPr>
              <w:t>Balance at December 31, 2013  . . . . . . . . . . . . . . . . . . . . </w:t>
            </w:r>
          </w:p>
        </w:tc>
        <w:tc>
          <w:tcPr>
            <w:tcW w:w="1367" w:type="dxa"/>
            <w:tcBorders>
              <w:top w:val="single" w:sz="4" w:space="0" w:color="231F20"/>
              <w:bottom w:val="single" w:sz="4" w:space="0" w:color="231F20"/>
            </w:tcBorders>
          </w:tcPr>
          <w:p>
            <w:pPr>
              <w:pStyle w:val="TableParagraph"/>
              <w:tabs>
                <w:tab w:pos="767" w:val="left" w:leader="none"/>
              </w:tabs>
              <w:spacing w:before="32"/>
              <w:ind w:left="77"/>
              <w:jc w:val="left"/>
              <w:rPr>
                <w:sz w:val="18"/>
              </w:rPr>
            </w:pPr>
            <w:r>
              <w:rPr>
                <w:color w:val="231F20"/>
                <w:sz w:val="18"/>
              </w:rPr>
              <w:t>$</w:t>
              <w:tab/>
              <w:t>172</w:t>
            </w:r>
          </w:p>
        </w:tc>
        <w:tc>
          <w:tcPr>
            <w:tcW w:w="3550" w:type="dxa"/>
            <w:tcBorders>
              <w:top w:val="single" w:sz="4" w:space="0" w:color="231F20"/>
              <w:bottom w:val="single" w:sz="4" w:space="0" w:color="231F20"/>
            </w:tcBorders>
          </w:tcPr>
          <w:p>
            <w:pPr>
              <w:pStyle w:val="TableParagraph"/>
              <w:tabs>
                <w:tab w:pos="750" w:val="left" w:leader="none"/>
                <w:tab w:pos="2100" w:val="left" w:leader="none"/>
                <w:tab w:pos="2490" w:val="left" w:leader="none"/>
                <w:tab w:pos="3450" w:val="right" w:leader="none"/>
              </w:tabs>
              <w:spacing w:before="32"/>
              <w:ind w:left="70"/>
              <w:jc w:val="left"/>
              <w:rPr>
                <w:sz w:val="18"/>
              </w:rPr>
            </w:pPr>
            <w:r>
              <w:rPr>
                <w:color w:val="231F20"/>
                <w:sz w:val="18"/>
              </w:rPr>
              <w:t>$</w:t>
              <w:tab/>
              <w:t>39(b)  $</w:t>
              <w:tab/>
              <w:t>5</w:t>
              <w:tab/>
              <w:t>$</w:t>
              <w:tab/>
              <w:t>216</w:t>
            </w:r>
          </w:p>
        </w:tc>
      </w:tr>
      <w:tr>
        <w:trPr>
          <w:trHeight w:val="244" w:hRule="exact"/>
        </w:trPr>
        <w:tc>
          <w:tcPr>
            <w:tcW w:w="4253" w:type="dxa"/>
          </w:tcPr>
          <w:p>
            <w:pPr>
              <w:pStyle w:val="TableParagraph"/>
              <w:spacing w:before="37"/>
              <w:ind w:left="50"/>
              <w:jc w:val="left"/>
              <w:rPr>
                <w:sz w:val="18"/>
              </w:rPr>
            </w:pPr>
            <w:r>
              <w:rPr>
                <w:color w:val="231F20"/>
                <w:sz w:val="18"/>
              </w:rPr>
              <w:t>The amount of total gains for the period included in</w:t>
            </w:r>
          </w:p>
        </w:tc>
        <w:tc>
          <w:tcPr>
            <w:tcW w:w="1367" w:type="dxa"/>
            <w:tcBorders>
              <w:top w:val="single" w:sz="4" w:space="0" w:color="231F20"/>
            </w:tcBorders>
          </w:tcPr>
          <w:p>
            <w:pPr/>
          </w:p>
        </w:tc>
        <w:tc>
          <w:tcPr>
            <w:tcW w:w="3550" w:type="dxa"/>
            <w:tcBorders>
              <w:top w:val="single" w:sz="4" w:space="0" w:color="231F20"/>
            </w:tcBorders>
          </w:tcPr>
          <w:p>
            <w:pPr/>
          </w:p>
        </w:tc>
      </w:tr>
    </w:tbl>
    <w:p>
      <w:pPr>
        <w:spacing w:line="200" w:lineRule="exact" w:before="19"/>
        <w:ind w:left="340" w:right="5156" w:firstLine="0"/>
        <w:jc w:val="left"/>
        <w:rPr>
          <w:sz w:val="18"/>
        </w:rPr>
      </w:pPr>
      <w:r>
        <w:rPr/>
        <w:pict>
          <v:line style="position:absolute;mso-position-horizontal-relative:page;mso-position-vertical-relative:paragraph;z-index:-328216" from="351pt,-27.298992pt" to="399pt,-27.298992pt" stroked="true" strokeweight=".5pt" strokecolor="#231f20">
            <v:stroke dashstyle="solid"/>
            <w10:wrap type="none"/>
          </v:line>
        </w:pict>
      </w:r>
      <w:r>
        <w:rPr/>
        <w:pict>
          <v:line style="position:absolute;mso-position-horizontal-relative:page;mso-position-vertical-relative:paragraph;z-index:-328192" from="409pt,-27.298992pt" to="462pt,-27.298992pt" stroked="true" strokeweight=".5pt" strokecolor="#231f20">
            <v:stroke dashstyle="solid"/>
            <w10:wrap type="none"/>
          </v:line>
        </w:pict>
      </w:r>
      <w:r>
        <w:rPr/>
        <w:pict>
          <v:line style="position:absolute;mso-position-horizontal-relative:page;mso-position-vertical-relative:paragraph;z-index:-328168" from="283pt,-13.298993pt" to="336pt,-13.298993pt" stroked="true" strokeweight=".5pt" strokecolor="#231f20">
            <v:stroke dashstyle="solid"/>
            <w10:wrap type="none"/>
          </v:line>
        </w:pict>
      </w:r>
      <w:r>
        <w:rPr/>
        <w:pict>
          <v:group style="position:absolute;margin-left:350.75pt;margin-top:-13.548993pt;width:48.5pt;height:2.5pt;mso-position-horizontal-relative:page;mso-position-vertical-relative:paragraph;z-index:-328144" coordorigin="7015,-271" coordsize="970,50">
            <v:line style="position:absolute" from="7020,-266" to="7980,-266" stroked="true" strokeweight=".5pt" strokecolor="#231f20">
              <v:stroke dashstyle="solid"/>
            </v:line>
            <v:line style="position:absolute" from="7020,-226" to="7980,-226" stroked="true" strokeweight=".5pt" strokecolor="#231f20">
              <v:stroke dashstyle="solid"/>
            </v:line>
            <w10:wrap type="none"/>
          </v:group>
        </w:pict>
      </w:r>
      <w:r>
        <w:rPr/>
        <w:pict>
          <v:group style="position:absolute;margin-left:408.75pt;margin-top:-13.548993pt;width:53.5pt;height:2.5pt;mso-position-horizontal-relative:page;mso-position-vertical-relative:paragraph;z-index:-328120" coordorigin="8175,-271" coordsize="1070,50">
            <v:line style="position:absolute" from="8180,-266" to="9240,-266" stroked="true" strokeweight=".5pt" strokecolor="#231f20">
              <v:stroke dashstyle="solid"/>
            </v:line>
            <v:line style="position:absolute" from="8180,-226" to="9240,-226" stroked="true" strokeweight=".5pt" strokecolor="#231f20">
              <v:stroke dashstyle="solid"/>
            </v:line>
            <w10:wrap type="none"/>
          </v:group>
        </w:pict>
      </w:r>
      <w:r>
        <w:rPr/>
        <w:pict>
          <v:line style="position:absolute;mso-position-horizontal-relative:page;mso-position-vertical-relative:paragraph;z-index:-328096" from="472pt,-13.298993pt" to="525pt,-13.298993pt" stroked="true" strokeweight=".5pt" strokecolor="#231f20">
            <v:stroke dashstyle="solid"/>
            <w10:wrap type="none"/>
          </v:line>
        </w:pict>
      </w:r>
      <w:r>
        <w:rPr>
          <w:color w:val="231F20"/>
          <w:sz w:val="18"/>
        </w:rPr>
        <w:t>earnings attributable to the change in unrealized gains or losses relating to assets still held at December 31,</w:t>
      </w:r>
    </w:p>
    <w:p>
      <w:pPr>
        <w:tabs>
          <w:tab w:pos="5219" w:val="left" w:leader="none"/>
          <w:tab w:pos="5799" w:val="left" w:leader="none"/>
          <w:tab w:pos="6389" w:val="left" w:leader="none"/>
          <w:tab w:pos="6959" w:val="left" w:leader="none"/>
          <w:tab w:pos="7649" w:val="left" w:leader="none"/>
          <w:tab w:pos="8219" w:val="left" w:leader="none"/>
          <w:tab w:pos="8999" w:val="left" w:leader="none"/>
        </w:tabs>
        <w:spacing w:line="199" w:lineRule="exact" w:before="0"/>
        <w:ind w:left="340" w:right="0" w:firstLine="0"/>
        <w:jc w:val="left"/>
        <w:rPr>
          <w:sz w:val="18"/>
        </w:rPr>
      </w:pPr>
      <w:r>
        <w:rPr/>
        <w:pict>
          <v:group style="position:absolute;margin-left:282.75pt;margin-top:11.501984pt;width:53.5pt;height:2.5pt;mso-position-horizontal-relative:page;mso-position-vertical-relative:paragraph;z-index:8128;mso-wrap-distance-left:0;mso-wrap-distance-right:0" coordorigin="5655,230" coordsize="1070,50">
            <v:line style="position:absolute" from="5660,235" to="6720,235" stroked="true" strokeweight=".5pt" strokecolor="#231f20">
              <v:stroke dashstyle="solid"/>
            </v:line>
            <v:line style="position:absolute" from="5660,275" to="6720,275" stroked="true" strokeweight=".5pt" strokecolor="#231f20">
              <v:stroke dashstyle="solid"/>
            </v:line>
            <w10:wrap type="topAndBottom"/>
          </v:group>
        </w:pict>
      </w:r>
      <w:r>
        <w:rPr/>
        <w:pict>
          <v:group style="position:absolute;margin-left:350.75pt;margin-top:11.501984pt;width:48.5pt;height:2.5pt;mso-position-horizontal-relative:page;mso-position-vertical-relative:paragraph;z-index:8152;mso-wrap-distance-left:0;mso-wrap-distance-right:0" coordorigin="7015,230" coordsize="970,50">
            <v:line style="position:absolute" from="7020,235" to="7980,235" stroked="true" strokeweight=".5pt" strokecolor="#231f20">
              <v:stroke dashstyle="solid"/>
            </v:line>
            <v:line style="position:absolute" from="7020,275" to="7980,275" stroked="true" strokeweight=".5pt" strokecolor="#231f20">
              <v:stroke dashstyle="solid"/>
            </v:line>
            <w10:wrap type="topAndBottom"/>
          </v:group>
        </w:pict>
      </w:r>
      <w:r>
        <w:rPr/>
        <w:pict>
          <v:group style="position:absolute;margin-left:408.75pt;margin-top:11.501984pt;width:53.5pt;height:2.5pt;mso-position-horizontal-relative:page;mso-position-vertical-relative:paragraph;z-index:8176;mso-wrap-distance-left:0;mso-wrap-distance-right:0" coordorigin="8175,230" coordsize="1070,50">
            <v:line style="position:absolute" from="8180,235" to="9240,235" stroked="true" strokeweight=".5pt" strokecolor="#231f20">
              <v:stroke dashstyle="solid"/>
            </v:line>
            <v:line style="position:absolute" from="8180,275" to="9240,275" stroked="true" strokeweight=".5pt" strokecolor="#231f20">
              <v:stroke dashstyle="solid"/>
            </v:line>
            <w10:wrap type="topAndBottom"/>
          </v:group>
        </w:pict>
      </w:r>
      <w:r>
        <w:rPr/>
        <w:pict>
          <v:group style="position:absolute;margin-left:471.75pt;margin-top:11.501984pt;width:53.5pt;height:2.5pt;mso-position-horizontal-relative:page;mso-position-vertical-relative:paragraph;z-index:8200;mso-wrap-distance-left:0;mso-wrap-distance-right:0" coordorigin="9435,230" coordsize="1070,50">
            <v:line style="position:absolute" from="9440,235" to="10500,235" stroked="true" strokeweight=".5pt" strokecolor="#231f20">
              <v:stroke dashstyle="solid"/>
            </v:line>
            <v:line style="position:absolute" from="9440,275" to="10500,275" stroked="true" strokeweight=".5pt" strokecolor="#231f20">
              <v:stroke dashstyle="solid"/>
            </v:line>
            <w10:wrap type="topAndBottom"/>
          </v:group>
        </w:pict>
      </w:r>
      <w:r>
        <w:rPr/>
        <w:pict>
          <v:line style="position:absolute;mso-position-horizontal-relative:page;mso-position-vertical-relative:paragraph;z-index:8224;mso-wrap-distance-left:0;mso-wrap-distance-right:0" from="69pt,21.751984pt" to="117pt,21.751984pt" stroked="true" strokeweight=".5pt" strokecolor="#231f20">
            <v:stroke dashstyle="solid"/>
            <w10:wrap type="topAndBottom"/>
          </v:line>
        </w:pict>
      </w:r>
      <w:r>
        <w:rPr>
          <w:color w:val="231F20"/>
          <w:sz w:val="18"/>
        </w:rPr>
        <w:t>2013  . . . . . . . . . . . . . . . . . . . . . . . . . . . . . . . . . . . . . .</w:t>
      </w:r>
      <w:r>
        <w:rPr>
          <w:color w:val="231F20"/>
          <w:spacing w:val="-15"/>
          <w:sz w:val="18"/>
        </w:rPr>
        <w:t> </w:t>
      </w:r>
      <w:r>
        <w:rPr>
          <w:color w:val="231F20"/>
          <w:sz w:val="18"/>
        </w:rPr>
        <w:t>.   </w:t>
      </w:r>
      <w:r>
        <w:rPr>
          <w:color w:val="231F20"/>
          <w:spacing w:val="20"/>
          <w:sz w:val="18"/>
        </w:rPr>
        <w:t> </w:t>
      </w:r>
      <w:r>
        <w:rPr>
          <w:color w:val="231F20"/>
          <w:sz w:val="18"/>
        </w:rPr>
        <w:t>$</w:t>
        <w:tab/>
        <w:t>86</w:t>
        <w:tab/>
        <w:t>$</w:t>
        <w:tab/>
        <w:t>—</w:t>
        <w:tab/>
        <w:t>$</w:t>
        <w:tab/>
        <w:t>—</w:t>
        <w:tab/>
        <w:t>$</w:t>
        <w:tab/>
        <w:t>86</w:t>
      </w:r>
    </w:p>
    <w:p>
      <w:pPr>
        <w:pStyle w:val="BodyText"/>
        <w:spacing w:before="1"/>
        <w:rPr>
          <w:sz w:val="7"/>
        </w:rPr>
      </w:pPr>
    </w:p>
    <w:p>
      <w:pPr>
        <w:pStyle w:val="ListParagraph"/>
        <w:numPr>
          <w:ilvl w:val="0"/>
          <w:numId w:val="18"/>
        </w:numPr>
        <w:tabs>
          <w:tab w:pos="560" w:val="left" w:leader="none"/>
        </w:tabs>
        <w:spacing w:line="249" w:lineRule="auto" w:before="24" w:after="0"/>
        <w:ind w:left="560" w:right="294" w:hanging="400"/>
        <w:jc w:val="left"/>
        <w:rPr>
          <w:sz w:val="20"/>
        </w:rPr>
      </w:pPr>
      <w:r>
        <w:rPr>
          <w:color w:val="231F20"/>
          <w:sz w:val="20"/>
        </w:rPr>
        <w:t>The purchase and sale of fuel derivatives are recorded gross based on the structure of the derivative instrument and whether a contract with multiple derivatives is purchased as a single instrument or separate instruments.</w:t>
      </w:r>
    </w:p>
    <w:p>
      <w:pPr>
        <w:pStyle w:val="ListParagraph"/>
        <w:numPr>
          <w:ilvl w:val="0"/>
          <w:numId w:val="18"/>
        </w:numPr>
        <w:tabs>
          <w:tab w:pos="560" w:val="left" w:leader="none"/>
        </w:tabs>
        <w:spacing w:line="240" w:lineRule="auto" w:before="1" w:after="0"/>
        <w:ind w:left="560" w:right="0" w:hanging="400"/>
        <w:jc w:val="left"/>
        <w:rPr>
          <w:sz w:val="20"/>
        </w:rPr>
      </w:pPr>
      <w:r>
        <w:rPr>
          <w:color w:val="231F20"/>
          <w:sz w:val="20"/>
        </w:rPr>
        <w:t>Included in Other assets in the Consolidated Balance</w:t>
      </w:r>
      <w:r>
        <w:rPr>
          <w:color w:val="231F20"/>
          <w:spacing w:val="3"/>
          <w:sz w:val="20"/>
        </w:rPr>
        <w:t> </w:t>
      </w:r>
      <w:r>
        <w:rPr>
          <w:color w:val="231F20"/>
          <w:sz w:val="20"/>
        </w:rPr>
        <w:t>Sheet.</w:t>
      </w:r>
    </w:p>
    <w:p>
      <w:pPr>
        <w:pStyle w:val="BodyText"/>
        <w:spacing w:before="3"/>
        <w:rPr>
          <w:sz w:val="19"/>
        </w:rPr>
      </w:pPr>
    </w:p>
    <w:p>
      <w:pPr>
        <w:spacing w:line="254" w:lineRule="auto" w:before="0"/>
        <w:ind w:left="5719" w:right="904" w:hanging="483"/>
        <w:jc w:val="left"/>
        <w:rPr>
          <w:b/>
          <w:sz w:val="18"/>
        </w:rPr>
      </w:pPr>
      <w:r>
        <w:rPr/>
        <w:pict>
          <v:line style="position:absolute;mso-position-horizontal-relative:page;mso-position-vertical-relative:paragraph;z-index:8776" from="282.75pt,22.902359pt" to="525pt,22.902359pt" stroked="true" strokeweight="1pt" strokecolor="#231f20">
            <v:stroke dashstyle="solid"/>
            <w10:wrap type="none"/>
          </v:line>
        </w:pict>
      </w:r>
      <w:r>
        <w:rPr>
          <w:b/>
          <w:color w:val="231F20"/>
          <w:sz w:val="18"/>
        </w:rPr>
        <w:t>Fair value measurements using significant unobservable inputs (Level 3)</w:t>
      </w:r>
    </w:p>
    <w:p>
      <w:pPr>
        <w:spacing w:after="0" w:line="254" w:lineRule="auto"/>
        <w:jc w:val="left"/>
        <w:rPr>
          <w:sz w:val="18"/>
        </w:rPr>
        <w:sectPr>
          <w:type w:val="continuous"/>
          <w:pgSz w:w="11880" w:h="15480"/>
          <w:pgMar w:top="1200" w:bottom="280" w:left="1220" w:right="1260"/>
        </w:sectPr>
      </w:pPr>
    </w:p>
    <w:p>
      <w:pPr>
        <w:pStyle w:val="BodyText"/>
        <w:spacing w:before="2"/>
        <w:rPr>
          <w:b/>
          <w:sz w:val="19"/>
        </w:rPr>
      </w:pPr>
    </w:p>
    <w:p>
      <w:pPr>
        <w:spacing w:before="0"/>
        <w:ind w:left="160" w:right="0" w:firstLine="0"/>
        <w:jc w:val="left"/>
        <w:rPr>
          <w:sz w:val="18"/>
        </w:rPr>
      </w:pPr>
      <w:r>
        <w:rPr/>
        <w:pict>
          <v:line style="position:absolute;mso-position-horizontal-relative:page;mso-position-vertical-relative:paragraph;z-index:8800" from="69pt,11.902359pt" to="113.75pt,11.902359pt" stroked="true" strokeweight="1pt" strokecolor="#231f20">
            <v:stroke dashstyle="solid"/>
            <w10:wrap type="none"/>
          </v:line>
        </w:pict>
      </w:r>
      <w:r>
        <w:rPr>
          <w:color w:val="231F20"/>
          <w:sz w:val="18"/>
        </w:rPr>
        <w:t>(in millions)</w:t>
      </w:r>
    </w:p>
    <w:p>
      <w:pPr>
        <w:spacing w:line="180" w:lineRule="exact" w:before="65"/>
        <w:ind w:left="160" w:right="-20" w:firstLine="250"/>
        <w:jc w:val="left"/>
        <w:rPr>
          <w:b/>
          <w:sz w:val="18"/>
        </w:rPr>
      </w:pPr>
      <w:r>
        <w:rPr/>
        <w:br w:type="column"/>
      </w:r>
      <w:r>
        <w:rPr>
          <w:b/>
          <w:color w:val="231F20"/>
          <w:sz w:val="18"/>
        </w:rPr>
        <w:t>Fuel derivatives</w:t>
      </w:r>
    </w:p>
    <w:p>
      <w:pPr>
        <w:spacing w:line="180" w:lineRule="exact" w:before="65"/>
        <w:ind w:left="282" w:right="-19" w:hanging="123"/>
        <w:jc w:val="left"/>
        <w:rPr>
          <w:b/>
          <w:sz w:val="18"/>
        </w:rPr>
      </w:pPr>
      <w:r>
        <w:rPr/>
        <w:br w:type="column"/>
      </w:r>
      <w:r>
        <w:rPr>
          <w:b/>
          <w:color w:val="231F20"/>
          <w:sz w:val="18"/>
        </w:rPr>
        <w:t>Auction rate</w:t>
      </w:r>
      <w:r>
        <w:rPr>
          <w:b/>
          <w:color w:val="231F20"/>
          <w:w w:val="100"/>
          <w:sz w:val="18"/>
        </w:rPr>
        <w:t> </w:t>
      </w:r>
      <w:r>
        <w:rPr>
          <w:b/>
          <w:color w:val="231F20"/>
          <w:sz w:val="18"/>
        </w:rPr>
        <w:t>securities</w:t>
      </w:r>
    </w:p>
    <w:p>
      <w:pPr>
        <w:spacing w:line="193" w:lineRule="exact" w:before="40"/>
        <w:ind w:left="289" w:right="0" w:firstLine="0"/>
        <w:jc w:val="left"/>
        <w:rPr>
          <w:b/>
          <w:sz w:val="18"/>
        </w:rPr>
      </w:pPr>
      <w:r>
        <w:rPr/>
        <w:br w:type="column"/>
      </w:r>
      <w:r>
        <w:rPr>
          <w:b/>
          <w:color w:val="231F20"/>
          <w:sz w:val="18"/>
        </w:rPr>
        <w:t>Other</w:t>
      </w:r>
    </w:p>
    <w:p>
      <w:pPr>
        <w:tabs>
          <w:tab w:pos="1574" w:val="left" w:leader="none"/>
        </w:tabs>
        <w:spacing w:line="193" w:lineRule="exact" w:before="0"/>
        <w:ind w:left="160" w:right="0" w:firstLine="0"/>
        <w:jc w:val="left"/>
        <w:rPr>
          <w:b/>
          <w:sz w:val="18"/>
        </w:rPr>
      </w:pPr>
      <w:r>
        <w:rPr/>
        <w:pict>
          <v:line style="position:absolute;mso-position-horizontal-relative:page;mso-position-vertical-relative:paragraph;z-index:8872" from="409pt,11.227798pt" to="462pt,11.227798pt" stroked="true" strokeweight="1pt" strokecolor="#231f20">
            <v:stroke dashstyle="solid"/>
            <w10:wrap type="none"/>
          </v:line>
        </w:pict>
      </w:r>
      <w:r>
        <w:rPr/>
        <w:pict>
          <v:line style="position:absolute;mso-position-horizontal-relative:page;mso-position-vertical-relative:paragraph;z-index:8896" from="472pt,11.227798pt" to="525pt,11.227798pt" stroked="true" strokeweight="1pt" strokecolor="#231f20">
            <v:stroke dashstyle="solid"/>
            <w10:wrap type="none"/>
          </v:line>
        </w:pict>
      </w:r>
      <w:r>
        <w:rPr>
          <w:b/>
          <w:color w:val="231F20"/>
          <w:sz w:val="18"/>
        </w:rPr>
        <w:t>securities</w:t>
        <w:tab/>
        <w:t>Total</w:t>
      </w:r>
    </w:p>
    <w:p>
      <w:pPr>
        <w:spacing w:after="0" w:line="193" w:lineRule="exact"/>
        <w:jc w:val="left"/>
        <w:rPr>
          <w:sz w:val="18"/>
        </w:rPr>
        <w:sectPr>
          <w:type w:val="continuous"/>
          <w:pgSz w:w="11880" w:h="15480"/>
          <w:pgMar w:top="1200" w:bottom="280" w:left="1220" w:right="1260"/>
          <w:cols w:num="4" w:equalWidth="0">
            <w:col w:w="1056" w:space="3329"/>
            <w:col w:w="1000" w:space="250"/>
            <w:col w:w="1125" w:space="210"/>
            <w:col w:w="2430"/>
          </w:cols>
        </w:sectPr>
      </w:pPr>
    </w:p>
    <w:p>
      <w:pPr>
        <w:tabs>
          <w:tab w:pos="5124" w:val="left" w:leader="none"/>
          <w:tab w:pos="5794" w:val="left" w:leader="none"/>
          <w:tab w:pos="6479" w:val="left" w:leader="none"/>
          <w:tab w:pos="6959" w:val="left" w:leader="none"/>
          <w:tab w:pos="7829" w:val="left" w:leader="none"/>
          <w:tab w:pos="8219" w:val="left" w:leader="none"/>
          <w:tab w:pos="9179" w:val="right" w:leader="none"/>
        </w:tabs>
        <w:spacing w:line="203" w:lineRule="exact" w:before="72"/>
        <w:ind w:left="160" w:right="0" w:firstLine="0"/>
        <w:jc w:val="left"/>
        <w:rPr>
          <w:sz w:val="18"/>
        </w:rPr>
      </w:pPr>
      <w:r>
        <w:rPr/>
        <w:pict>
          <v:line style="position:absolute;mso-position-horizontal-relative:page;mso-position-vertical-relative:paragraph;z-index:8824" from="282.75pt,1.502359pt" to="335.75pt,1.502359pt" stroked="true" strokeweight="1pt" strokecolor="#231f20">
            <v:stroke dashstyle="solid"/>
            <w10:wrap type="none"/>
          </v:line>
        </w:pict>
      </w:r>
      <w:r>
        <w:rPr/>
        <w:pict>
          <v:line style="position:absolute;mso-position-horizontal-relative:page;mso-position-vertical-relative:paragraph;z-index:8848" from="350.75pt,1.502359pt" to="399pt,1.502359pt" stroked="true" strokeweight="1pt" strokecolor="#231f20">
            <v:stroke dashstyle="solid"/>
            <w10:wrap type="none"/>
          </v:line>
        </w:pict>
      </w:r>
      <w:r>
        <w:rPr>
          <w:color w:val="231F20"/>
          <w:sz w:val="18"/>
        </w:rPr>
        <w:t>Balance at December 31, 2011  . . . . . . . . . . . . . . . . . . .</w:t>
      </w:r>
      <w:r>
        <w:rPr>
          <w:color w:val="231F20"/>
          <w:spacing w:val="15"/>
          <w:sz w:val="18"/>
        </w:rPr>
        <w:t> </w:t>
      </w:r>
      <w:r>
        <w:rPr>
          <w:color w:val="231F20"/>
          <w:sz w:val="18"/>
        </w:rPr>
        <w:t>.   </w:t>
      </w:r>
      <w:r>
        <w:rPr>
          <w:color w:val="231F20"/>
          <w:spacing w:val="20"/>
          <w:sz w:val="18"/>
        </w:rPr>
        <w:t> </w:t>
      </w:r>
      <w:r>
        <w:rPr>
          <w:color w:val="231F20"/>
          <w:sz w:val="18"/>
        </w:rPr>
        <w:t>$</w:t>
        <w:tab/>
        <w:t>417</w:t>
        <w:tab/>
        <w:t>$</w:t>
        <w:tab/>
        <w:t>67</w:t>
        <w:tab/>
        <w:t>$</w:t>
        <w:tab/>
        <w:t>5</w:t>
        <w:tab/>
        <w:t>$</w:t>
        <w:tab/>
        <w:t>489</w:t>
      </w:r>
    </w:p>
    <w:p>
      <w:pPr>
        <w:spacing w:line="200" w:lineRule="exact" w:before="0"/>
        <w:ind w:left="159" w:right="0" w:firstLine="0"/>
        <w:jc w:val="left"/>
        <w:rPr>
          <w:sz w:val="18"/>
        </w:rPr>
      </w:pPr>
      <w:r>
        <w:rPr>
          <w:color w:val="231F20"/>
          <w:sz w:val="18"/>
        </w:rPr>
        <w:t>Total gains or (losses) (realized or unrealized)</w:t>
      </w:r>
    </w:p>
    <w:p>
      <w:pPr>
        <w:tabs>
          <w:tab w:pos="5154" w:val="left" w:leader="none"/>
          <w:tab w:pos="5214" w:val="left" w:leader="none"/>
          <w:tab w:pos="6389" w:val="left" w:leader="none"/>
          <w:tab w:pos="7649" w:val="left" w:leader="none"/>
          <w:tab w:pos="8939" w:val="left" w:leader="none"/>
          <w:tab w:pos="9179" w:val="right" w:leader="none"/>
        </w:tabs>
        <w:spacing w:line="200" w:lineRule="exact" w:before="5"/>
        <w:ind w:left="340" w:right="158" w:firstLine="0"/>
        <w:jc w:val="left"/>
        <w:rPr>
          <w:sz w:val="18"/>
        </w:rPr>
      </w:pPr>
      <w:r>
        <w:rPr>
          <w:color w:val="231F20"/>
          <w:sz w:val="18"/>
        </w:rPr>
        <w:t>Included in earnings   . . . . . . . . . . . . . . . . . . . . . . . .</w:t>
      </w:r>
      <w:r>
        <w:rPr>
          <w:color w:val="231F20"/>
          <w:spacing w:val="-5"/>
          <w:sz w:val="18"/>
        </w:rPr>
        <w:t> </w:t>
      </w:r>
      <w:r>
        <w:rPr>
          <w:color w:val="231F20"/>
          <w:sz w:val="18"/>
        </w:rPr>
        <w:t>. .</w:t>
        <w:tab/>
        <w:t>(62)</w:t>
        <w:tab/>
        <w:t>—</w:t>
        <w:tab/>
        <w:t>—</w:t>
        <w:tab/>
        <w:t>(62) Included in other comprehensive income  . . . . . . . .</w:t>
      </w:r>
      <w:r>
        <w:rPr>
          <w:color w:val="231F20"/>
          <w:spacing w:val="10"/>
          <w:sz w:val="18"/>
        </w:rPr>
        <w:t> </w:t>
      </w:r>
      <w:r>
        <w:rPr>
          <w:color w:val="231F20"/>
          <w:sz w:val="18"/>
        </w:rPr>
        <w:t>. .</w:t>
        <w:tab/>
        <w:tab/>
        <w:t>22</w:t>
        <w:tab/>
        <w:t>—</w:t>
        <w:tab/>
        <w:t>—</w:t>
        <w:tab/>
        <w:tab/>
        <w:t>22</w:t>
      </w:r>
    </w:p>
    <w:p>
      <w:pPr>
        <w:tabs>
          <w:tab w:pos="4989" w:val="left" w:leader="none"/>
          <w:tab w:pos="6389" w:val="left" w:leader="none"/>
          <w:tab w:pos="7649" w:val="left" w:leader="none"/>
          <w:tab w:pos="8774" w:val="left" w:leader="none"/>
        </w:tabs>
        <w:spacing w:line="195" w:lineRule="exact" w:before="0"/>
        <w:ind w:left="160" w:right="0" w:firstLine="0"/>
        <w:jc w:val="left"/>
        <w:rPr>
          <w:sz w:val="18"/>
        </w:rPr>
      </w:pPr>
      <w:r>
        <w:rPr>
          <w:color w:val="231F20"/>
          <w:sz w:val="18"/>
        </w:rPr>
        <w:t>Purchases  . . . . . . . . . . . . . . . . . . . . . . . . . . . . . . . . . . .</w:t>
      </w:r>
      <w:r>
        <w:rPr>
          <w:color w:val="231F20"/>
          <w:spacing w:val="-21"/>
          <w:sz w:val="18"/>
        </w:rPr>
        <w:t> </w:t>
      </w:r>
      <w:r>
        <w:rPr>
          <w:color w:val="231F20"/>
          <w:sz w:val="18"/>
        </w:rPr>
        <w:t>. .</w:t>
        <w:tab/>
        <w:t>1,003(a)</w:t>
        <w:tab/>
        <w:t>—</w:t>
        <w:tab/>
        <w:t>—</w:t>
        <w:tab/>
        <w:t>1,003</w:t>
      </w:r>
    </w:p>
    <w:p>
      <w:pPr>
        <w:tabs>
          <w:tab w:pos="4929" w:val="left" w:leader="none"/>
          <w:tab w:pos="6419" w:val="left" w:leader="none"/>
          <w:tab w:pos="7649" w:val="left" w:leader="none"/>
          <w:tab w:pos="8714" w:val="left" w:leader="none"/>
        </w:tabs>
        <w:spacing w:line="200" w:lineRule="exact" w:before="0"/>
        <w:ind w:left="160" w:right="0" w:firstLine="0"/>
        <w:jc w:val="left"/>
        <w:rPr>
          <w:sz w:val="18"/>
        </w:rPr>
      </w:pPr>
      <w:r>
        <w:rPr>
          <w:color w:val="231F20"/>
          <w:sz w:val="18"/>
        </w:rPr>
        <w:t>Sales . . . . . . . . . . . . . . . . . . . . . . . . . . . . . . . . . . . . . . .</w:t>
      </w:r>
      <w:r>
        <w:rPr>
          <w:color w:val="231F20"/>
          <w:spacing w:val="5"/>
          <w:sz w:val="18"/>
        </w:rPr>
        <w:t> </w:t>
      </w:r>
      <w:r>
        <w:rPr>
          <w:color w:val="231F20"/>
          <w:sz w:val="18"/>
        </w:rPr>
        <w:t>. .</w:t>
        <w:tab/>
        <w:t>(1,081)(a)</w:t>
        <w:tab/>
        <w:t>(31)</w:t>
        <w:tab/>
        <w:t>—</w:t>
        <w:tab/>
        <w:t>(1,112)</w:t>
      </w:r>
    </w:p>
    <w:p>
      <w:pPr>
        <w:tabs>
          <w:tab w:pos="5154" w:val="left" w:leader="none"/>
          <w:tab w:pos="6389" w:val="left" w:leader="none"/>
          <w:tab w:pos="7649" w:val="left" w:leader="none"/>
          <w:tab w:pos="8939" w:val="left" w:leader="none"/>
        </w:tabs>
        <w:spacing w:line="203" w:lineRule="exact" w:before="0"/>
        <w:ind w:left="160" w:right="0" w:firstLine="0"/>
        <w:jc w:val="left"/>
        <w:rPr>
          <w:sz w:val="18"/>
        </w:rPr>
      </w:pPr>
      <w:r>
        <w:rPr/>
        <w:pict>
          <v:line style="position:absolute;mso-position-horizontal-relative:page;mso-position-vertical-relative:paragraph;z-index:8248;mso-wrap-distance-left:0;mso-wrap-distance-right:0" from="282.75pt,11.983276pt" to="335.75pt,11.983276pt" stroked="true" strokeweight=".5pt" strokecolor="#231f20">
            <v:stroke dashstyle="solid"/>
            <w10:wrap type="topAndBottom"/>
          </v:line>
        </w:pict>
      </w:r>
      <w:r>
        <w:rPr/>
        <w:pict>
          <v:line style="position:absolute;mso-position-horizontal-relative:page;mso-position-vertical-relative:paragraph;z-index:8272;mso-wrap-distance-left:0;mso-wrap-distance-right:0" from="350.75pt,11.983276pt" to="399pt,11.983276pt" stroked="true" strokeweight=".5pt" strokecolor="#231f20">
            <v:stroke dashstyle="solid"/>
            <w10:wrap type="topAndBottom"/>
          </v:line>
        </w:pict>
      </w:r>
      <w:r>
        <w:rPr/>
        <w:pict>
          <v:line style="position:absolute;mso-position-horizontal-relative:page;mso-position-vertical-relative:paragraph;z-index:8296;mso-wrap-distance-left:0;mso-wrap-distance-right:0" from="409pt,11.983276pt" to="462pt,11.983276pt" stroked="true" strokeweight=".5pt" strokecolor="#231f20">
            <v:stroke dashstyle="solid"/>
            <w10:wrap type="topAndBottom"/>
          </v:line>
        </w:pict>
      </w:r>
      <w:r>
        <w:rPr/>
        <w:pict>
          <v:line style="position:absolute;mso-position-horizontal-relative:page;mso-position-vertical-relative:paragraph;z-index:8320;mso-wrap-distance-left:0;mso-wrap-distance-right:0" from="472pt,11.983276pt" to="525pt,11.983276pt" stroked="true" strokeweight=".5pt" strokecolor="#231f20">
            <v:stroke dashstyle="solid"/>
            <w10:wrap type="topAndBottom"/>
          </v:line>
        </w:pict>
      </w:r>
      <w:r>
        <w:rPr>
          <w:color w:val="231F20"/>
          <w:sz w:val="18"/>
        </w:rPr>
        <w:t>Settlements   . . . . . . . . . . . . . . . . . . . . . . . . . . . . . . . . .</w:t>
      </w:r>
      <w:r>
        <w:rPr>
          <w:color w:val="231F20"/>
          <w:spacing w:val="-6"/>
          <w:sz w:val="18"/>
        </w:rPr>
        <w:t> </w:t>
      </w:r>
      <w:r>
        <w:rPr>
          <w:color w:val="231F20"/>
          <w:sz w:val="18"/>
        </w:rPr>
        <w:t>. .</w:t>
        <w:tab/>
        <w:t>(80)</w:t>
        <w:tab/>
        <w:t>—</w:t>
        <w:tab/>
        <w:t>—</w:t>
        <w:tab/>
        <w:t>(80)</w:t>
      </w:r>
    </w:p>
    <w:p>
      <w:pPr>
        <w:tabs>
          <w:tab w:pos="5124" w:val="left" w:leader="none"/>
          <w:tab w:pos="5794" w:val="left" w:leader="none"/>
          <w:tab w:pos="6479" w:val="left" w:leader="none"/>
          <w:tab w:pos="7829" w:val="left" w:leader="none"/>
          <w:tab w:pos="8219" w:val="left" w:leader="none"/>
          <w:tab w:pos="8909" w:val="left" w:leader="none"/>
        </w:tabs>
        <w:spacing w:before="3" w:after="31"/>
        <w:ind w:left="160" w:right="0" w:firstLine="0"/>
        <w:jc w:val="left"/>
        <w:rPr>
          <w:sz w:val="18"/>
        </w:rPr>
      </w:pPr>
      <w:r>
        <w:rPr>
          <w:color w:val="231F20"/>
          <w:sz w:val="18"/>
        </w:rPr>
        <w:t>Balance at December 31, 2012  . . . . . . . . . . . . . . . . . . .</w:t>
      </w:r>
      <w:r>
        <w:rPr>
          <w:color w:val="231F20"/>
          <w:spacing w:val="15"/>
          <w:sz w:val="18"/>
        </w:rPr>
        <w:t> </w:t>
      </w:r>
      <w:r>
        <w:rPr>
          <w:color w:val="231F20"/>
          <w:sz w:val="18"/>
        </w:rPr>
        <w:t>.   </w:t>
      </w:r>
      <w:r>
        <w:rPr>
          <w:color w:val="231F20"/>
          <w:spacing w:val="20"/>
          <w:sz w:val="18"/>
        </w:rPr>
        <w:t> </w:t>
      </w:r>
      <w:r>
        <w:rPr>
          <w:color w:val="231F20"/>
          <w:sz w:val="18"/>
        </w:rPr>
        <w:t>$</w:t>
        <w:tab/>
        <w:t>219</w:t>
        <w:tab/>
        <w:t>$</w:t>
        <w:tab/>
        <w:t>36(b)  $</w:t>
        <w:tab/>
        <w:t>5</w:t>
        <w:tab/>
        <w:t>$</w:t>
        <w:tab/>
        <w:t>260</w:t>
      </w:r>
    </w:p>
    <w:p>
      <w:pPr>
        <w:tabs>
          <w:tab w:pos="5790" w:val="left" w:leader="none"/>
        </w:tabs>
        <w:spacing w:line="50" w:lineRule="exact"/>
        <w:ind w:left="4430" w:right="0" w:firstLine="0"/>
        <w:rPr>
          <w:sz w:val="5"/>
        </w:rPr>
      </w:pPr>
      <w:r>
        <w:rPr>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position w:val="0"/>
          <w:sz w:val="5"/>
        </w:rPr>
      </w:r>
      <w:r>
        <w:rPr>
          <w:position w:val="0"/>
          <w:sz w:val="5"/>
        </w:rPr>
        <w:tab/>
      </w:r>
      <w:r>
        <w:rPr>
          <w:position w:val="0"/>
          <w:sz w:val="5"/>
        </w:rPr>
        <w:pict>
          <v:group style="width:48.75pt;height:2.5pt;mso-position-horizontal-relative:char;mso-position-vertical-relative:line" coordorigin="0,0" coordsize="975,50">
            <v:line style="position:absolute" from="5,5" to="970,5" stroked="true" strokeweight=".5pt" strokecolor="#231f20">
              <v:stroke dashstyle="solid"/>
            </v:line>
            <v:line style="position:absolute" from="5,45" to="970,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spacing w:val="152"/>
          <w:position w:val="0"/>
          <w:sz w:val="5"/>
        </w:rPr>
      </w:r>
      <w:r>
        <w:rPr>
          <w:spacing w:val="157"/>
          <w:position w:val="0"/>
          <w:sz w:val="5"/>
        </w:rPr>
        <w:t> </w:t>
      </w:r>
      <w:r>
        <w:rPr>
          <w:spacing w:val="157"/>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spacing w:val="157"/>
          <w:position w:val="0"/>
          <w:sz w:val="5"/>
        </w:rPr>
      </w:r>
    </w:p>
    <w:p>
      <w:pPr>
        <w:spacing w:line="200" w:lineRule="exact" w:before="40"/>
        <w:ind w:left="340" w:right="5156" w:hanging="180"/>
        <w:jc w:val="left"/>
        <w:rPr>
          <w:sz w:val="18"/>
        </w:rPr>
      </w:pPr>
      <w:r>
        <w:rPr>
          <w:color w:val="231F20"/>
          <w:sz w:val="18"/>
        </w:rPr>
        <w:t>The amount of total gains for the period included in earnings attributable to the change in unrealized gains or losses relating to assets still held at December 31,</w:t>
      </w:r>
    </w:p>
    <w:p>
      <w:pPr>
        <w:tabs>
          <w:tab w:pos="4994" w:val="left" w:leader="none"/>
          <w:tab w:pos="5574" w:val="left" w:leader="none"/>
          <w:tab w:pos="6169" w:val="left" w:leader="none"/>
          <w:tab w:pos="6739" w:val="left" w:leader="none"/>
          <w:tab w:pos="7429" w:val="left" w:leader="none"/>
          <w:tab w:pos="7999" w:val="left" w:leader="none"/>
          <w:tab w:pos="8779" w:val="left" w:leader="none"/>
        </w:tabs>
        <w:spacing w:line="199" w:lineRule="exact" w:before="0"/>
        <w:ind w:left="119" w:right="0" w:firstLine="0"/>
        <w:jc w:val="center"/>
        <w:rPr>
          <w:sz w:val="18"/>
        </w:rPr>
      </w:pPr>
      <w:r>
        <w:rPr/>
        <w:pict>
          <v:group style="position:absolute;margin-left:282.5pt;margin-top:11.501999pt;width:53.5pt;height:2.5pt;mso-position-horizontal-relative:page;mso-position-vertical-relative:paragraph;z-index:8440;mso-wrap-distance-left:0;mso-wrap-distance-right:0" coordorigin="5650,230" coordsize="1070,50">
            <v:line style="position:absolute" from="5655,235" to="6715,235" stroked="true" strokeweight=".5pt" strokecolor="#231f20">
              <v:stroke dashstyle="solid"/>
            </v:line>
            <v:line style="position:absolute" from="5655,275" to="6715,275" stroked="true" strokeweight=".5pt" strokecolor="#231f20">
              <v:stroke dashstyle="solid"/>
            </v:line>
            <w10:wrap type="topAndBottom"/>
          </v:group>
        </w:pict>
      </w:r>
      <w:r>
        <w:rPr/>
        <w:pict>
          <v:group style="position:absolute;margin-left:350.5pt;margin-top:11.501999pt;width:48.75pt;height:2.5pt;mso-position-horizontal-relative:page;mso-position-vertical-relative:paragraph;z-index:8464;mso-wrap-distance-left:0;mso-wrap-distance-right:0" coordorigin="7010,230" coordsize="975,50">
            <v:line style="position:absolute" from="7015,235" to="7980,235" stroked="true" strokeweight=".5pt" strokecolor="#231f20">
              <v:stroke dashstyle="solid"/>
            </v:line>
            <v:line style="position:absolute" from="7015,275" to="7980,275" stroked="true" strokeweight=".5pt" strokecolor="#231f20">
              <v:stroke dashstyle="solid"/>
            </v:line>
            <w10:wrap type="topAndBottom"/>
          </v:group>
        </w:pict>
      </w:r>
      <w:r>
        <w:rPr/>
        <w:pict>
          <v:group style="position:absolute;margin-left:408.75pt;margin-top:11.501999pt;width:53.5pt;height:2.5pt;mso-position-horizontal-relative:page;mso-position-vertical-relative:paragraph;z-index:8488;mso-wrap-distance-left:0;mso-wrap-distance-right:0" coordorigin="8175,230" coordsize="1070,50">
            <v:line style="position:absolute" from="8180,235" to="9240,235" stroked="true" strokeweight=".5pt" strokecolor="#231f20">
              <v:stroke dashstyle="solid"/>
            </v:line>
            <v:line style="position:absolute" from="8180,275" to="9240,275" stroked="true" strokeweight=".5pt" strokecolor="#231f20">
              <v:stroke dashstyle="solid"/>
            </v:line>
            <w10:wrap type="topAndBottom"/>
          </v:group>
        </w:pict>
      </w:r>
      <w:r>
        <w:rPr/>
        <w:pict>
          <v:group style="position:absolute;margin-left:471.75pt;margin-top:11.501999pt;width:53.5pt;height:2.5pt;mso-position-horizontal-relative:page;mso-position-vertical-relative:paragraph;z-index:8512;mso-wrap-distance-left:0;mso-wrap-distance-right:0" coordorigin="9435,230" coordsize="1070,50">
            <v:line style="position:absolute" from="9440,235" to="10500,235" stroked="true" strokeweight=".5pt" strokecolor="#231f20">
              <v:stroke dashstyle="solid"/>
            </v:line>
            <v:line style="position:absolute" from="9440,275" to="10500,275" stroked="true" strokeweight=".5pt" strokecolor="#231f20">
              <v:stroke dashstyle="solid"/>
            </v:line>
            <w10:wrap type="topAndBottom"/>
          </v:group>
        </w:pict>
      </w:r>
      <w:r>
        <w:rPr/>
        <w:pict>
          <v:line style="position:absolute;mso-position-horizontal-relative:page;mso-position-vertical-relative:paragraph;z-index:8536;mso-wrap-distance-left:0;mso-wrap-distance-right:0" from="69pt,21.751999pt" to="117pt,21.751999pt" stroked="true" strokeweight=".5pt" strokecolor="#231f20">
            <v:stroke dashstyle="solid"/>
            <w10:wrap type="topAndBottom"/>
          </v:line>
        </w:pict>
      </w:r>
      <w:r>
        <w:rPr>
          <w:color w:val="231F20"/>
          <w:sz w:val="18"/>
        </w:rPr>
        <w:t>2012  . . . . . . . . . . . . . . . . . . . . . . . . . . . . . . . . . . . . . .</w:t>
      </w:r>
      <w:r>
        <w:rPr>
          <w:color w:val="231F20"/>
          <w:spacing w:val="-20"/>
          <w:sz w:val="18"/>
        </w:rPr>
        <w:t> </w:t>
      </w:r>
      <w:r>
        <w:rPr>
          <w:color w:val="231F20"/>
          <w:sz w:val="18"/>
        </w:rPr>
        <w:t>.   </w:t>
      </w:r>
      <w:r>
        <w:rPr>
          <w:color w:val="231F20"/>
          <w:spacing w:val="20"/>
          <w:sz w:val="18"/>
        </w:rPr>
        <w:t> </w:t>
      </w:r>
      <w:r>
        <w:rPr>
          <w:color w:val="231F20"/>
          <w:sz w:val="18"/>
        </w:rPr>
        <w:t>$</w:t>
        <w:tab/>
        <w:t>27</w:t>
        <w:tab/>
        <w:t>$</w:t>
        <w:tab/>
        <w:t>—</w:t>
        <w:tab/>
        <w:t>$</w:t>
        <w:tab/>
        <w:t>—</w:t>
        <w:tab/>
        <w:t>$</w:t>
        <w:tab/>
        <w:t>27</w:t>
      </w:r>
    </w:p>
    <w:p>
      <w:pPr>
        <w:pStyle w:val="BodyText"/>
        <w:spacing w:before="1"/>
        <w:rPr>
          <w:sz w:val="7"/>
        </w:rPr>
      </w:pPr>
    </w:p>
    <w:p>
      <w:pPr>
        <w:pStyle w:val="ListParagraph"/>
        <w:numPr>
          <w:ilvl w:val="0"/>
          <w:numId w:val="19"/>
        </w:numPr>
        <w:tabs>
          <w:tab w:pos="560" w:val="left" w:leader="none"/>
        </w:tabs>
        <w:spacing w:line="249" w:lineRule="auto" w:before="24" w:after="0"/>
        <w:ind w:left="560" w:right="294" w:hanging="400"/>
        <w:jc w:val="left"/>
        <w:rPr>
          <w:color w:val="231F20"/>
          <w:sz w:val="20"/>
        </w:rPr>
      </w:pPr>
      <w:r>
        <w:rPr>
          <w:color w:val="231F20"/>
          <w:sz w:val="20"/>
        </w:rPr>
        <w:t>The purchase and sale of fuel derivatives are recorded gross based on the structure of the derivative instrument and whether a contract with multiple derivatives is purchased as a single instrument or separate instruments.</w:t>
      </w:r>
    </w:p>
    <w:p>
      <w:pPr>
        <w:pStyle w:val="ListParagraph"/>
        <w:numPr>
          <w:ilvl w:val="0"/>
          <w:numId w:val="19"/>
        </w:numPr>
        <w:tabs>
          <w:tab w:pos="560" w:val="left" w:leader="none"/>
        </w:tabs>
        <w:spacing w:line="240" w:lineRule="auto" w:before="1" w:after="0"/>
        <w:ind w:left="560" w:right="0" w:hanging="400"/>
        <w:jc w:val="left"/>
        <w:rPr>
          <w:color w:val="231F20"/>
          <w:sz w:val="20"/>
        </w:rPr>
      </w:pPr>
      <w:r>
        <w:rPr>
          <w:color w:val="231F20"/>
          <w:sz w:val="20"/>
        </w:rPr>
        <w:t>Included in Other assets in the Consolidated Balance</w:t>
      </w:r>
      <w:r>
        <w:rPr>
          <w:color w:val="231F20"/>
          <w:spacing w:val="3"/>
          <w:sz w:val="20"/>
        </w:rPr>
        <w:t> </w:t>
      </w:r>
      <w:r>
        <w:rPr>
          <w:color w:val="231F20"/>
          <w:sz w:val="20"/>
        </w:rPr>
        <w:t>Sheet.</w:t>
      </w:r>
    </w:p>
    <w:p>
      <w:pPr>
        <w:pStyle w:val="BodyText"/>
        <w:spacing w:before="4"/>
        <w:rPr>
          <w:sz w:val="19"/>
        </w:rPr>
      </w:pPr>
    </w:p>
    <w:p>
      <w:pPr>
        <w:pStyle w:val="BodyText"/>
        <w:spacing w:line="249" w:lineRule="auto"/>
        <w:ind w:left="160" w:right="210" w:firstLine="490"/>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 The significant unobservable inputs used in the fair value measurement of the</w:t>
      </w:r>
    </w:p>
    <w:p>
      <w:pPr>
        <w:spacing w:after="0" w:line="249" w:lineRule="auto"/>
        <w:sectPr>
          <w:type w:val="continuous"/>
          <w:pgSz w:w="11880" w:h="15480"/>
          <w:pgMar w:top="1200" w:bottom="280" w:left="1220" w:right="1260"/>
        </w:sectPr>
      </w:pPr>
    </w:p>
    <w:p>
      <w:pPr>
        <w:pStyle w:val="BodyText"/>
        <w:spacing w:line="249" w:lineRule="auto" w:before="73"/>
        <w:ind w:left="160" w:right="271"/>
        <w:jc w:val="both"/>
      </w:pPr>
      <w:r>
        <w:rPr>
          <w:color w:val="231F20"/>
        </w:rPr>
        <w:t>Company’s auction rate securities are time to principal recovery, an illiquidity premium, and counterparty credit spread. Holding other inputs constant, a significant increase (decrease) in such unobservable inputs would result in a significantly lower (higher) fair value measurement, respectively.</w:t>
      </w:r>
    </w:p>
    <w:p>
      <w:pPr>
        <w:pStyle w:val="BodyText"/>
        <w:rPr>
          <w:sz w:val="31"/>
        </w:rPr>
      </w:pPr>
    </w:p>
    <w:p>
      <w:pPr>
        <w:pStyle w:val="BodyText"/>
        <w:spacing w:line="249" w:lineRule="auto"/>
        <w:ind w:left="160" w:right="289" w:firstLine="490"/>
      </w:pPr>
      <w:r>
        <w:rPr>
          <w:color w:val="231F20"/>
        </w:rPr>
        <w:t>All settlements from fuel derivative contracts that are deemed “effective” are included in Fuel and oil expense in the period the underlying fuel is consumed in operations. Any “ineffectiveness” associated with hedges, including amounts that settled in the current period (realized), and amounts that will settle in future periods (unrealized), is recorded in earnings immediately, as a component of Other (gains) losses, net. See Note 10 for further information on hedging. Any gains and losses (realized and unrealized) related to other investments are reported in Other operating expenses, and were immaterial for 2013 and 2012.</w:t>
      </w:r>
    </w:p>
    <w:p>
      <w:pPr>
        <w:pStyle w:val="BodyText"/>
        <w:rPr>
          <w:sz w:val="31"/>
        </w:rPr>
      </w:pPr>
    </w:p>
    <w:p>
      <w:pPr>
        <w:pStyle w:val="BodyText"/>
        <w:spacing w:line="249" w:lineRule="auto"/>
        <w:ind w:left="160" w:right="289" w:firstLine="490"/>
      </w:pPr>
      <w:r>
        <w:rPr>
          <w:color w:val="231F20"/>
        </w:rPr>
        <w:t>The following table presents a range of the unobservable inputs utilized in the fair value measurements of the Company’s assets and liabilities classified as Level 3 at December 31, 2013:</w:t>
      </w:r>
    </w:p>
    <w:p>
      <w:pPr>
        <w:pStyle w:val="BodyText"/>
        <w:rPr>
          <w:sz w:val="31"/>
        </w:rPr>
      </w:pPr>
    </w:p>
    <w:p>
      <w:pPr>
        <w:pStyle w:val="Heading3"/>
        <w:ind w:left="1963"/>
      </w:pPr>
      <w:r>
        <w:rPr>
          <w:color w:val="231F20"/>
        </w:rPr>
        <w:t>Quantitative information about Level 3 fair value measurements</w:t>
      </w:r>
    </w:p>
    <w:p>
      <w:pPr>
        <w:pStyle w:val="BodyText"/>
        <w:rPr>
          <w:b/>
        </w:rPr>
      </w:pPr>
    </w:p>
    <w:p>
      <w:pPr>
        <w:pStyle w:val="BodyText"/>
        <w:spacing w:before="8"/>
        <w:rPr>
          <w:b/>
          <w:sz w:val="2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98"/>
        <w:gridCol w:w="2175"/>
        <w:gridCol w:w="1890"/>
        <w:gridCol w:w="1755"/>
        <w:gridCol w:w="903"/>
      </w:tblGrid>
      <w:tr>
        <w:trPr>
          <w:trHeight w:val="210" w:hRule="exact"/>
        </w:trPr>
        <w:tc>
          <w:tcPr>
            <w:tcW w:w="1698" w:type="dxa"/>
            <w:tcBorders>
              <w:bottom w:val="single" w:sz="8" w:space="0" w:color="231F20"/>
            </w:tcBorders>
          </w:tcPr>
          <w:p>
            <w:pPr/>
          </w:p>
        </w:tc>
        <w:tc>
          <w:tcPr>
            <w:tcW w:w="2175" w:type="dxa"/>
            <w:tcBorders>
              <w:bottom w:val="single" w:sz="8" w:space="0" w:color="231F20"/>
            </w:tcBorders>
          </w:tcPr>
          <w:p>
            <w:pPr>
              <w:pStyle w:val="TableParagraph"/>
              <w:spacing w:line="175" w:lineRule="exact"/>
              <w:ind w:right="259"/>
              <w:rPr>
                <w:sz w:val="16"/>
              </w:rPr>
            </w:pPr>
            <w:r>
              <w:rPr>
                <w:color w:val="231F20"/>
                <w:sz w:val="16"/>
              </w:rPr>
              <w:t>Valuation technique</w:t>
            </w:r>
          </w:p>
        </w:tc>
        <w:tc>
          <w:tcPr>
            <w:tcW w:w="1890" w:type="dxa"/>
            <w:tcBorders>
              <w:bottom w:val="single" w:sz="8" w:space="0" w:color="231F20"/>
            </w:tcBorders>
          </w:tcPr>
          <w:p>
            <w:pPr>
              <w:pStyle w:val="TableParagraph"/>
              <w:spacing w:line="175" w:lineRule="exact"/>
              <w:ind w:right="369"/>
              <w:rPr>
                <w:sz w:val="16"/>
              </w:rPr>
            </w:pPr>
            <w:r>
              <w:rPr>
                <w:color w:val="231F20"/>
                <w:sz w:val="16"/>
              </w:rPr>
              <w:t>Unobservable input</w:t>
            </w:r>
          </w:p>
        </w:tc>
        <w:tc>
          <w:tcPr>
            <w:tcW w:w="1755" w:type="dxa"/>
            <w:tcBorders>
              <w:bottom w:val="single" w:sz="8" w:space="0" w:color="231F20"/>
            </w:tcBorders>
          </w:tcPr>
          <w:p>
            <w:pPr>
              <w:pStyle w:val="TableParagraph"/>
              <w:spacing w:line="175" w:lineRule="exact"/>
              <w:ind w:right="344"/>
              <w:rPr>
                <w:sz w:val="16"/>
              </w:rPr>
            </w:pPr>
            <w:r>
              <w:rPr>
                <w:color w:val="231F20"/>
                <w:sz w:val="16"/>
              </w:rPr>
              <w:t>Period (by year)</w:t>
            </w:r>
          </w:p>
        </w:tc>
        <w:tc>
          <w:tcPr>
            <w:tcW w:w="903" w:type="dxa"/>
            <w:tcBorders>
              <w:bottom w:val="single" w:sz="8" w:space="0" w:color="231F20"/>
            </w:tcBorders>
          </w:tcPr>
          <w:p>
            <w:pPr>
              <w:pStyle w:val="TableParagraph"/>
              <w:spacing w:line="175" w:lineRule="exact"/>
              <w:ind w:right="48"/>
              <w:rPr>
                <w:sz w:val="16"/>
              </w:rPr>
            </w:pPr>
            <w:r>
              <w:rPr>
                <w:color w:val="231F20"/>
                <w:sz w:val="16"/>
              </w:rPr>
              <w:t>Range</w:t>
            </w:r>
          </w:p>
        </w:tc>
      </w:tr>
      <w:tr>
        <w:trPr>
          <w:trHeight w:val="257" w:hRule="exact"/>
        </w:trPr>
        <w:tc>
          <w:tcPr>
            <w:tcW w:w="1698" w:type="dxa"/>
            <w:tcBorders>
              <w:top w:val="single" w:sz="8" w:space="0" w:color="231F20"/>
            </w:tcBorders>
          </w:tcPr>
          <w:p>
            <w:pPr>
              <w:pStyle w:val="TableParagraph"/>
              <w:spacing w:before="50"/>
              <w:ind w:left="50"/>
              <w:jc w:val="left"/>
              <w:rPr>
                <w:sz w:val="16"/>
              </w:rPr>
            </w:pPr>
            <w:r>
              <w:rPr>
                <w:color w:val="231F20"/>
                <w:sz w:val="16"/>
              </w:rPr>
              <w:t>Fuel derivatives</w:t>
            </w:r>
          </w:p>
        </w:tc>
        <w:tc>
          <w:tcPr>
            <w:tcW w:w="2175" w:type="dxa"/>
            <w:tcBorders>
              <w:top w:val="single" w:sz="8" w:space="0" w:color="231F20"/>
            </w:tcBorders>
          </w:tcPr>
          <w:p>
            <w:pPr>
              <w:pStyle w:val="TableParagraph"/>
              <w:spacing w:before="50"/>
              <w:ind w:right="259"/>
              <w:rPr>
                <w:sz w:val="16"/>
              </w:rPr>
            </w:pPr>
            <w:r>
              <w:rPr>
                <w:color w:val="231F20"/>
                <w:sz w:val="16"/>
              </w:rPr>
              <w:t>Option model</w:t>
            </w:r>
          </w:p>
        </w:tc>
        <w:tc>
          <w:tcPr>
            <w:tcW w:w="1890" w:type="dxa"/>
            <w:tcBorders>
              <w:top w:val="single" w:sz="8" w:space="0" w:color="231F20"/>
            </w:tcBorders>
          </w:tcPr>
          <w:p>
            <w:pPr>
              <w:pStyle w:val="TableParagraph"/>
              <w:spacing w:before="50"/>
              <w:ind w:right="367"/>
              <w:rPr>
                <w:sz w:val="16"/>
              </w:rPr>
            </w:pPr>
            <w:r>
              <w:rPr>
                <w:color w:val="231F20"/>
                <w:sz w:val="16"/>
              </w:rPr>
              <w:t>Implied volatility</w:t>
            </w:r>
          </w:p>
        </w:tc>
        <w:tc>
          <w:tcPr>
            <w:tcW w:w="1755" w:type="dxa"/>
            <w:tcBorders>
              <w:top w:val="single" w:sz="8" w:space="0" w:color="231F20"/>
            </w:tcBorders>
          </w:tcPr>
          <w:p>
            <w:pPr>
              <w:pStyle w:val="TableParagraph"/>
              <w:spacing w:before="50"/>
              <w:ind w:right="345"/>
              <w:rPr>
                <w:sz w:val="16"/>
              </w:rPr>
            </w:pPr>
            <w:r>
              <w:rPr>
                <w:color w:val="231F20"/>
                <w:sz w:val="16"/>
              </w:rPr>
              <w:t>2014</w:t>
            </w:r>
          </w:p>
        </w:tc>
        <w:tc>
          <w:tcPr>
            <w:tcW w:w="903" w:type="dxa"/>
            <w:tcBorders>
              <w:top w:val="single" w:sz="8" w:space="0" w:color="231F20"/>
            </w:tcBorders>
          </w:tcPr>
          <w:p>
            <w:pPr>
              <w:pStyle w:val="TableParagraph"/>
              <w:spacing w:before="50"/>
              <w:ind w:right="48"/>
              <w:rPr>
                <w:sz w:val="16"/>
              </w:rPr>
            </w:pPr>
            <w:r>
              <w:rPr>
                <w:color w:val="231F20"/>
                <w:sz w:val="16"/>
              </w:rPr>
              <w:t>9-25%</w:t>
            </w:r>
          </w:p>
        </w:tc>
      </w:tr>
      <w:tr>
        <w:trPr>
          <w:trHeight w:val="200" w:hRule="exact"/>
        </w:trPr>
        <w:tc>
          <w:tcPr>
            <w:tcW w:w="5762" w:type="dxa"/>
            <w:gridSpan w:val="3"/>
            <w:vMerge w:val="restart"/>
          </w:tcPr>
          <w:p>
            <w:pPr/>
          </w:p>
        </w:tc>
        <w:tc>
          <w:tcPr>
            <w:tcW w:w="1755" w:type="dxa"/>
          </w:tcPr>
          <w:p>
            <w:pPr>
              <w:pStyle w:val="TableParagraph"/>
              <w:spacing w:before="3"/>
              <w:ind w:right="345"/>
              <w:rPr>
                <w:sz w:val="16"/>
              </w:rPr>
            </w:pPr>
            <w:r>
              <w:rPr>
                <w:color w:val="231F20"/>
                <w:sz w:val="16"/>
              </w:rPr>
              <w:t>2015</w:t>
            </w:r>
          </w:p>
        </w:tc>
        <w:tc>
          <w:tcPr>
            <w:tcW w:w="903" w:type="dxa"/>
          </w:tcPr>
          <w:p>
            <w:pPr>
              <w:pStyle w:val="TableParagraph"/>
              <w:spacing w:before="3"/>
              <w:ind w:right="48"/>
              <w:rPr>
                <w:sz w:val="16"/>
              </w:rPr>
            </w:pPr>
            <w:r>
              <w:rPr>
                <w:color w:val="231F20"/>
                <w:sz w:val="16"/>
              </w:rPr>
              <w:t>13-23%</w:t>
            </w:r>
          </w:p>
        </w:tc>
      </w:tr>
      <w:tr>
        <w:trPr>
          <w:trHeight w:val="200" w:hRule="exact"/>
        </w:trPr>
        <w:tc>
          <w:tcPr>
            <w:tcW w:w="5762" w:type="dxa"/>
            <w:gridSpan w:val="3"/>
            <w:vMerge/>
          </w:tcPr>
          <w:p>
            <w:pPr/>
          </w:p>
        </w:tc>
        <w:tc>
          <w:tcPr>
            <w:tcW w:w="1755" w:type="dxa"/>
          </w:tcPr>
          <w:p>
            <w:pPr>
              <w:pStyle w:val="TableParagraph"/>
              <w:spacing w:before="3"/>
              <w:ind w:right="345"/>
              <w:rPr>
                <w:sz w:val="16"/>
              </w:rPr>
            </w:pPr>
            <w:r>
              <w:rPr>
                <w:color w:val="231F20"/>
                <w:sz w:val="16"/>
              </w:rPr>
              <w:t>2016</w:t>
            </w:r>
          </w:p>
        </w:tc>
        <w:tc>
          <w:tcPr>
            <w:tcW w:w="903" w:type="dxa"/>
          </w:tcPr>
          <w:p>
            <w:pPr>
              <w:pStyle w:val="TableParagraph"/>
              <w:spacing w:before="3"/>
              <w:ind w:right="48"/>
              <w:rPr>
                <w:sz w:val="16"/>
              </w:rPr>
            </w:pPr>
            <w:r>
              <w:rPr>
                <w:color w:val="231F20"/>
                <w:sz w:val="16"/>
              </w:rPr>
              <w:t>13-20%</w:t>
            </w:r>
          </w:p>
        </w:tc>
      </w:tr>
      <w:tr>
        <w:trPr>
          <w:trHeight w:val="223" w:hRule="exact"/>
        </w:trPr>
        <w:tc>
          <w:tcPr>
            <w:tcW w:w="5762" w:type="dxa"/>
            <w:gridSpan w:val="3"/>
            <w:vMerge/>
            <w:tcBorders>
              <w:bottom w:val="single" w:sz="8" w:space="0" w:color="231F20"/>
            </w:tcBorders>
          </w:tcPr>
          <w:p>
            <w:pPr/>
          </w:p>
        </w:tc>
        <w:tc>
          <w:tcPr>
            <w:tcW w:w="1755" w:type="dxa"/>
            <w:tcBorders>
              <w:bottom w:val="single" w:sz="8" w:space="0" w:color="231F20"/>
            </w:tcBorders>
          </w:tcPr>
          <w:p>
            <w:pPr>
              <w:pStyle w:val="TableParagraph"/>
              <w:spacing w:before="3"/>
              <w:ind w:right="345"/>
              <w:rPr>
                <w:sz w:val="16"/>
              </w:rPr>
            </w:pPr>
            <w:r>
              <w:rPr>
                <w:color w:val="231F20"/>
                <w:sz w:val="16"/>
              </w:rPr>
              <w:t>2017</w:t>
            </w:r>
          </w:p>
        </w:tc>
        <w:tc>
          <w:tcPr>
            <w:tcW w:w="903" w:type="dxa"/>
            <w:tcBorders>
              <w:bottom w:val="single" w:sz="8" w:space="0" w:color="231F20"/>
            </w:tcBorders>
          </w:tcPr>
          <w:p>
            <w:pPr>
              <w:pStyle w:val="TableParagraph"/>
              <w:spacing w:before="3"/>
              <w:ind w:right="48"/>
              <w:rPr>
                <w:sz w:val="16"/>
              </w:rPr>
            </w:pPr>
            <w:r>
              <w:rPr>
                <w:color w:val="231F20"/>
                <w:sz w:val="16"/>
              </w:rPr>
              <w:t>13-17%</w:t>
            </w:r>
          </w:p>
        </w:tc>
      </w:tr>
    </w:tbl>
    <w:p>
      <w:pPr>
        <w:tabs>
          <w:tab w:pos="2335" w:val="left" w:leader="none"/>
          <w:tab w:pos="7890" w:val="left" w:leader="none"/>
        </w:tabs>
        <w:spacing w:before="40"/>
        <w:ind w:left="160" w:right="0" w:firstLine="0"/>
        <w:jc w:val="left"/>
        <w:rPr>
          <w:sz w:val="16"/>
        </w:rPr>
      </w:pPr>
      <w:r>
        <w:rPr>
          <w:color w:val="231F20"/>
          <w:sz w:val="16"/>
        </w:rPr>
        <w:t>Auction</w:t>
      </w:r>
      <w:r>
        <w:rPr>
          <w:color w:val="231F20"/>
          <w:spacing w:val="-1"/>
          <w:sz w:val="16"/>
        </w:rPr>
        <w:t> </w:t>
      </w:r>
      <w:r>
        <w:rPr>
          <w:color w:val="231F20"/>
          <w:sz w:val="16"/>
        </w:rPr>
        <w:t>rate</w:t>
      </w:r>
      <w:r>
        <w:rPr>
          <w:color w:val="231F20"/>
          <w:spacing w:val="-1"/>
          <w:sz w:val="16"/>
        </w:rPr>
        <w:t> </w:t>
      </w:r>
      <w:r>
        <w:rPr>
          <w:color w:val="231F20"/>
          <w:sz w:val="16"/>
        </w:rPr>
        <w:t>securities</w:t>
        <w:tab/>
        <w:t>Discounted cash flow  Time to</w:t>
      </w:r>
      <w:r>
        <w:rPr>
          <w:color w:val="231F20"/>
          <w:spacing w:val="-12"/>
          <w:sz w:val="16"/>
        </w:rPr>
        <w:t> </w:t>
      </w:r>
      <w:r>
        <w:rPr>
          <w:color w:val="231F20"/>
          <w:sz w:val="16"/>
        </w:rPr>
        <w:t>principal</w:t>
      </w:r>
      <w:r>
        <w:rPr>
          <w:color w:val="231F20"/>
          <w:spacing w:val="-2"/>
          <w:sz w:val="16"/>
        </w:rPr>
        <w:t> </w:t>
      </w:r>
      <w:r>
        <w:rPr>
          <w:color w:val="231F20"/>
          <w:sz w:val="16"/>
        </w:rPr>
        <w:t>recovery</w:t>
        <w:tab/>
        <w:t>5-8</w:t>
      </w:r>
      <w:r>
        <w:rPr>
          <w:color w:val="231F20"/>
          <w:spacing w:val="-1"/>
          <w:sz w:val="16"/>
        </w:rPr>
        <w:t> </w:t>
      </w:r>
      <w:r>
        <w:rPr>
          <w:color w:val="231F20"/>
          <w:sz w:val="16"/>
        </w:rPr>
        <w:t>years</w:t>
      </w:r>
    </w:p>
    <w:p>
      <w:pPr>
        <w:tabs>
          <w:tab w:pos="8134" w:val="left" w:leader="none"/>
        </w:tabs>
        <w:spacing w:before="15"/>
        <w:ind w:left="4247" w:right="0" w:firstLine="0"/>
        <w:jc w:val="left"/>
        <w:rPr>
          <w:sz w:val="16"/>
        </w:rPr>
      </w:pPr>
      <w:r>
        <w:rPr>
          <w:color w:val="231F20"/>
          <w:sz w:val="16"/>
        </w:rPr>
        <w:t>Illiquidity</w:t>
      </w:r>
      <w:r>
        <w:rPr>
          <w:color w:val="231F20"/>
          <w:spacing w:val="-4"/>
          <w:sz w:val="16"/>
        </w:rPr>
        <w:t> </w:t>
      </w:r>
      <w:r>
        <w:rPr>
          <w:color w:val="231F20"/>
          <w:sz w:val="16"/>
        </w:rPr>
        <w:t>premium</w:t>
        <w:tab/>
        <w:t>3-4%</w:t>
      </w:r>
    </w:p>
    <w:p>
      <w:pPr>
        <w:spacing w:after="0"/>
        <w:jc w:val="left"/>
        <w:rPr>
          <w:sz w:val="16"/>
        </w:rPr>
        <w:sectPr>
          <w:footerReference w:type="default" r:id="rId39"/>
          <w:pgSz w:w="11880" w:h="15480"/>
          <w:pgMar w:footer="1253" w:header="0" w:top="1240" w:bottom="1440" w:left="1220" w:right="1220"/>
        </w:sectPr>
      </w:pPr>
    </w:p>
    <w:p>
      <w:pPr>
        <w:spacing w:before="15"/>
        <w:ind w:left="0" w:right="0" w:firstLine="0"/>
        <w:jc w:val="right"/>
        <w:rPr>
          <w:sz w:val="16"/>
        </w:rPr>
      </w:pPr>
      <w:r>
        <w:rPr>
          <w:color w:val="231F20"/>
          <w:sz w:val="16"/>
        </w:rPr>
        <w:t>Counterparty credit</w:t>
      </w:r>
    </w:p>
    <w:p>
      <w:pPr>
        <w:spacing w:before="15"/>
        <w:ind w:left="0" w:right="0" w:firstLine="0"/>
        <w:jc w:val="right"/>
        <w:rPr>
          <w:sz w:val="16"/>
        </w:rPr>
      </w:pPr>
      <w:r>
        <w:rPr>
          <w:color w:val="231F20"/>
          <w:sz w:val="16"/>
        </w:rPr>
        <w:t>spread</w:t>
      </w:r>
    </w:p>
    <w:p>
      <w:pPr>
        <w:spacing w:before="15"/>
        <w:ind w:left="2592" w:right="0" w:firstLine="0"/>
        <w:jc w:val="left"/>
        <w:rPr>
          <w:sz w:val="16"/>
        </w:rPr>
      </w:pPr>
      <w:r>
        <w:rPr/>
        <w:br w:type="column"/>
      </w:r>
      <w:r>
        <w:rPr>
          <w:color w:val="231F20"/>
          <w:sz w:val="16"/>
        </w:rPr>
        <w:t>1-3%</w:t>
      </w:r>
    </w:p>
    <w:p>
      <w:pPr>
        <w:spacing w:after="0"/>
        <w:jc w:val="left"/>
        <w:rPr>
          <w:sz w:val="16"/>
        </w:rPr>
        <w:sectPr>
          <w:type w:val="continuous"/>
          <w:pgSz w:w="11880" w:h="15480"/>
          <w:pgMar w:top="1200" w:bottom="280" w:left="1220" w:right="1220"/>
          <w:cols w:num="2" w:equalWidth="0">
            <w:col w:w="5502" w:space="40"/>
            <w:col w:w="3898"/>
          </w:cols>
        </w:sectPr>
      </w:pPr>
    </w:p>
    <w:p>
      <w:pPr>
        <w:pStyle w:val="BodyText"/>
        <w:spacing w:before="9"/>
        <w:rPr>
          <w:sz w:val="24"/>
        </w:rPr>
      </w:pPr>
    </w:p>
    <w:p>
      <w:pPr>
        <w:pStyle w:val="BodyText"/>
        <w:spacing w:line="249" w:lineRule="auto" w:before="89"/>
        <w:ind w:left="160" w:right="285" w:firstLine="490"/>
      </w:pPr>
      <w:r>
        <w:rPr>
          <w:color w:val="231F20"/>
        </w:rPr>
        <w:t>The carrying amounts and estimated fair values of the Company’s long-term debt (including current maturities), as well as the applicable fair value hierarchy tier, at December 31, 2013,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Six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 items.</w:t>
      </w:r>
    </w:p>
    <w:p>
      <w:pPr>
        <w:pStyle w:val="BodyText"/>
        <w:spacing w:before="10"/>
        <w:rPr>
          <w:sz w:val="22"/>
        </w:rPr>
      </w:pPr>
    </w:p>
    <w:p>
      <w:pPr>
        <w:spacing w:after="0"/>
        <w:rPr>
          <w:sz w:val="22"/>
        </w:rPr>
        <w:sectPr>
          <w:type w:val="continuous"/>
          <w:pgSz w:w="11880" w:h="15480"/>
          <w:pgMar w:top="1200" w:bottom="280" w:left="1220" w:right="1220"/>
        </w:sectPr>
      </w:pPr>
    </w:p>
    <w:p>
      <w:pPr>
        <w:pStyle w:val="BodyText"/>
        <w:spacing w:before="2"/>
        <w:rPr>
          <w:sz w:val="27"/>
        </w:rPr>
      </w:pPr>
    </w:p>
    <w:p>
      <w:pPr>
        <w:spacing w:before="0"/>
        <w:ind w:left="160" w:right="0" w:firstLine="0"/>
        <w:jc w:val="left"/>
        <w:rPr>
          <w:b/>
          <w:sz w:val="18"/>
        </w:rPr>
      </w:pPr>
      <w:r>
        <w:rPr>
          <w:b/>
          <w:color w:val="231F20"/>
          <w:sz w:val="18"/>
        </w:rPr>
        <w:t>(in millions)</w:t>
      </w:r>
    </w:p>
    <w:p>
      <w:pPr>
        <w:spacing w:line="254" w:lineRule="auto" w:before="92"/>
        <w:ind w:left="309" w:right="-19" w:hanging="150"/>
        <w:jc w:val="left"/>
        <w:rPr>
          <w:b/>
          <w:sz w:val="18"/>
        </w:rPr>
      </w:pPr>
      <w:r>
        <w:rPr/>
        <w:br w:type="column"/>
      </w:r>
      <w:r>
        <w:rPr>
          <w:b/>
          <w:color w:val="231F20"/>
          <w:sz w:val="18"/>
        </w:rPr>
        <w:t>Carrying</w:t>
      </w:r>
      <w:r>
        <w:rPr>
          <w:b/>
          <w:color w:val="231F20"/>
          <w:w w:val="100"/>
          <w:sz w:val="18"/>
        </w:rPr>
        <w:t> </w:t>
      </w:r>
      <w:r>
        <w:rPr>
          <w:b/>
          <w:color w:val="231F20"/>
          <w:sz w:val="18"/>
        </w:rPr>
        <w:t>value</w:t>
      </w:r>
    </w:p>
    <w:p>
      <w:pPr>
        <w:spacing w:line="254" w:lineRule="auto" w:before="92"/>
        <w:ind w:left="507" w:right="-19" w:hanging="348"/>
        <w:jc w:val="left"/>
        <w:rPr>
          <w:b/>
          <w:sz w:val="18"/>
        </w:rPr>
      </w:pPr>
      <w:r>
        <w:rPr/>
        <w:br w:type="column"/>
      </w:r>
      <w:r>
        <w:rPr>
          <w:b/>
          <w:color w:val="231F20"/>
          <w:sz w:val="18"/>
        </w:rPr>
        <w:t>Estimated fair</w:t>
      </w:r>
      <w:r>
        <w:rPr>
          <w:b/>
          <w:color w:val="231F20"/>
          <w:w w:val="100"/>
          <w:sz w:val="18"/>
        </w:rPr>
        <w:t> </w:t>
      </w:r>
      <w:r>
        <w:rPr>
          <w:b/>
          <w:color w:val="231F20"/>
          <w:sz w:val="18"/>
        </w:rPr>
        <w:t>value</w:t>
      </w:r>
    </w:p>
    <w:p>
      <w:pPr>
        <w:spacing w:line="254" w:lineRule="auto" w:before="92"/>
        <w:ind w:left="374" w:right="201" w:hanging="215"/>
        <w:jc w:val="left"/>
        <w:rPr>
          <w:b/>
          <w:sz w:val="18"/>
        </w:rPr>
      </w:pPr>
      <w:r>
        <w:rPr/>
        <w:br w:type="column"/>
      </w:r>
      <w:r>
        <w:rPr>
          <w:b/>
          <w:color w:val="231F20"/>
          <w:sz w:val="18"/>
        </w:rPr>
        <w:t>Fair value level hierarchy</w:t>
      </w:r>
    </w:p>
    <w:p>
      <w:pPr>
        <w:spacing w:after="0" w:line="254" w:lineRule="auto"/>
        <w:jc w:val="left"/>
        <w:rPr>
          <w:sz w:val="18"/>
        </w:rPr>
        <w:sectPr>
          <w:type w:val="continuous"/>
          <w:pgSz w:w="11880" w:h="15480"/>
          <w:pgMar w:top="1200" w:bottom="280" w:left="1220" w:right="1220"/>
          <w:cols w:num="4" w:equalWidth="0">
            <w:col w:w="1086" w:space="4279"/>
            <w:col w:w="870" w:space="232"/>
            <w:col w:w="1265" w:space="148"/>
            <w:col w:w="1560"/>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17"/>
        <w:gridCol w:w="153"/>
        <w:gridCol w:w="1002"/>
        <w:gridCol w:w="198"/>
        <w:gridCol w:w="1202"/>
        <w:gridCol w:w="198"/>
        <w:gridCol w:w="1352"/>
      </w:tblGrid>
      <w:tr>
        <w:trPr>
          <w:trHeight w:val="280" w:hRule="exact"/>
        </w:trPr>
        <w:tc>
          <w:tcPr>
            <w:tcW w:w="5117" w:type="dxa"/>
            <w:tcBorders>
              <w:top w:val="single" w:sz="8" w:space="0" w:color="231F20"/>
            </w:tcBorders>
          </w:tcPr>
          <w:p>
            <w:pPr>
              <w:pStyle w:val="TableParagraph"/>
              <w:spacing w:before="52"/>
              <w:ind w:left="48"/>
              <w:jc w:val="center"/>
              <w:rPr>
                <w:sz w:val="18"/>
              </w:rPr>
            </w:pPr>
            <w:r>
              <w:rPr>
                <w:color w:val="231F20"/>
                <w:sz w:val="18"/>
              </w:rPr>
              <w:t>5.25% Notes due 2014  . . . . . . . . . . . . . . . . . . . . . . . . . . . . . . . . . . . . . </w:t>
            </w:r>
          </w:p>
        </w:tc>
        <w:tc>
          <w:tcPr>
            <w:tcW w:w="153" w:type="dxa"/>
          </w:tcPr>
          <w:p>
            <w:pPr/>
          </w:p>
        </w:tc>
        <w:tc>
          <w:tcPr>
            <w:tcW w:w="1002" w:type="dxa"/>
            <w:tcBorders>
              <w:top w:val="single" w:sz="8" w:space="0" w:color="231F20"/>
            </w:tcBorders>
          </w:tcPr>
          <w:p>
            <w:pPr>
              <w:pStyle w:val="TableParagraph"/>
              <w:tabs>
                <w:tab w:pos="730" w:val="left" w:leader="none"/>
              </w:tabs>
              <w:spacing w:before="52"/>
              <w:ind w:right="1"/>
              <w:rPr>
                <w:sz w:val="18"/>
              </w:rPr>
            </w:pPr>
            <w:r>
              <w:rPr>
                <w:color w:val="231F20"/>
                <w:sz w:val="18"/>
              </w:rPr>
              <w:t>$</w:t>
              <w:tab/>
              <w:t>357</w:t>
            </w:r>
          </w:p>
        </w:tc>
        <w:tc>
          <w:tcPr>
            <w:tcW w:w="198" w:type="dxa"/>
          </w:tcPr>
          <w:p>
            <w:pPr/>
          </w:p>
        </w:tc>
        <w:tc>
          <w:tcPr>
            <w:tcW w:w="1202" w:type="dxa"/>
            <w:tcBorders>
              <w:top w:val="single" w:sz="8" w:space="0" w:color="231F20"/>
            </w:tcBorders>
          </w:tcPr>
          <w:p>
            <w:pPr>
              <w:pStyle w:val="TableParagraph"/>
              <w:tabs>
                <w:tab w:pos="929" w:val="left" w:leader="none"/>
              </w:tabs>
              <w:spacing w:before="52"/>
              <w:ind w:right="1"/>
              <w:rPr>
                <w:sz w:val="18"/>
              </w:rPr>
            </w:pPr>
            <w:r>
              <w:rPr>
                <w:color w:val="231F20"/>
                <w:sz w:val="18"/>
              </w:rPr>
              <w:t>$</w:t>
              <w:tab/>
              <w:t>362</w:t>
            </w:r>
          </w:p>
        </w:tc>
        <w:tc>
          <w:tcPr>
            <w:tcW w:w="198" w:type="dxa"/>
          </w:tcPr>
          <w:p>
            <w:pPr/>
          </w:p>
        </w:tc>
        <w:tc>
          <w:tcPr>
            <w:tcW w:w="1352" w:type="dxa"/>
            <w:tcBorders>
              <w:top w:val="single" w:sz="8" w:space="0" w:color="231F20"/>
            </w:tcBorders>
          </w:tcPr>
          <w:p>
            <w:pPr>
              <w:pStyle w:val="TableParagraph"/>
              <w:spacing w:before="52"/>
              <w:ind w:right="49"/>
              <w:rPr>
                <w:sz w:val="18"/>
              </w:rPr>
            </w:pPr>
            <w:r>
              <w:rPr>
                <w:color w:val="231F20"/>
                <w:sz w:val="18"/>
              </w:rPr>
              <w:t>Level 2</w:t>
            </w:r>
          </w:p>
        </w:tc>
      </w:tr>
      <w:tr>
        <w:trPr>
          <w:trHeight w:val="220" w:hRule="exact"/>
        </w:trPr>
        <w:tc>
          <w:tcPr>
            <w:tcW w:w="5117" w:type="dxa"/>
          </w:tcPr>
          <w:p>
            <w:pPr>
              <w:pStyle w:val="TableParagraph"/>
              <w:spacing w:before="1"/>
              <w:ind w:left="48"/>
              <w:jc w:val="center"/>
              <w:rPr>
                <w:sz w:val="18"/>
              </w:rPr>
            </w:pPr>
            <w:r>
              <w:rPr>
                <w:color w:val="231F20"/>
                <w:sz w:val="18"/>
              </w:rPr>
              <w:t>5.75% Notes due 2016  . . . . . . . . . . . . . . . . . . . . . . . . . . . . . . . . . . . . . </w:t>
            </w:r>
          </w:p>
        </w:tc>
        <w:tc>
          <w:tcPr>
            <w:tcW w:w="153" w:type="dxa"/>
          </w:tcPr>
          <w:p>
            <w:pPr/>
          </w:p>
        </w:tc>
        <w:tc>
          <w:tcPr>
            <w:tcW w:w="1002" w:type="dxa"/>
          </w:tcPr>
          <w:p>
            <w:pPr>
              <w:pStyle w:val="TableParagraph"/>
              <w:spacing w:before="1"/>
              <w:ind w:right="1"/>
              <w:rPr>
                <w:sz w:val="18"/>
              </w:rPr>
            </w:pPr>
            <w:r>
              <w:rPr>
                <w:color w:val="231F20"/>
                <w:sz w:val="18"/>
              </w:rPr>
              <w:t>320</w:t>
            </w:r>
          </w:p>
        </w:tc>
        <w:tc>
          <w:tcPr>
            <w:tcW w:w="198" w:type="dxa"/>
          </w:tcPr>
          <w:p>
            <w:pPr/>
          </w:p>
        </w:tc>
        <w:tc>
          <w:tcPr>
            <w:tcW w:w="1202" w:type="dxa"/>
          </w:tcPr>
          <w:p>
            <w:pPr>
              <w:pStyle w:val="TableParagraph"/>
              <w:spacing w:before="1"/>
              <w:ind w:right="1"/>
              <w:rPr>
                <w:sz w:val="18"/>
              </w:rPr>
            </w:pPr>
            <w:r>
              <w:rPr>
                <w:color w:val="231F20"/>
                <w:sz w:val="18"/>
              </w:rPr>
              <w:t>354</w:t>
            </w:r>
          </w:p>
        </w:tc>
        <w:tc>
          <w:tcPr>
            <w:tcW w:w="198" w:type="dxa"/>
          </w:tcPr>
          <w:p>
            <w:pPr/>
          </w:p>
        </w:tc>
        <w:tc>
          <w:tcPr>
            <w:tcW w:w="1352" w:type="dxa"/>
          </w:tcPr>
          <w:p>
            <w:pPr>
              <w:pStyle w:val="TableParagraph"/>
              <w:spacing w:before="1"/>
              <w:ind w:right="49"/>
              <w:rPr>
                <w:sz w:val="18"/>
              </w:rPr>
            </w:pPr>
            <w:r>
              <w:rPr>
                <w:color w:val="231F20"/>
                <w:sz w:val="18"/>
              </w:rPr>
              <w:t>Level 2</w:t>
            </w:r>
          </w:p>
        </w:tc>
      </w:tr>
      <w:tr>
        <w:trPr>
          <w:trHeight w:val="220" w:hRule="exact"/>
        </w:trPr>
        <w:tc>
          <w:tcPr>
            <w:tcW w:w="5117" w:type="dxa"/>
          </w:tcPr>
          <w:p>
            <w:pPr>
              <w:pStyle w:val="TableParagraph"/>
              <w:spacing w:before="1"/>
              <w:ind w:left="48"/>
              <w:jc w:val="center"/>
              <w:rPr>
                <w:sz w:val="18"/>
              </w:rPr>
            </w:pPr>
            <w:r>
              <w:rPr>
                <w:color w:val="231F20"/>
                <w:sz w:val="18"/>
              </w:rPr>
              <w:t>5.25% Convertible Senior Notes due 2016   . . . . . . . . . . . . . . . . . . . . . </w:t>
            </w:r>
          </w:p>
        </w:tc>
        <w:tc>
          <w:tcPr>
            <w:tcW w:w="153" w:type="dxa"/>
          </w:tcPr>
          <w:p>
            <w:pPr/>
          </w:p>
        </w:tc>
        <w:tc>
          <w:tcPr>
            <w:tcW w:w="1002" w:type="dxa"/>
          </w:tcPr>
          <w:p>
            <w:pPr>
              <w:pStyle w:val="TableParagraph"/>
              <w:spacing w:before="1"/>
              <w:ind w:right="1"/>
              <w:rPr>
                <w:sz w:val="18"/>
              </w:rPr>
            </w:pPr>
            <w:r>
              <w:rPr>
                <w:color w:val="231F20"/>
                <w:sz w:val="18"/>
              </w:rPr>
              <w:t>115</w:t>
            </w:r>
          </w:p>
        </w:tc>
        <w:tc>
          <w:tcPr>
            <w:tcW w:w="198" w:type="dxa"/>
          </w:tcPr>
          <w:p>
            <w:pPr/>
          </w:p>
        </w:tc>
        <w:tc>
          <w:tcPr>
            <w:tcW w:w="1202" w:type="dxa"/>
          </w:tcPr>
          <w:p>
            <w:pPr>
              <w:pStyle w:val="TableParagraph"/>
              <w:spacing w:before="1"/>
              <w:ind w:right="1"/>
              <w:rPr>
                <w:sz w:val="18"/>
              </w:rPr>
            </w:pPr>
            <w:r>
              <w:rPr>
                <w:color w:val="231F20"/>
                <w:sz w:val="18"/>
              </w:rPr>
              <w:t>178</w:t>
            </w:r>
          </w:p>
        </w:tc>
        <w:tc>
          <w:tcPr>
            <w:tcW w:w="198" w:type="dxa"/>
          </w:tcPr>
          <w:p>
            <w:pPr/>
          </w:p>
        </w:tc>
        <w:tc>
          <w:tcPr>
            <w:tcW w:w="1352" w:type="dxa"/>
          </w:tcPr>
          <w:p>
            <w:pPr>
              <w:pStyle w:val="TableParagraph"/>
              <w:spacing w:before="1"/>
              <w:ind w:right="49"/>
              <w:rPr>
                <w:sz w:val="18"/>
              </w:rPr>
            </w:pPr>
            <w:r>
              <w:rPr>
                <w:color w:val="231F20"/>
                <w:sz w:val="18"/>
              </w:rPr>
              <w:t>Level 2</w:t>
            </w:r>
          </w:p>
        </w:tc>
      </w:tr>
      <w:tr>
        <w:trPr>
          <w:trHeight w:val="220" w:hRule="exact"/>
        </w:trPr>
        <w:tc>
          <w:tcPr>
            <w:tcW w:w="5117" w:type="dxa"/>
          </w:tcPr>
          <w:p>
            <w:pPr>
              <w:pStyle w:val="TableParagraph"/>
              <w:spacing w:before="1"/>
              <w:ind w:left="48"/>
              <w:jc w:val="center"/>
              <w:rPr>
                <w:sz w:val="18"/>
              </w:rPr>
            </w:pPr>
            <w:r>
              <w:rPr>
                <w:color w:val="231F20"/>
                <w:sz w:val="18"/>
              </w:rPr>
              <w:t>5.125% Notes due 2017  . . . . . . . . . . . . . . . . . . . . . . . . . . . . . . . . . . . . </w:t>
            </w:r>
          </w:p>
        </w:tc>
        <w:tc>
          <w:tcPr>
            <w:tcW w:w="153" w:type="dxa"/>
          </w:tcPr>
          <w:p>
            <w:pPr/>
          </w:p>
        </w:tc>
        <w:tc>
          <w:tcPr>
            <w:tcW w:w="1002" w:type="dxa"/>
          </w:tcPr>
          <w:p>
            <w:pPr>
              <w:pStyle w:val="TableParagraph"/>
              <w:spacing w:before="1"/>
              <w:ind w:right="1"/>
              <w:rPr>
                <w:sz w:val="18"/>
              </w:rPr>
            </w:pPr>
            <w:r>
              <w:rPr>
                <w:color w:val="231F20"/>
                <w:sz w:val="18"/>
              </w:rPr>
              <w:t>322</w:t>
            </w:r>
          </w:p>
        </w:tc>
        <w:tc>
          <w:tcPr>
            <w:tcW w:w="198" w:type="dxa"/>
          </w:tcPr>
          <w:p>
            <w:pPr/>
          </w:p>
        </w:tc>
        <w:tc>
          <w:tcPr>
            <w:tcW w:w="1202" w:type="dxa"/>
          </w:tcPr>
          <w:p>
            <w:pPr>
              <w:pStyle w:val="TableParagraph"/>
              <w:spacing w:before="1"/>
              <w:ind w:right="1"/>
              <w:rPr>
                <w:sz w:val="18"/>
              </w:rPr>
            </w:pPr>
            <w:r>
              <w:rPr>
                <w:color w:val="231F20"/>
                <w:sz w:val="18"/>
              </w:rPr>
              <w:t>346</w:t>
            </w:r>
          </w:p>
        </w:tc>
        <w:tc>
          <w:tcPr>
            <w:tcW w:w="198" w:type="dxa"/>
          </w:tcPr>
          <w:p>
            <w:pPr/>
          </w:p>
        </w:tc>
        <w:tc>
          <w:tcPr>
            <w:tcW w:w="1352" w:type="dxa"/>
          </w:tcPr>
          <w:p>
            <w:pPr>
              <w:pStyle w:val="TableParagraph"/>
              <w:spacing w:before="1"/>
              <w:ind w:right="49"/>
              <w:rPr>
                <w:sz w:val="18"/>
              </w:rPr>
            </w:pPr>
            <w:r>
              <w:rPr>
                <w:color w:val="231F20"/>
                <w:sz w:val="18"/>
              </w:rPr>
              <w:t>Level 2</w:t>
            </w:r>
          </w:p>
        </w:tc>
      </w:tr>
      <w:tr>
        <w:trPr>
          <w:trHeight w:val="220" w:hRule="exact"/>
        </w:trPr>
        <w:tc>
          <w:tcPr>
            <w:tcW w:w="5117" w:type="dxa"/>
          </w:tcPr>
          <w:p>
            <w:pPr>
              <w:pStyle w:val="TableParagraph"/>
              <w:spacing w:before="1"/>
              <w:ind w:left="49"/>
              <w:jc w:val="center"/>
              <w:rPr>
                <w:sz w:val="18"/>
              </w:rPr>
            </w:pPr>
            <w:r>
              <w:rPr>
                <w:color w:val="231F20"/>
                <w:sz w:val="18"/>
              </w:rPr>
              <w:t>Fixed-rate 717 Aircraft Notes payable through 2017—10.37%   . . . . . </w:t>
            </w:r>
          </w:p>
        </w:tc>
        <w:tc>
          <w:tcPr>
            <w:tcW w:w="153" w:type="dxa"/>
          </w:tcPr>
          <w:p>
            <w:pPr/>
          </w:p>
        </w:tc>
        <w:tc>
          <w:tcPr>
            <w:tcW w:w="1002" w:type="dxa"/>
          </w:tcPr>
          <w:p>
            <w:pPr>
              <w:pStyle w:val="TableParagraph"/>
              <w:spacing w:before="1"/>
              <w:ind w:right="1"/>
              <w:rPr>
                <w:sz w:val="18"/>
              </w:rPr>
            </w:pPr>
            <w:r>
              <w:rPr>
                <w:color w:val="231F20"/>
                <w:sz w:val="18"/>
              </w:rPr>
              <w:t>41</w:t>
            </w:r>
          </w:p>
        </w:tc>
        <w:tc>
          <w:tcPr>
            <w:tcW w:w="198" w:type="dxa"/>
          </w:tcPr>
          <w:p>
            <w:pPr/>
          </w:p>
        </w:tc>
        <w:tc>
          <w:tcPr>
            <w:tcW w:w="1202" w:type="dxa"/>
          </w:tcPr>
          <w:p>
            <w:pPr>
              <w:pStyle w:val="TableParagraph"/>
              <w:spacing w:before="1"/>
              <w:ind w:right="1"/>
              <w:rPr>
                <w:sz w:val="18"/>
              </w:rPr>
            </w:pPr>
            <w:r>
              <w:rPr>
                <w:color w:val="231F20"/>
                <w:sz w:val="18"/>
              </w:rPr>
              <w:t>39</w:t>
            </w:r>
          </w:p>
        </w:tc>
        <w:tc>
          <w:tcPr>
            <w:tcW w:w="198" w:type="dxa"/>
          </w:tcPr>
          <w:p>
            <w:pPr/>
          </w:p>
        </w:tc>
        <w:tc>
          <w:tcPr>
            <w:tcW w:w="1352" w:type="dxa"/>
          </w:tcPr>
          <w:p>
            <w:pPr>
              <w:pStyle w:val="TableParagraph"/>
              <w:spacing w:before="1"/>
              <w:ind w:right="49"/>
              <w:rPr>
                <w:sz w:val="18"/>
              </w:rPr>
            </w:pPr>
            <w:r>
              <w:rPr>
                <w:color w:val="231F20"/>
                <w:sz w:val="18"/>
              </w:rPr>
              <w:t>Level 2</w:t>
            </w:r>
          </w:p>
        </w:tc>
      </w:tr>
      <w:tr>
        <w:trPr>
          <w:trHeight w:val="220" w:hRule="exact"/>
        </w:trPr>
        <w:tc>
          <w:tcPr>
            <w:tcW w:w="5117" w:type="dxa"/>
          </w:tcPr>
          <w:p>
            <w:pPr>
              <w:pStyle w:val="TableParagraph"/>
              <w:spacing w:before="1"/>
              <w:ind w:left="49"/>
              <w:jc w:val="center"/>
              <w:rPr>
                <w:sz w:val="18"/>
              </w:rPr>
            </w:pPr>
            <w:r>
              <w:rPr>
                <w:color w:val="231F20"/>
                <w:sz w:val="18"/>
              </w:rPr>
              <w:t>French Credit Agreements due 2018—1.05%  . . . . . . . . . . . . . . . . . . . </w:t>
            </w:r>
          </w:p>
        </w:tc>
        <w:tc>
          <w:tcPr>
            <w:tcW w:w="153" w:type="dxa"/>
          </w:tcPr>
          <w:p>
            <w:pPr/>
          </w:p>
        </w:tc>
        <w:tc>
          <w:tcPr>
            <w:tcW w:w="1002" w:type="dxa"/>
          </w:tcPr>
          <w:p>
            <w:pPr>
              <w:pStyle w:val="TableParagraph"/>
              <w:spacing w:before="1"/>
              <w:ind w:right="1"/>
              <w:rPr>
                <w:sz w:val="18"/>
              </w:rPr>
            </w:pPr>
            <w:r>
              <w:rPr>
                <w:color w:val="231F20"/>
                <w:sz w:val="18"/>
              </w:rPr>
              <w:t>46</w:t>
            </w:r>
          </w:p>
        </w:tc>
        <w:tc>
          <w:tcPr>
            <w:tcW w:w="198" w:type="dxa"/>
          </w:tcPr>
          <w:p>
            <w:pPr/>
          </w:p>
        </w:tc>
        <w:tc>
          <w:tcPr>
            <w:tcW w:w="1202" w:type="dxa"/>
          </w:tcPr>
          <w:p>
            <w:pPr>
              <w:pStyle w:val="TableParagraph"/>
              <w:spacing w:before="1"/>
              <w:ind w:right="1"/>
              <w:rPr>
                <w:sz w:val="18"/>
              </w:rPr>
            </w:pPr>
            <w:r>
              <w:rPr>
                <w:color w:val="231F20"/>
                <w:sz w:val="18"/>
              </w:rPr>
              <w:t>46</w:t>
            </w:r>
          </w:p>
        </w:tc>
        <w:tc>
          <w:tcPr>
            <w:tcW w:w="198" w:type="dxa"/>
          </w:tcPr>
          <w:p>
            <w:pPr/>
          </w:p>
        </w:tc>
        <w:tc>
          <w:tcPr>
            <w:tcW w:w="1352" w:type="dxa"/>
          </w:tcPr>
          <w:p>
            <w:pPr>
              <w:pStyle w:val="TableParagraph"/>
              <w:spacing w:before="1"/>
              <w:ind w:right="49"/>
              <w:rPr>
                <w:sz w:val="18"/>
              </w:rPr>
            </w:pPr>
            <w:r>
              <w:rPr>
                <w:color w:val="231F20"/>
                <w:sz w:val="18"/>
              </w:rPr>
              <w:t>Level 3</w:t>
            </w:r>
          </w:p>
        </w:tc>
      </w:tr>
      <w:tr>
        <w:trPr>
          <w:trHeight w:val="220" w:hRule="exact"/>
        </w:trPr>
        <w:tc>
          <w:tcPr>
            <w:tcW w:w="5117" w:type="dxa"/>
          </w:tcPr>
          <w:p>
            <w:pPr>
              <w:pStyle w:val="TableParagraph"/>
              <w:spacing w:before="1"/>
              <w:ind w:left="49"/>
              <w:jc w:val="center"/>
              <w:rPr>
                <w:sz w:val="18"/>
              </w:rPr>
            </w:pPr>
            <w:r>
              <w:rPr>
                <w:color w:val="231F20"/>
                <w:sz w:val="18"/>
              </w:rPr>
              <w:t>Fixed-rate 737 Aircraft Notes payable through 2018—7.02%   . . . . . . </w:t>
            </w:r>
          </w:p>
        </w:tc>
        <w:tc>
          <w:tcPr>
            <w:tcW w:w="153" w:type="dxa"/>
          </w:tcPr>
          <w:p>
            <w:pPr/>
          </w:p>
        </w:tc>
        <w:tc>
          <w:tcPr>
            <w:tcW w:w="1002" w:type="dxa"/>
          </w:tcPr>
          <w:p>
            <w:pPr>
              <w:pStyle w:val="TableParagraph"/>
              <w:spacing w:before="1"/>
              <w:rPr>
                <w:sz w:val="18"/>
              </w:rPr>
            </w:pPr>
            <w:r>
              <w:rPr>
                <w:color w:val="231F20"/>
                <w:sz w:val="18"/>
              </w:rPr>
              <w:t>30</w:t>
            </w:r>
          </w:p>
        </w:tc>
        <w:tc>
          <w:tcPr>
            <w:tcW w:w="198" w:type="dxa"/>
          </w:tcPr>
          <w:p>
            <w:pPr/>
          </w:p>
        </w:tc>
        <w:tc>
          <w:tcPr>
            <w:tcW w:w="1202" w:type="dxa"/>
          </w:tcPr>
          <w:p>
            <w:pPr>
              <w:pStyle w:val="TableParagraph"/>
              <w:spacing w:before="1"/>
              <w:rPr>
                <w:sz w:val="18"/>
              </w:rPr>
            </w:pPr>
            <w:r>
              <w:rPr>
                <w:color w:val="231F20"/>
                <w:sz w:val="18"/>
              </w:rPr>
              <w:t>31</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0"/>
              <w:jc w:val="center"/>
              <w:rPr>
                <w:sz w:val="18"/>
              </w:rPr>
            </w:pPr>
            <w:r>
              <w:rPr>
                <w:color w:val="231F20"/>
                <w:sz w:val="18"/>
              </w:rPr>
              <w:t>Term Loan Agreement due 2019—6.315%  . . . . . . . . . . . . . . . . . . . . . </w:t>
            </w:r>
          </w:p>
        </w:tc>
        <w:tc>
          <w:tcPr>
            <w:tcW w:w="153" w:type="dxa"/>
          </w:tcPr>
          <w:p>
            <w:pPr/>
          </w:p>
        </w:tc>
        <w:tc>
          <w:tcPr>
            <w:tcW w:w="1002" w:type="dxa"/>
          </w:tcPr>
          <w:p>
            <w:pPr>
              <w:pStyle w:val="TableParagraph"/>
              <w:spacing w:before="1"/>
              <w:rPr>
                <w:sz w:val="18"/>
              </w:rPr>
            </w:pPr>
            <w:r>
              <w:rPr>
                <w:color w:val="231F20"/>
                <w:sz w:val="18"/>
              </w:rPr>
              <w:t>210</w:t>
            </w:r>
          </w:p>
        </w:tc>
        <w:tc>
          <w:tcPr>
            <w:tcW w:w="198" w:type="dxa"/>
          </w:tcPr>
          <w:p>
            <w:pPr/>
          </w:p>
        </w:tc>
        <w:tc>
          <w:tcPr>
            <w:tcW w:w="1202" w:type="dxa"/>
          </w:tcPr>
          <w:p>
            <w:pPr>
              <w:pStyle w:val="TableParagraph"/>
              <w:spacing w:before="1"/>
              <w:rPr>
                <w:sz w:val="18"/>
              </w:rPr>
            </w:pPr>
            <w:r>
              <w:rPr>
                <w:color w:val="231F20"/>
                <w:sz w:val="18"/>
              </w:rPr>
              <w:t>213</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0"/>
              <w:jc w:val="center"/>
              <w:rPr>
                <w:sz w:val="18"/>
              </w:rPr>
            </w:pPr>
            <w:r>
              <w:rPr>
                <w:color w:val="231F20"/>
                <w:sz w:val="18"/>
              </w:rPr>
              <w:t>Term Loan Agreement due 2019—6.84%  . . . . . . . . . . . . . . . . . . . . . . </w:t>
            </w:r>
          </w:p>
        </w:tc>
        <w:tc>
          <w:tcPr>
            <w:tcW w:w="153" w:type="dxa"/>
          </w:tcPr>
          <w:p>
            <w:pPr/>
          </w:p>
        </w:tc>
        <w:tc>
          <w:tcPr>
            <w:tcW w:w="1002" w:type="dxa"/>
          </w:tcPr>
          <w:p>
            <w:pPr>
              <w:pStyle w:val="TableParagraph"/>
              <w:spacing w:before="1"/>
              <w:rPr>
                <w:sz w:val="18"/>
              </w:rPr>
            </w:pPr>
            <w:r>
              <w:rPr>
                <w:color w:val="231F20"/>
                <w:sz w:val="18"/>
              </w:rPr>
              <w:t>85</w:t>
            </w:r>
          </w:p>
        </w:tc>
        <w:tc>
          <w:tcPr>
            <w:tcW w:w="198" w:type="dxa"/>
          </w:tcPr>
          <w:p>
            <w:pPr/>
          </w:p>
        </w:tc>
        <w:tc>
          <w:tcPr>
            <w:tcW w:w="1202" w:type="dxa"/>
          </w:tcPr>
          <w:p>
            <w:pPr>
              <w:pStyle w:val="TableParagraph"/>
              <w:spacing w:before="1"/>
              <w:rPr>
                <w:sz w:val="18"/>
              </w:rPr>
            </w:pPr>
            <w:r>
              <w:rPr>
                <w:color w:val="231F20"/>
                <w:sz w:val="18"/>
              </w:rPr>
              <w:t>90</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1"/>
              <w:jc w:val="center"/>
              <w:rPr>
                <w:sz w:val="18"/>
              </w:rPr>
            </w:pPr>
            <w:r>
              <w:rPr>
                <w:color w:val="231F20"/>
                <w:sz w:val="18"/>
              </w:rPr>
              <w:t>Term Loan Agreement due 2020—5.223%  . . . . . . . . . . . . . . . . . . . . . </w:t>
            </w:r>
          </w:p>
        </w:tc>
        <w:tc>
          <w:tcPr>
            <w:tcW w:w="153" w:type="dxa"/>
          </w:tcPr>
          <w:p>
            <w:pPr/>
          </w:p>
        </w:tc>
        <w:tc>
          <w:tcPr>
            <w:tcW w:w="1002" w:type="dxa"/>
          </w:tcPr>
          <w:p>
            <w:pPr>
              <w:pStyle w:val="TableParagraph"/>
              <w:spacing w:before="1"/>
              <w:rPr>
                <w:sz w:val="18"/>
              </w:rPr>
            </w:pPr>
            <w:r>
              <w:rPr>
                <w:color w:val="231F20"/>
                <w:sz w:val="18"/>
              </w:rPr>
              <w:t>413</w:t>
            </w:r>
          </w:p>
        </w:tc>
        <w:tc>
          <w:tcPr>
            <w:tcW w:w="198" w:type="dxa"/>
          </w:tcPr>
          <w:p>
            <w:pPr/>
          </w:p>
        </w:tc>
        <w:tc>
          <w:tcPr>
            <w:tcW w:w="1202" w:type="dxa"/>
          </w:tcPr>
          <w:p>
            <w:pPr>
              <w:pStyle w:val="TableParagraph"/>
              <w:spacing w:before="1"/>
              <w:rPr>
                <w:sz w:val="18"/>
              </w:rPr>
            </w:pPr>
            <w:r>
              <w:rPr>
                <w:color w:val="231F20"/>
                <w:sz w:val="18"/>
              </w:rPr>
              <w:t>388</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1"/>
              <w:jc w:val="center"/>
              <w:rPr>
                <w:sz w:val="18"/>
              </w:rPr>
            </w:pPr>
            <w:r>
              <w:rPr>
                <w:color w:val="231F20"/>
                <w:sz w:val="18"/>
              </w:rPr>
              <w:t>Floating-rate 737 Aircraft Notes payable through 2020 . . . . . . . . . . . . </w:t>
            </w:r>
          </w:p>
        </w:tc>
        <w:tc>
          <w:tcPr>
            <w:tcW w:w="153" w:type="dxa"/>
          </w:tcPr>
          <w:p>
            <w:pPr/>
          </w:p>
        </w:tc>
        <w:tc>
          <w:tcPr>
            <w:tcW w:w="1002" w:type="dxa"/>
          </w:tcPr>
          <w:p>
            <w:pPr>
              <w:pStyle w:val="TableParagraph"/>
              <w:spacing w:before="1"/>
              <w:rPr>
                <w:sz w:val="18"/>
              </w:rPr>
            </w:pPr>
            <w:r>
              <w:rPr>
                <w:color w:val="231F20"/>
                <w:sz w:val="18"/>
              </w:rPr>
              <w:t>340</w:t>
            </w:r>
          </w:p>
        </w:tc>
        <w:tc>
          <w:tcPr>
            <w:tcW w:w="198" w:type="dxa"/>
          </w:tcPr>
          <w:p>
            <w:pPr/>
          </w:p>
        </w:tc>
        <w:tc>
          <w:tcPr>
            <w:tcW w:w="1202" w:type="dxa"/>
          </w:tcPr>
          <w:p>
            <w:pPr>
              <w:pStyle w:val="TableParagraph"/>
              <w:spacing w:before="1"/>
              <w:rPr>
                <w:sz w:val="18"/>
              </w:rPr>
            </w:pPr>
            <w:r>
              <w:rPr>
                <w:color w:val="231F20"/>
                <w:sz w:val="18"/>
              </w:rPr>
              <w:t>335</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1"/>
              <w:jc w:val="center"/>
              <w:rPr>
                <w:sz w:val="18"/>
              </w:rPr>
            </w:pPr>
            <w:r>
              <w:rPr>
                <w:color w:val="231F20"/>
                <w:sz w:val="18"/>
              </w:rPr>
              <w:t>Pass Through Certificates due 2022—6.24% . . . . . . . . . . . . . . . . . . . . </w:t>
            </w:r>
          </w:p>
        </w:tc>
        <w:tc>
          <w:tcPr>
            <w:tcW w:w="153" w:type="dxa"/>
          </w:tcPr>
          <w:p>
            <w:pPr/>
          </w:p>
        </w:tc>
        <w:tc>
          <w:tcPr>
            <w:tcW w:w="1002" w:type="dxa"/>
          </w:tcPr>
          <w:p>
            <w:pPr>
              <w:pStyle w:val="TableParagraph"/>
              <w:spacing w:before="1"/>
              <w:rPr>
                <w:sz w:val="18"/>
              </w:rPr>
            </w:pPr>
            <w:r>
              <w:rPr>
                <w:color w:val="231F20"/>
                <w:sz w:val="18"/>
              </w:rPr>
              <w:t>371</w:t>
            </w:r>
          </w:p>
        </w:tc>
        <w:tc>
          <w:tcPr>
            <w:tcW w:w="198" w:type="dxa"/>
          </w:tcPr>
          <w:p>
            <w:pPr/>
          </w:p>
        </w:tc>
        <w:tc>
          <w:tcPr>
            <w:tcW w:w="1202" w:type="dxa"/>
          </w:tcPr>
          <w:p>
            <w:pPr>
              <w:pStyle w:val="TableParagraph"/>
              <w:spacing w:before="1"/>
              <w:rPr>
                <w:sz w:val="18"/>
              </w:rPr>
            </w:pPr>
            <w:r>
              <w:rPr>
                <w:color w:val="231F20"/>
                <w:sz w:val="18"/>
              </w:rPr>
              <w:t>418</w:t>
            </w:r>
          </w:p>
        </w:tc>
        <w:tc>
          <w:tcPr>
            <w:tcW w:w="198" w:type="dxa"/>
          </w:tcPr>
          <w:p>
            <w:pPr/>
          </w:p>
        </w:tc>
        <w:tc>
          <w:tcPr>
            <w:tcW w:w="1352" w:type="dxa"/>
          </w:tcPr>
          <w:p>
            <w:pPr>
              <w:pStyle w:val="TableParagraph"/>
              <w:spacing w:before="1"/>
              <w:ind w:right="48"/>
              <w:rPr>
                <w:sz w:val="18"/>
              </w:rPr>
            </w:pPr>
            <w:r>
              <w:rPr>
                <w:color w:val="231F20"/>
                <w:sz w:val="18"/>
              </w:rPr>
              <w:t>Level 2</w:t>
            </w:r>
          </w:p>
        </w:tc>
      </w:tr>
      <w:tr>
        <w:trPr>
          <w:trHeight w:val="208" w:hRule="exact"/>
        </w:trPr>
        <w:tc>
          <w:tcPr>
            <w:tcW w:w="5117" w:type="dxa"/>
          </w:tcPr>
          <w:p>
            <w:pPr>
              <w:pStyle w:val="TableParagraph"/>
              <w:spacing w:before="1"/>
              <w:ind w:left="51"/>
              <w:jc w:val="center"/>
              <w:rPr>
                <w:sz w:val="18"/>
              </w:rPr>
            </w:pPr>
            <w:r>
              <w:rPr>
                <w:color w:val="231F20"/>
                <w:sz w:val="18"/>
              </w:rPr>
              <w:t>7.375% Debentures due 2027 . . . . . . . . . . . . . . . . . . . . . . . . . . . . . . . . </w:t>
            </w:r>
          </w:p>
        </w:tc>
        <w:tc>
          <w:tcPr>
            <w:tcW w:w="153" w:type="dxa"/>
          </w:tcPr>
          <w:p>
            <w:pPr/>
          </w:p>
        </w:tc>
        <w:tc>
          <w:tcPr>
            <w:tcW w:w="1002" w:type="dxa"/>
          </w:tcPr>
          <w:p>
            <w:pPr>
              <w:pStyle w:val="TableParagraph"/>
              <w:spacing w:before="1"/>
              <w:rPr>
                <w:sz w:val="18"/>
              </w:rPr>
            </w:pPr>
            <w:r>
              <w:rPr>
                <w:color w:val="231F20"/>
                <w:sz w:val="18"/>
              </w:rPr>
              <w:t>136</w:t>
            </w:r>
          </w:p>
        </w:tc>
        <w:tc>
          <w:tcPr>
            <w:tcW w:w="198" w:type="dxa"/>
          </w:tcPr>
          <w:p>
            <w:pPr/>
          </w:p>
        </w:tc>
        <w:tc>
          <w:tcPr>
            <w:tcW w:w="1202" w:type="dxa"/>
          </w:tcPr>
          <w:p>
            <w:pPr>
              <w:pStyle w:val="TableParagraph"/>
              <w:spacing w:before="1"/>
              <w:rPr>
                <w:sz w:val="18"/>
              </w:rPr>
            </w:pPr>
            <w:r>
              <w:rPr>
                <w:color w:val="231F20"/>
                <w:sz w:val="18"/>
              </w:rPr>
              <w:t>146</w:t>
            </w:r>
          </w:p>
        </w:tc>
        <w:tc>
          <w:tcPr>
            <w:tcW w:w="198" w:type="dxa"/>
          </w:tcPr>
          <w:p>
            <w:pPr/>
          </w:p>
        </w:tc>
        <w:tc>
          <w:tcPr>
            <w:tcW w:w="1352" w:type="dxa"/>
          </w:tcPr>
          <w:p>
            <w:pPr>
              <w:pStyle w:val="TableParagraph"/>
              <w:spacing w:before="1"/>
              <w:ind w:right="48"/>
              <w:rPr>
                <w:sz w:val="18"/>
              </w:rPr>
            </w:pPr>
            <w:r>
              <w:rPr>
                <w:color w:val="231F20"/>
                <w:sz w:val="18"/>
              </w:rPr>
              <w:t>Level 2</w:t>
            </w:r>
          </w:p>
        </w:tc>
      </w:tr>
    </w:tbl>
    <w:p>
      <w:pPr>
        <w:spacing w:after="0"/>
        <w:rPr>
          <w:sz w:val="18"/>
        </w:rPr>
        <w:sectPr>
          <w:type w:val="continuous"/>
          <w:pgSz w:w="11880" w:h="15480"/>
          <w:pgMar w:top="1200" w:bottom="280" w:left="1220" w:right="1220"/>
        </w:sectPr>
      </w:pPr>
    </w:p>
    <w:p>
      <w:pPr>
        <w:pStyle w:val="Heading3"/>
        <w:numPr>
          <w:ilvl w:val="0"/>
          <w:numId w:val="13"/>
        </w:numPr>
        <w:tabs>
          <w:tab w:pos="460" w:val="left" w:leader="none"/>
        </w:tabs>
        <w:spacing w:line="240" w:lineRule="auto" w:before="73" w:after="0"/>
        <w:ind w:left="460" w:right="0" w:hanging="300"/>
        <w:jc w:val="left"/>
      </w:pPr>
      <w:r>
        <w:rPr>
          <w:color w:val="231F20"/>
        </w:rPr>
        <w:t>ACCUMULATED OTHER COMPREHENSIVE INCOME</w:t>
      </w:r>
      <w:r>
        <w:rPr>
          <w:color w:val="231F20"/>
          <w:spacing w:val="-9"/>
        </w:rPr>
        <w:t> </w:t>
      </w:r>
      <w:r>
        <w:rPr>
          <w:color w:val="231F20"/>
        </w:rPr>
        <w:t>(LOSS)</w:t>
      </w:r>
    </w:p>
    <w:p>
      <w:pPr>
        <w:pStyle w:val="BodyText"/>
        <w:spacing w:line="249" w:lineRule="auto" w:before="129"/>
        <w:ind w:left="160" w:right="178" w:firstLine="490"/>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A rollforward of the amounts included in AOCI, net of taxes, is shown below for 2013 and 2012:</w:t>
      </w:r>
    </w:p>
    <w:p>
      <w:pPr>
        <w:pStyle w:val="BodyText"/>
        <w:spacing w:before="3"/>
        <w:rPr>
          <w:sz w:val="9"/>
        </w:rPr>
      </w:pPr>
    </w:p>
    <w:p>
      <w:pPr>
        <w:spacing w:after="0"/>
        <w:rPr>
          <w:sz w:val="9"/>
        </w:rPr>
        <w:sectPr>
          <w:footerReference w:type="default" r:id="rId40"/>
          <w:pgSz w:w="11880" w:h="15480"/>
          <w:pgMar w:footer="1253" w:header="0" w:top="1240" w:bottom="1440" w:left="980" w:right="980"/>
          <w:pgNumType w:start="111"/>
        </w:sectPr>
      </w:pPr>
    </w:p>
    <w:p>
      <w:pPr>
        <w:pStyle w:val="BodyText"/>
        <w:spacing w:before="8"/>
        <w:rPr>
          <w:sz w:val="23"/>
        </w:rPr>
      </w:pPr>
    </w:p>
    <w:p>
      <w:pPr>
        <w:spacing w:before="0"/>
        <w:ind w:left="0" w:right="0" w:firstLine="0"/>
        <w:jc w:val="right"/>
        <w:rPr>
          <w:b/>
          <w:sz w:val="18"/>
        </w:rPr>
      </w:pPr>
      <w:r>
        <w:rPr>
          <w:b/>
          <w:color w:val="231F20"/>
          <w:sz w:val="18"/>
        </w:rPr>
        <w:t>Fuel</w:t>
      </w:r>
    </w:p>
    <w:p>
      <w:pPr>
        <w:pStyle w:val="BodyText"/>
        <w:spacing w:before="8"/>
        <w:rPr>
          <w:b/>
          <w:sz w:val="23"/>
        </w:rPr>
      </w:pPr>
      <w:r>
        <w:rPr/>
        <w:br w:type="column"/>
      </w:r>
      <w:r>
        <w:rPr>
          <w:b/>
          <w:sz w:val="23"/>
        </w:rPr>
      </w:r>
    </w:p>
    <w:p>
      <w:pPr>
        <w:spacing w:before="0"/>
        <w:ind w:left="409" w:right="0" w:firstLine="0"/>
        <w:jc w:val="left"/>
        <w:rPr>
          <w:b/>
          <w:sz w:val="18"/>
        </w:rPr>
      </w:pPr>
      <w:r>
        <w:rPr>
          <w:b/>
          <w:color w:val="231F20"/>
          <w:sz w:val="18"/>
        </w:rPr>
        <w:t>Interest rate</w:t>
      </w:r>
    </w:p>
    <w:p>
      <w:pPr>
        <w:pStyle w:val="BodyText"/>
        <w:spacing w:before="8"/>
        <w:rPr>
          <w:b/>
          <w:sz w:val="23"/>
        </w:rPr>
      </w:pPr>
      <w:r>
        <w:rPr/>
        <w:br w:type="column"/>
      </w:r>
      <w:r>
        <w:rPr>
          <w:b/>
          <w:sz w:val="23"/>
        </w:rPr>
      </w:r>
    </w:p>
    <w:p>
      <w:pPr>
        <w:spacing w:before="0"/>
        <w:ind w:left="160" w:right="0" w:firstLine="0"/>
        <w:jc w:val="left"/>
        <w:rPr>
          <w:b/>
          <w:sz w:val="18"/>
        </w:rPr>
      </w:pPr>
      <w:r>
        <w:rPr/>
        <w:pict>
          <v:line style="position:absolute;mso-position-horizontal-relative:page;mso-position-vertical-relative:paragraph;z-index:-327760" from="310.75pt,20.902344pt" to="369.5pt,20.902344pt" stroked="true" strokeweight="1pt" strokecolor="#231f20">
            <v:stroke dashstyle="solid"/>
            <w10:wrap type="none"/>
          </v:line>
        </w:pict>
      </w:r>
      <w:r>
        <w:rPr/>
        <w:pict>
          <v:line style="position:absolute;mso-position-horizontal-relative:page;mso-position-vertical-relative:paragraph;z-index:-327688" from="310.75pt,55.152344pt" to="369.5pt,55.152344pt" stroked="true" strokeweight=".5pt" strokecolor="#231f20">
            <v:stroke dashstyle="solid"/>
            <w10:wrap type="none"/>
          </v:line>
        </w:pict>
      </w:r>
      <w:r>
        <w:rPr>
          <w:b/>
          <w:color w:val="231F20"/>
          <w:sz w:val="18"/>
        </w:rPr>
        <w:t>Defined benefit</w:t>
      </w:r>
    </w:p>
    <w:p>
      <w:pPr>
        <w:pStyle w:val="BodyText"/>
        <w:spacing w:before="8"/>
        <w:rPr>
          <w:b/>
          <w:sz w:val="23"/>
        </w:rPr>
      </w:pPr>
      <w:r>
        <w:rPr/>
        <w:br w:type="column"/>
      </w:r>
      <w:r>
        <w:rPr>
          <w:b/>
          <w:sz w:val="23"/>
        </w:rPr>
      </w:r>
    </w:p>
    <w:p>
      <w:pPr>
        <w:spacing w:before="0"/>
        <w:ind w:left="882" w:right="0" w:firstLine="0"/>
        <w:jc w:val="left"/>
        <w:rPr>
          <w:b/>
          <w:sz w:val="18"/>
        </w:rPr>
      </w:pPr>
      <w:r>
        <w:rPr/>
        <w:pict>
          <v:line style="position:absolute;mso-position-horizontal-relative:page;mso-position-vertical-relative:paragraph;z-index:-327736" from="379.5pt,20.902344pt" to="402.5pt,20.902344pt" stroked="true" strokeweight="1pt" strokecolor="#231f20">
            <v:stroke dashstyle="solid"/>
            <w10:wrap type="none"/>
          </v:line>
        </w:pict>
      </w:r>
      <w:r>
        <w:rPr/>
        <w:pict>
          <v:line style="position:absolute;mso-position-horizontal-relative:page;mso-position-vertical-relative:paragraph;z-index:-327712" from="412.5pt,20.902344pt" to="453.25pt,20.902344pt" stroked="true" strokeweight="1pt" strokecolor="#231f20">
            <v:stroke dashstyle="solid"/>
            <w10:wrap type="none"/>
          </v:line>
        </w:pict>
      </w:r>
      <w:r>
        <w:rPr/>
        <w:pict>
          <v:line style="position:absolute;mso-position-horizontal-relative:page;mso-position-vertical-relative:paragraph;z-index:-327664" from="379.5pt,55.152344pt" to="402.5pt,55.152344pt" stroked="true" strokeweight=".5pt" strokecolor="#231f20">
            <v:stroke dashstyle="solid"/>
            <w10:wrap type="none"/>
          </v:line>
        </w:pict>
      </w:r>
      <w:r>
        <w:rPr/>
        <w:pict>
          <v:line style="position:absolute;mso-position-horizontal-relative:page;mso-position-vertical-relative:paragraph;z-index:-327640" from="412.5pt,55.152344pt" to="453.25pt,55.152344pt" stroked="true" strokeweight=".5pt" strokecolor="#231f20">
            <v:stroke dashstyle="solid"/>
            <w10:wrap type="none"/>
          </v:line>
        </w:pict>
      </w:r>
      <w:r>
        <w:rPr>
          <w:b/>
          <w:color w:val="231F20"/>
          <w:sz w:val="18"/>
        </w:rPr>
        <w:t>Deferred</w:t>
      </w:r>
    </w:p>
    <w:p>
      <w:pPr>
        <w:spacing w:line="180" w:lineRule="exact" w:before="116"/>
        <w:ind w:left="385" w:right="138" w:hanging="162"/>
        <w:jc w:val="left"/>
        <w:rPr>
          <w:b/>
          <w:sz w:val="18"/>
        </w:rPr>
      </w:pPr>
      <w:r>
        <w:rPr/>
        <w:br w:type="column"/>
      </w:r>
      <w:r>
        <w:rPr>
          <w:b/>
          <w:color w:val="231F20"/>
          <w:sz w:val="18"/>
        </w:rPr>
        <w:t>Accumulated other</w:t>
      </w:r>
      <w:r>
        <w:rPr>
          <w:b/>
          <w:color w:val="231F20"/>
          <w:w w:val="99"/>
          <w:sz w:val="18"/>
        </w:rPr>
        <w:t> </w:t>
      </w:r>
      <w:r>
        <w:rPr>
          <w:b/>
          <w:color w:val="231F20"/>
          <w:sz w:val="18"/>
        </w:rPr>
        <w:t>comprehensive</w:t>
      </w:r>
    </w:p>
    <w:p>
      <w:pPr>
        <w:spacing w:after="0" w:line="180" w:lineRule="exact"/>
        <w:jc w:val="left"/>
        <w:rPr>
          <w:sz w:val="18"/>
        </w:rPr>
        <w:sectPr>
          <w:type w:val="continuous"/>
          <w:pgSz w:w="11880" w:h="15480"/>
          <w:pgMar w:top="1200" w:bottom="280" w:left="980" w:right="980"/>
          <w:cols w:num="5" w:equalWidth="0">
            <w:col w:w="3631" w:space="40"/>
            <w:col w:w="1365" w:space="40"/>
            <w:col w:w="1336" w:space="40"/>
            <w:col w:w="1572" w:space="40"/>
            <w:col w:w="1856"/>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75"/>
        <w:gridCol w:w="155"/>
        <w:gridCol w:w="900"/>
        <w:gridCol w:w="140"/>
        <w:gridCol w:w="1015"/>
        <w:gridCol w:w="140"/>
        <w:gridCol w:w="4585"/>
      </w:tblGrid>
      <w:tr>
        <w:trPr>
          <w:trHeight w:val="230" w:hRule="exact"/>
        </w:trPr>
        <w:tc>
          <w:tcPr>
            <w:tcW w:w="2775" w:type="dxa"/>
            <w:tcBorders>
              <w:bottom w:val="single" w:sz="8" w:space="0" w:color="231F20"/>
            </w:tcBorders>
          </w:tcPr>
          <w:p>
            <w:pPr>
              <w:pStyle w:val="TableParagraph"/>
              <w:spacing w:line="180" w:lineRule="exact"/>
              <w:ind w:left="50"/>
              <w:jc w:val="left"/>
              <w:rPr>
                <w:b/>
                <w:sz w:val="18"/>
              </w:rPr>
            </w:pPr>
            <w:r>
              <w:rPr>
                <w:b/>
                <w:color w:val="231F20"/>
                <w:sz w:val="18"/>
              </w:rPr>
              <w:t>(in millions)</w:t>
            </w:r>
          </w:p>
        </w:tc>
        <w:tc>
          <w:tcPr>
            <w:tcW w:w="155" w:type="dxa"/>
          </w:tcPr>
          <w:p>
            <w:pPr/>
          </w:p>
        </w:tc>
        <w:tc>
          <w:tcPr>
            <w:tcW w:w="900" w:type="dxa"/>
            <w:tcBorders>
              <w:bottom w:val="single" w:sz="8" w:space="0" w:color="231F20"/>
            </w:tcBorders>
          </w:tcPr>
          <w:p>
            <w:pPr>
              <w:pStyle w:val="TableParagraph"/>
              <w:spacing w:line="180" w:lineRule="exact"/>
              <w:ind w:right="57"/>
              <w:rPr>
                <w:b/>
                <w:sz w:val="18"/>
              </w:rPr>
            </w:pPr>
            <w:r>
              <w:rPr>
                <w:b/>
                <w:color w:val="231F20"/>
                <w:sz w:val="18"/>
              </w:rPr>
              <w:t>derivatives</w:t>
            </w:r>
          </w:p>
        </w:tc>
        <w:tc>
          <w:tcPr>
            <w:tcW w:w="140" w:type="dxa"/>
          </w:tcPr>
          <w:p>
            <w:pPr/>
          </w:p>
        </w:tc>
        <w:tc>
          <w:tcPr>
            <w:tcW w:w="1015" w:type="dxa"/>
            <w:tcBorders>
              <w:bottom w:val="single" w:sz="8" w:space="0" w:color="231F20"/>
            </w:tcBorders>
          </w:tcPr>
          <w:p>
            <w:pPr>
              <w:pStyle w:val="TableParagraph"/>
              <w:spacing w:line="180" w:lineRule="exact"/>
              <w:ind w:left="57"/>
              <w:jc w:val="left"/>
              <w:rPr>
                <w:b/>
                <w:sz w:val="18"/>
              </w:rPr>
            </w:pPr>
            <w:r>
              <w:rPr>
                <w:b/>
                <w:color w:val="231F20"/>
                <w:sz w:val="18"/>
              </w:rPr>
              <w:t>derivatives</w:t>
            </w:r>
          </w:p>
        </w:tc>
        <w:tc>
          <w:tcPr>
            <w:tcW w:w="140" w:type="dxa"/>
          </w:tcPr>
          <w:p>
            <w:pPr/>
          </w:p>
        </w:tc>
        <w:tc>
          <w:tcPr>
            <w:tcW w:w="4585" w:type="dxa"/>
            <w:tcBorders>
              <w:bottom w:val="single" w:sz="8" w:space="0" w:color="231F20"/>
            </w:tcBorders>
          </w:tcPr>
          <w:p>
            <w:pPr>
              <w:pStyle w:val="TableParagraph"/>
              <w:tabs>
                <w:tab w:pos="1375" w:val="left" w:leader="none"/>
                <w:tab w:pos="2035" w:val="left" w:leader="none"/>
                <w:tab w:pos="3290" w:val="left" w:leader="none"/>
              </w:tabs>
              <w:spacing w:line="180" w:lineRule="exact"/>
              <w:ind w:left="190"/>
              <w:jc w:val="left"/>
              <w:rPr>
                <w:b/>
                <w:sz w:val="18"/>
              </w:rPr>
            </w:pPr>
            <w:r>
              <w:rPr>
                <w:b/>
                <w:color w:val="231F20"/>
                <w:sz w:val="18"/>
              </w:rPr>
              <w:t>plan</w:t>
            </w:r>
            <w:r>
              <w:rPr>
                <w:b/>
                <w:color w:val="231F20"/>
                <w:spacing w:val="-1"/>
                <w:sz w:val="18"/>
              </w:rPr>
              <w:t> </w:t>
            </w:r>
            <w:r>
              <w:rPr>
                <w:b/>
                <w:color w:val="231F20"/>
                <w:sz w:val="18"/>
              </w:rPr>
              <w:t>items</w:t>
              <w:tab/>
              <w:t>Other</w:t>
              <w:tab/>
              <w:t>tax impact</w:t>
              <w:tab/>
              <w:t>income (loss)</w:t>
            </w:r>
          </w:p>
        </w:tc>
      </w:tr>
      <w:tr>
        <w:trPr>
          <w:trHeight w:val="250" w:hRule="exact"/>
        </w:trPr>
        <w:tc>
          <w:tcPr>
            <w:tcW w:w="2775" w:type="dxa"/>
            <w:tcBorders>
              <w:top w:val="single" w:sz="8" w:space="0" w:color="231F20"/>
            </w:tcBorders>
          </w:tcPr>
          <w:p>
            <w:pPr>
              <w:pStyle w:val="TableParagraph"/>
              <w:spacing w:before="13"/>
              <w:ind w:left="50"/>
              <w:jc w:val="left"/>
              <w:rPr>
                <w:sz w:val="18"/>
              </w:rPr>
            </w:pPr>
            <w:r>
              <w:rPr>
                <w:color w:val="231F20"/>
                <w:sz w:val="18"/>
              </w:rPr>
              <w:t>Balance at December 31, 2011 . . . . . </w:t>
            </w:r>
          </w:p>
        </w:tc>
        <w:tc>
          <w:tcPr>
            <w:tcW w:w="155" w:type="dxa"/>
          </w:tcPr>
          <w:p>
            <w:pPr/>
          </w:p>
        </w:tc>
        <w:tc>
          <w:tcPr>
            <w:tcW w:w="900" w:type="dxa"/>
            <w:tcBorders>
              <w:top w:val="single" w:sz="8" w:space="0" w:color="231F20"/>
            </w:tcBorders>
          </w:tcPr>
          <w:p>
            <w:pPr>
              <w:pStyle w:val="TableParagraph"/>
              <w:tabs>
                <w:tab w:pos="509" w:val="left" w:leader="none"/>
              </w:tabs>
              <w:spacing w:before="13"/>
              <w:rPr>
                <w:sz w:val="18"/>
              </w:rPr>
            </w:pPr>
            <w:r>
              <w:rPr>
                <w:color w:val="231F20"/>
                <w:sz w:val="18"/>
              </w:rPr>
              <w:t>$</w:t>
              <w:tab/>
            </w:r>
            <w:r>
              <w:rPr>
                <w:color w:val="231F20"/>
                <w:spacing w:val="-1"/>
                <w:sz w:val="18"/>
              </w:rPr>
              <w:t>(297)</w:t>
            </w:r>
          </w:p>
        </w:tc>
        <w:tc>
          <w:tcPr>
            <w:tcW w:w="140" w:type="dxa"/>
          </w:tcPr>
          <w:p>
            <w:pPr/>
          </w:p>
        </w:tc>
        <w:tc>
          <w:tcPr>
            <w:tcW w:w="1015" w:type="dxa"/>
            <w:tcBorders>
              <w:top w:val="single" w:sz="8" w:space="0" w:color="231F20"/>
            </w:tcBorders>
          </w:tcPr>
          <w:p>
            <w:pPr>
              <w:pStyle w:val="TableParagraph"/>
              <w:tabs>
                <w:tab w:pos="624" w:val="left" w:leader="none"/>
              </w:tabs>
              <w:spacing w:before="13"/>
              <w:jc w:val="left"/>
              <w:rPr>
                <w:sz w:val="18"/>
              </w:rPr>
            </w:pPr>
            <w:r>
              <w:rPr>
                <w:color w:val="231F20"/>
                <w:sz w:val="18"/>
              </w:rPr>
              <w:t>$</w:t>
              <w:tab/>
              <w:t>(107)</w:t>
            </w:r>
          </w:p>
        </w:tc>
        <w:tc>
          <w:tcPr>
            <w:tcW w:w="140" w:type="dxa"/>
          </w:tcPr>
          <w:p>
            <w:pPr/>
          </w:p>
        </w:tc>
        <w:tc>
          <w:tcPr>
            <w:tcW w:w="4585" w:type="dxa"/>
            <w:tcBorders>
              <w:top w:val="single" w:sz="8" w:space="0" w:color="231F20"/>
            </w:tcBorders>
          </w:tcPr>
          <w:p>
            <w:pPr>
              <w:pStyle w:val="TableParagraph"/>
              <w:tabs>
                <w:tab w:pos="995" w:val="left" w:leader="none"/>
                <w:tab w:pos="2580" w:val="left" w:leader="none"/>
                <w:tab w:pos="4195" w:val="left" w:leader="none"/>
              </w:tabs>
              <w:spacing w:before="13"/>
              <w:rPr>
                <w:sz w:val="18"/>
              </w:rPr>
            </w:pPr>
            <w:r>
              <w:rPr>
                <w:color w:val="231F20"/>
                <w:sz w:val="18"/>
              </w:rPr>
              <w:t>$</w:t>
              <w:tab/>
              <w:t>54    $  </w:t>
            </w:r>
            <w:r>
              <w:rPr>
                <w:color w:val="231F20"/>
                <w:spacing w:val="14"/>
                <w:sz w:val="18"/>
              </w:rPr>
              <w:t> </w:t>
            </w:r>
            <w:r>
              <w:rPr>
                <w:color w:val="231F20"/>
                <w:sz w:val="18"/>
              </w:rPr>
              <w:t>(14)  </w:t>
            </w:r>
            <w:r>
              <w:rPr>
                <w:color w:val="231F20"/>
                <w:spacing w:val="5"/>
                <w:sz w:val="18"/>
              </w:rPr>
              <w:t> </w:t>
            </w:r>
            <w:r>
              <w:rPr>
                <w:color w:val="231F20"/>
                <w:sz w:val="18"/>
              </w:rPr>
              <w:t>$</w:t>
              <w:tab/>
              <w:t>140   </w:t>
            </w:r>
            <w:r>
              <w:rPr>
                <w:color w:val="231F20"/>
                <w:spacing w:val="20"/>
                <w:sz w:val="18"/>
              </w:rPr>
              <w:t> </w:t>
            </w:r>
            <w:r>
              <w:rPr>
                <w:color w:val="231F20"/>
                <w:sz w:val="18"/>
              </w:rPr>
              <w:t>$</w:t>
              <w:tab/>
              <w:t>(224)</w:t>
            </w:r>
          </w:p>
        </w:tc>
      </w:tr>
      <w:tr>
        <w:trPr>
          <w:trHeight w:val="200" w:hRule="exact"/>
        </w:trPr>
        <w:tc>
          <w:tcPr>
            <w:tcW w:w="2775" w:type="dxa"/>
          </w:tcPr>
          <w:p>
            <w:pPr>
              <w:pStyle w:val="TableParagraph"/>
              <w:spacing w:line="179" w:lineRule="exact"/>
              <w:rPr>
                <w:sz w:val="18"/>
              </w:rPr>
            </w:pPr>
            <w:r>
              <w:rPr>
                <w:color w:val="231F20"/>
                <w:sz w:val="18"/>
              </w:rPr>
              <w:t>2012 changes in fair value  . . . . . . </w:t>
            </w:r>
          </w:p>
        </w:tc>
        <w:tc>
          <w:tcPr>
            <w:tcW w:w="155" w:type="dxa"/>
          </w:tcPr>
          <w:p>
            <w:pPr/>
          </w:p>
        </w:tc>
        <w:tc>
          <w:tcPr>
            <w:tcW w:w="900" w:type="dxa"/>
          </w:tcPr>
          <w:p>
            <w:pPr>
              <w:pStyle w:val="TableParagraph"/>
              <w:spacing w:line="179" w:lineRule="exact"/>
              <w:ind w:right="57"/>
              <w:rPr>
                <w:sz w:val="18"/>
              </w:rPr>
            </w:pPr>
            <w:r>
              <w:rPr>
                <w:color w:val="231F20"/>
                <w:sz w:val="18"/>
              </w:rPr>
              <w:t>31</w:t>
            </w:r>
          </w:p>
        </w:tc>
        <w:tc>
          <w:tcPr>
            <w:tcW w:w="140" w:type="dxa"/>
          </w:tcPr>
          <w:p>
            <w:pPr/>
          </w:p>
        </w:tc>
        <w:tc>
          <w:tcPr>
            <w:tcW w:w="1015" w:type="dxa"/>
          </w:tcPr>
          <w:p>
            <w:pPr>
              <w:pStyle w:val="TableParagraph"/>
              <w:spacing w:line="179" w:lineRule="exact"/>
              <w:rPr>
                <w:sz w:val="18"/>
              </w:rPr>
            </w:pPr>
            <w:r>
              <w:rPr>
                <w:color w:val="231F20"/>
                <w:sz w:val="18"/>
              </w:rPr>
              <w:t>(27)</w:t>
            </w:r>
          </w:p>
        </w:tc>
        <w:tc>
          <w:tcPr>
            <w:tcW w:w="140" w:type="dxa"/>
          </w:tcPr>
          <w:p>
            <w:pPr/>
          </w:p>
        </w:tc>
        <w:tc>
          <w:tcPr>
            <w:tcW w:w="4585" w:type="dxa"/>
          </w:tcPr>
          <w:p>
            <w:pPr>
              <w:pStyle w:val="TableParagraph"/>
              <w:tabs>
                <w:tab w:pos="809" w:val="left" w:leader="none"/>
                <w:tab w:pos="1675" w:val="left" w:leader="none"/>
                <w:tab w:pos="3349" w:val="left" w:leader="none"/>
              </w:tabs>
              <w:spacing w:line="179" w:lineRule="exact"/>
              <w:rPr>
                <w:sz w:val="18"/>
              </w:rPr>
            </w:pPr>
            <w:r>
              <w:rPr>
                <w:color w:val="231F20"/>
                <w:sz w:val="18"/>
              </w:rPr>
              <w:t>(28)</w:t>
              <w:tab/>
              <w:t>6</w:t>
              <w:tab/>
              <w:t>(73)</w:t>
              <w:tab/>
            </w:r>
            <w:r>
              <w:rPr>
                <w:color w:val="231F20"/>
                <w:spacing w:val="-1"/>
                <w:sz w:val="18"/>
              </w:rPr>
              <w:t>(91)</w:t>
            </w:r>
          </w:p>
        </w:tc>
      </w:tr>
      <w:tr>
        <w:trPr>
          <w:trHeight w:val="235" w:hRule="exact"/>
        </w:trPr>
        <w:tc>
          <w:tcPr>
            <w:tcW w:w="2775" w:type="dxa"/>
          </w:tcPr>
          <w:p>
            <w:pPr>
              <w:pStyle w:val="TableParagraph"/>
              <w:spacing w:line="179" w:lineRule="exact"/>
              <w:rPr>
                <w:sz w:val="18"/>
              </w:rPr>
            </w:pPr>
            <w:r>
              <w:rPr>
                <w:color w:val="231F20"/>
                <w:sz w:val="18"/>
              </w:rPr>
              <w:t>Reclassification to earnings  . . . . . </w:t>
            </w:r>
          </w:p>
        </w:tc>
        <w:tc>
          <w:tcPr>
            <w:tcW w:w="155" w:type="dxa"/>
          </w:tcPr>
          <w:p>
            <w:pPr/>
          </w:p>
        </w:tc>
        <w:tc>
          <w:tcPr>
            <w:tcW w:w="900" w:type="dxa"/>
            <w:tcBorders>
              <w:bottom w:val="single" w:sz="4" w:space="0" w:color="231F20"/>
            </w:tcBorders>
          </w:tcPr>
          <w:p>
            <w:pPr>
              <w:pStyle w:val="TableParagraph"/>
              <w:spacing w:line="179" w:lineRule="exact"/>
              <w:ind w:right="57"/>
              <w:rPr>
                <w:sz w:val="18"/>
              </w:rPr>
            </w:pPr>
            <w:r>
              <w:rPr>
                <w:color w:val="231F20"/>
                <w:sz w:val="18"/>
              </w:rPr>
              <w:t>163</w:t>
            </w:r>
          </w:p>
        </w:tc>
        <w:tc>
          <w:tcPr>
            <w:tcW w:w="140" w:type="dxa"/>
          </w:tcPr>
          <w:p>
            <w:pPr/>
          </w:p>
        </w:tc>
        <w:tc>
          <w:tcPr>
            <w:tcW w:w="1015" w:type="dxa"/>
            <w:tcBorders>
              <w:bottom w:val="single" w:sz="4" w:space="0" w:color="231F20"/>
            </w:tcBorders>
          </w:tcPr>
          <w:p>
            <w:pPr>
              <w:pStyle w:val="TableParagraph"/>
              <w:spacing w:line="179" w:lineRule="exact"/>
              <w:ind w:right="57"/>
              <w:rPr>
                <w:sz w:val="18"/>
              </w:rPr>
            </w:pPr>
            <w:r>
              <w:rPr>
                <w:color w:val="231F20"/>
                <w:sz w:val="18"/>
              </w:rPr>
              <w:t>26</w:t>
            </w:r>
          </w:p>
        </w:tc>
        <w:tc>
          <w:tcPr>
            <w:tcW w:w="140" w:type="dxa"/>
          </w:tcPr>
          <w:p>
            <w:pPr/>
          </w:p>
        </w:tc>
        <w:tc>
          <w:tcPr>
            <w:tcW w:w="4585" w:type="dxa"/>
            <w:tcBorders>
              <w:bottom w:val="single" w:sz="4" w:space="0" w:color="231F20"/>
            </w:tcBorders>
          </w:tcPr>
          <w:p>
            <w:pPr>
              <w:pStyle w:val="TableParagraph"/>
              <w:tabs>
                <w:tab w:pos="659" w:val="left" w:leader="none"/>
                <w:tab w:pos="1855" w:val="left" w:leader="none"/>
                <w:tab w:pos="3350" w:val="left" w:leader="none"/>
              </w:tabs>
              <w:spacing w:line="179" w:lineRule="exact"/>
              <w:ind w:right="57"/>
              <w:rPr>
                <w:sz w:val="18"/>
              </w:rPr>
            </w:pPr>
            <w:r>
              <w:rPr>
                <w:color w:val="231F20"/>
                <w:sz w:val="18"/>
              </w:rPr>
              <w:t>—</w:t>
              <w:tab/>
              <w:t>—</w:t>
              <w:tab/>
              <w:t>7</w:t>
              <w:tab/>
              <w:t>196</w:t>
            </w:r>
          </w:p>
        </w:tc>
      </w:tr>
      <w:tr>
        <w:trPr>
          <w:trHeight w:val="280" w:hRule="exact"/>
        </w:trPr>
        <w:tc>
          <w:tcPr>
            <w:tcW w:w="2775" w:type="dxa"/>
          </w:tcPr>
          <w:p>
            <w:pPr>
              <w:pStyle w:val="TableParagraph"/>
              <w:spacing w:before="18"/>
              <w:ind w:left="50"/>
              <w:jc w:val="left"/>
              <w:rPr>
                <w:sz w:val="18"/>
              </w:rPr>
            </w:pPr>
            <w:r>
              <w:rPr>
                <w:color w:val="231F20"/>
                <w:sz w:val="18"/>
              </w:rPr>
              <w:t>Balance at December 31, 2012 . . . . . </w:t>
            </w:r>
          </w:p>
        </w:tc>
        <w:tc>
          <w:tcPr>
            <w:tcW w:w="155" w:type="dxa"/>
          </w:tcPr>
          <w:p>
            <w:pPr/>
          </w:p>
        </w:tc>
        <w:tc>
          <w:tcPr>
            <w:tcW w:w="900" w:type="dxa"/>
            <w:tcBorders>
              <w:top w:val="single" w:sz="4" w:space="0" w:color="231F20"/>
              <w:bottom w:val="single" w:sz="4" w:space="0" w:color="231F20"/>
            </w:tcBorders>
          </w:tcPr>
          <w:p>
            <w:pPr>
              <w:pStyle w:val="TableParagraph"/>
              <w:tabs>
                <w:tab w:pos="509" w:val="left" w:leader="none"/>
              </w:tabs>
              <w:spacing w:before="13"/>
              <w:rPr>
                <w:sz w:val="18"/>
              </w:rPr>
            </w:pPr>
            <w:r>
              <w:rPr>
                <w:color w:val="231F20"/>
                <w:sz w:val="18"/>
              </w:rPr>
              <w:t>$</w:t>
              <w:tab/>
            </w:r>
            <w:r>
              <w:rPr>
                <w:color w:val="231F20"/>
                <w:spacing w:val="-1"/>
                <w:sz w:val="18"/>
              </w:rPr>
              <w:t>(103)</w:t>
            </w:r>
          </w:p>
        </w:tc>
        <w:tc>
          <w:tcPr>
            <w:tcW w:w="140" w:type="dxa"/>
          </w:tcPr>
          <w:p>
            <w:pPr/>
          </w:p>
        </w:tc>
        <w:tc>
          <w:tcPr>
            <w:tcW w:w="1015" w:type="dxa"/>
            <w:tcBorders>
              <w:top w:val="single" w:sz="4" w:space="0" w:color="231F20"/>
              <w:bottom w:val="single" w:sz="4" w:space="0" w:color="231F20"/>
            </w:tcBorders>
          </w:tcPr>
          <w:p>
            <w:pPr>
              <w:pStyle w:val="TableParagraph"/>
              <w:tabs>
                <w:tab w:pos="624" w:val="left" w:leader="none"/>
              </w:tabs>
              <w:spacing w:before="13"/>
              <w:jc w:val="left"/>
              <w:rPr>
                <w:sz w:val="18"/>
              </w:rPr>
            </w:pPr>
            <w:r>
              <w:rPr>
                <w:color w:val="231F20"/>
                <w:sz w:val="18"/>
              </w:rPr>
              <w:t>$</w:t>
              <w:tab/>
              <w:t>(108)</w:t>
            </w:r>
          </w:p>
        </w:tc>
        <w:tc>
          <w:tcPr>
            <w:tcW w:w="140" w:type="dxa"/>
          </w:tcPr>
          <w:p>
            <w:pPr/>
          </w:p>
        </w:tc>
        <w:tc>
          <w:tcPr>
            <w:tcW w:w="4585" w:type="dxa"/>
            <w:tcBorders>
              <w:top w:val="single" w:sz="4" w:space="0" w:color="231F20"/>
              <w:bottom w:val="single" w:sz="4" w:space="0" w:color="231F20"/>
            </w:tcBorders>
          </w:tcPr>
          <w:p>
            <w:pPr>
              <w:pStyle w:val="TableParagraph"/>
              <w:tabs>
                <w:tab w:pos="995" w:val="left" w:leader="none"/>
                <w:tab w:pos="1685" w:val="left" w:leader="none"/>
                <w:tab w:pos="2670" w:val="left" w:leader="none"/>
                <w:tab w:pos="4195" w:val="left" w:leader="none"/>
              </w:tabs>
              <w:spacing w:before="13"/>
              <w:rPr>
                <w:sz w:val="18"/>
              </w:rPr>
            </w:pPr>
            <w:r>
              <w:rPr>
                <w:color w:val="231F20"/>
                <w:sz w:val="18"/>
              </w:rPr>
              <w:t>$</w:t>
              <w:tab/>
              <w:t>26   </w:t>
            </w:r>
            <w:r>
              <w:rPr>
                <w:color w:val="231F20"/>
                <w:spacing w:val="20"/>
                <w:sz w:val="18"/>
              </w:rPr>
              <w:t> </w:t>
            </w:r>
            <w:r>
              <w:rPr>
                <w:color w:val="231F20"/>
                <w:sz w:val="18"/>
              </w:rPr>
              <w:t>$</w:t>
              <w:tab/>
              <w:t>(8)  </w:t>
            </w:r>
            <w:r>
              <w:rPr>
                <w:color w:val="231F20"/>
                <w:spacing w:val="5"/>
                <w:sz w:val="18"/>
              </w:rPr>
              <w:t> </w:t>
            </w:r>
            <w:r>
              <w:rPr>
                <w:color w:val="231F20"/>
                <w:sz w:val="18"/>
              </w:rPr>
              <w:t>$</w:t>
              <w:tab/>
              <w:t>74   </w:t>
            </w:r>
            <w:r>
              <w:rPr>
                <w:color w:val="231F20"/>
                <w:spacing w:val="20"/>
                <w:sz w:val="18"/>
              </w:rPr>
              <w:t> </w:t>
            </w:r>
            <w:r>
              <w:rPr>
                <w:color w:val="231F20"/>
                <w:sz w:val="18"/>
              </w:rPr>
              <w:t>$</w:t>
              <w:tab/>
              <w:t>(119)</w:t>
            </w:r>
          </w:p>
        </w:tc>
      </w:tr>
      <w:tr>
        <w:trPr>
          <w:trHeight w:val="245" w:hRule="exact"/>
        </w:trPr>
        <w:tc>
          <w:tcPr>
            <w:tcW w:w="2775" w:type="dxa"/>
          </w:tcPr>
          <w:p>
            <w:pPr>
              <w:pStyle w:val="TableParagraph"/>
              <w:spacing w:before="18"/>
              <w:rPr>
                <w:sz w:val="18"/>
              </w:rPr>
            </w:pPr>
            <w:r>
              <w:rPr>
                <w:color w:val="231F20"/>
                <w:sz w:val="18"/>
              </w:rPr>
              <w:t>2013 changes in fair value  . . . . . . </w:t>
            </w:r>
          </w:p>
        </w:tc>
        <w:tc>
          <w:tcPr>
            <w:tcW w:w="155" w:type="dxa"/>
          </w:tcPr>
          <w:p>
            <w:pPr/>
          </w:p>
        </w:tc>
        <w:tc>
          <w:tcPr>
            <w:tcW w:w="900" w:type="dxa"/>
            <w:tcBorders>
              <w:top w:val="single" w:sz="4" w:space="0" w:color="231F20"/>
            </w:tcBorders>
          </w:tcPr>
          <w:p>
            <w:pPr>
              <w:pStyle w:val="TableParagraph"/>
              <w:spacing w:before="13"/>
              <w:rPr>
                <w:sz w:val="18"/>
              </w:rPr>
            </w:pPr>
            <w:r>
              <w:rPr>
                <w:color w:val="231F20"/>
                <w:sz w:val="18"/>
              </w:rPr>
              <w:t>(82)</w:t>
            </w:r>
          </w:p>
        </w:tc>
        <w:tc>
          <w:tcPr>
            <w:tcW w:w="140" w:type="dxa"/>
          </w:tcPr>
          <w:p>
            <w:pPr/>
          </w:p>
        </w:tc>
        <w:tc>
          <w:tcPr>
            <w:tcW w:w="1015" w:type="dxa"/>
            <w:tcBorders>
              <w:top w:val="single" w:sz="4" w:space="0" w:color="231F20"/>
            </w:tcBorders>
          </w:tcPr>
          <w:p>
            <w:pPr>
              <w:pStyle w:val="TableParagraph"/>
              <w:spacing w:before="13"/>
              <w:ind w:right="57"/>
              <w:rPr>
                <w:sz w:val="18"/>
              </w:rPr>
            </w:pPr>
            <w:r>
              <w:rPr>
                <w:color w:val="231F20"/>
                <w:sz w:val="18"/>
              </w:rPr>
              <w:t>22</w:t>
            </w:r>
          </w:p>
        </w:tc>
        <w:tc>
          <w:tcPr>
            <w:tcW w:w="140" w:type="dxa"/>
          </w:tcPr>
          <w:p>
            <w:pPr/>
          </w:p>
        </w:tc>
        <w:tc>
          <w:tcPr>
            <w:tcW w:w="4585" w:type="dxa"/>
            <w:tcBorders>
              <w:top w:val="single" w:sz="4" w:space="0" w:color="231F20"/>
            </w:tcBorders>
          </w:tcPr>
          <w:p>
            <w:pPr>
              <w:pStyle w:val="TableParagraph"/>
              <w:tabs>
                <w:tab w:pos="659" w:val="left" w:leader="none"/>
                <w:tab w:pos="1585" w:val="left" w:leader="none"/>
                <w:tab w:pos="3379" w:val="left" w:leader="none"/>
              </w:tabs>
              <w:spacing w:before="13"/>
              <w:rPr>
                <w:sz w:val="18"/>
              </w:rPr>
            </w:pPr>
            <w:r>
              <w:rPr>
                <w:color w:val="231F20"/>
                <w:sz w:val="18"/>
              </w:rPr>
              <w:t>39</w:t>
              <w:tab/>
              <w:t>16</w:t>
              <w:tab/>
              <w:t>—</w:t>
              <w:tab/>
              <w:t>(5)</w:t>
            </w:r>
          </w:p>
        </w:tc>
      </w:tr>
      <w:tr>
        <w:trPr>
          <w:trHeight w:val="235" w:hRule="exact"/>
        </w:trPr>
        <w:tc>
          <w:tcPr>
            <w:tcW w:w="2775" w:type="dxa"/>
          </w:tcPr>
          <w:p>
            <w:pPr>
              <w:pStyle w:val="TableParagraph"/>
              <w:spacing w:line="179" w:lineRule="exact"/>
              <w:rPr>
                <w:sz w:val="18"/>
              </w:rPr>
            </w:pPr>
            <w:r>
              <w:rPr>
                <w:color w:val="231F20"/>
                <w:sz w:val="18"/>
              </w:rPr>
              <w:t>Reclassification to earnings  . . . . . </w:t>
            </w:r>
          </w:p>
        </w:tc>
        <w:tc>
          <w:tcPr>
            <w:tcW w:w="155" w:type="dxa"/>
          </w:tcPr>
          <w:p>
            <w:pPr/>
          </w:p>
        </w:tc>
        <w:tc>
          <w:tcPr>
            <w:tcW w:w="900" w:type="dxa"/>
            <w:tcBorders>
              <w:bottom w:val="single" w:sz="4" w:space="0" w:color="231F20"/>
            </w:tcBorders>
          </w:tcPr>
          <w:p>
            <w:pPr>
              <w:pStyle w:val="TableParagraph"/>
              <w:spacing w:line="179" w:lineRule="exact"/>
              <w:ind w:right="57"/>
              <w:rPr>
                <w:sz w:val="18"/>
              </w:rPr>
            </w:pPr>
            <w:r>
              <w:rPr>
                <w:color w:val="231F20"/>
                <w:sz w:val="18"/>
              </w:rPr>
              <w:t>165</w:t>
            </w:r>
          </w:p>
        </w:tc>
        <w:tc>
          <w:tcPr>
            <w:tcW w:w="140" w:type="dxa"/>
          </w:tcPr>
          <w:p>
            <w:pPr/>
          </w:p>
        </w:tc>
        <w:tc>
          <w:tcPr>
            <w:tcW w:w="1015" w:type="dxa"/>
            <w:tcBorders>
              <w:bottom w:val="single" w:sz="4" w:space="0" w:color="231F20"/>
            </w:tcBorders>
          </w:tcPr>
          <w:p>
            <w:pPr>
              <w:pStyle w:val="TableParagraph"/>
              <w:spacing w:line="179" w:lineRule="exact"/>
              <w:ind w:right="57"/>
              <w:rPr>
                <w:sz w:val="18"/>
              </w:rPr>
            </w:pPr>
            <w:r>
              <w:rPr>
                <w:color w:val="231F20"/>
                <w:sz w:val="18"/>
              </w:rPr>
              <w:t>28</w:t>
            </w:r>
          </w:p>
        </w:tc>
        <w:tc>
          <w:tcPr>
            <w:tcW w:w="140" w:type="dxa"/>
          </w:tcPr>
          <w:p>
            <w:pPr/>
          </w:p>
        </w:tc>
        <w:tc>
          <w:tcPr>
            <w:tcW w:w="4585" w:type="dxa"/>
            <w:tcBorders>
              <w:bottom w:val="single" w:sz="4" w:space="0" w:color="231F20"/>
            </w:tcBorders>
          </w:tcPr>
          <w:p>
            <w:pPr>
              <w:pStyle w:val="TableParagraph"/>
              <w:tabs>
                <w:tab w:pos="659" w:val="left" w:leader="none"/>
                <w:tab w:pos="1704" w:val="left" w:leader="none"/>
                <w:tab w:pos="3349" w:val="left" w:leader="none"/>
              </w:tabs>
              <w:spacing w:line="179" w:lineRule="exact"/>
              <w:ind w:right="57"/>
              <w:rPr>
                <w:sz w:val="18"/>
              </w:rPr>
            </w:pPr>
            <w:r>
              <w:rPr>
                <w:color w:val="231F20"/>
                <w:sz w:val="18"/>
              </w:rPr>
              <w:t>—</w:t>
              <w:tab/>
              <w:t>—</w:t>
              <w:tab/>
              <w:t>(72)</w:t>
              <w:tab/>
              <w:t>121</w:t>
            </w:r>
          </w:p>
        </w:tc>
      </w:tr>
      <w:tr>
        <w:trPr>
          <w:trHeight w:val="320" w:hRule="exact"/>
        </w:trPr>
        <w:tc>
          <w:tcPr>
            <w:tcW w:w="2775" w:type="dxa"/>
          </w:tcPr>
          <w:p>
            <w:pPr>
              <w:pStyle w:val="TableParagraph"/>
              <w:spacing w:before="18"/>
              <w:ind w:left="50"/>
              <w:jc w:val="left"/>
              <w:rPr>
                <w:sz w:val="18"/>
              </w:rPr>
            </w:pPr>
            <w:r>
              <w:rPr>
                <w:color w:val="231F20"/>
                <w:sz w:val="18"/>
              </w:rPr>
              <w:t>Balance at December 31, 2013 . . . . . </w:t>
            </w:r>
          </w:p>
        </w:tc>
        <w:tc>
          <w:tcPr>
            <w:tcW w:w="155" w:type="dxa"/>
          </w:tcPr>
          <w:p>
            <w:pPr/>
          </w:p>
        </w:tc>
        <w:tc>
          <w:tcPr>
            <w:tcW w:w="900" w:type="dxa"/>
            <w:tcBorders>
              <w:top w:val="single" w:sz="4" w:space="0" w:color="231F20"/>
              <w:bottom w:val="single" w:sz="4" w:space="0" w:color="231F20"/>
            </w:tcBorders>
          </w:tcPr>
          <w:p>
            <w:pPr>
              <w:pStyle w:val="TableParagraph"/>
              <w:tabs>
                <w:tab w:pos="599" w:val="left" w:leader="none"/>
              </w:tabs>
              <w:spacing w:before="13"/>
              <w:rPr>
                <w:sz w:val="18"/>
              </w:rPr>
            </w:pPr>
            <w:r>
              <w:rPr>
                <w:color w:val="231F20"/>
                <w:sz w:val="18"/>
              </w:rPr>
              <w:t>$</w:t>
              <w:tab/>
            </w:r>
            <w:r>
              <w:rPr>
                <w:color w:val="231F20"/>
                <w:spacing w:val="-1"/>
                <w:sz w:val="18"/>
              </w:rPr>
              <w:t>(20)</w:t>
            </w:r>
          </w:p>
        </w:tc>
        <w:tc>
          <w:tcPr>
            <w:tcW w:w="140" w:type="dxa"/>
          </w:tcPr>
          <w:p>
            <w:pPr/>
          </w:p>
        </w:tc>
        <w:tc>
          <w:tcPr>
            <w:tcW w:w="1015" w:type="dxa"/>
            <w:tcBorders>
              <w:top w:val="single" w:sz="4" w:space="0" w:color="231F20"/>
              <w:bottom w:val="single" w:sz="4" w:space="0" w:color="231F20"/>
            </w:tcBorders>
          </w:tcPr>
          <w:p>
            <w:pPr>
              <w:pStyle w:val="TableParagraph"/>
              <w:tabs>
                <w:tab w:pos="714" w:val="left" w:leader="none"/>
              </w:tabs>
              <w:spacing w:before="13"/>
              <w:jc w:val="left"/>
              <w:rPr>
                <w:sz w:val="18"/>
              </w:rPr>
            </w:pPr>
            <w:r>
              <w:rPr>
                <w:color w:val="231F20"/>
                <w:sz w:val="18"/>
              </w:rPr>
              <w:t>$</w:t>
              <w:tab/>
              <w:t>(58)</w:t>
            </w:r>
          </w:p>
        </w:tc>
        <w:tc>
          <w:tcPr>
            <w:tcW w:w="140" w:type="dxa"/>
          </w:tcPr>
          <w:p>
            <w:pPr/>
          </w:p>
        </w:tc>
        <w:tc>
          <w:tcPr>
            <w:tcW w:w="4585" w:type="dxa"/>
            <w:tcBorders>
              <w:top w:val="single" w:sz="4" w:space="0" w:color="231F20"/>
              <w:bottom w:val="single" w:sz="4" w:space="0" w:color="231F20"/>
            </w:tcBorders>
          </w:tcPr>
          <w:p>
            <w:pPr>
              <w:pStyle w:val="TableParagraph"/>
              <w:tabs>
                <w:tab w:pos="995" w:val="left" w:leader="none"/>
                <w:tab w:pos="1745" w:val="left" w:leader="none"/>
                <w:tab w:pos="2760" w:val="left" w:leader="none"/>
                <w:tab w:pos="4375" w:val="left" w:leader="none"/>
              </w:tabs>
              <w:spacing w:before="13"/>
              <w:rPr>
                <w:sz w:val="18"/>
              </w:rPr>
            </w:pPr>
            <w:r>
              <w:rPr>
                <w:color w:val="231F20"/>
                <w:sz w:val="18"/>
              </w:rPr>
              <w:t>$</w:t>
              <w:tab/>
              <w:t>65   </w:t>
            </w:r>
            <w:r>
              <w:rPr>
                <w:color w:val="231F20"/>
                <w:spacing w:val="20"/>
                <w:sz w:val="18"/>
              </w:rPr>
              <w:t> </w:t>
            </w:r>
            <w:r>
              <w:rPr>
                <w:color w:val="231F20"/>
                <w:sz w:val="18"/>
              </w:rPr>
              <w:t>$</w:t>
              <w:tab/>
              <w:t>8   </w:t>
            </w:r>
            <w:r>
              <w:rPr>
                <w:color w:val="231F20"/>
                <w:spacing w:val="20"/>
                <w:sz w:val="18"/>
              </w:rPr>
              <w:t> </w:t>
            </w:r>
            <w:r>
              <w:rPr>
                <w:color w:val="231F20"/>
                <w:sz w:val="18"/>
              </w:rPr>
              <w:t>$</w:t>
              <w:tab/>
              <w:t>2   </w:t>
            </w:r>
            <w:r>
              <w:rPr>
                <w:color w:val="231F20"/>
                <w:spacing w:val="20"/>
                <w:sz w:val="18"/>
              </w:rPr>
              <w:t> </w:t>
            </w:r>
            <w:r>
              <w:rPr>
                <w:color w:val="231F20"/>
                <w:sz w:val="18"/>
              </w:rPr>
              <w:t>$</w:t>
              <w:tab/>
              <w:t>(3)</w:t>
            </w:r>
          </w:p>
        </w:tc>
      </w:tr>
    </w:tbl>
    <w:p>
      <w:pPr>
        <w:pStyle w:val="BodyText"/>
        <w:spacing w:before="7"/>
        <w:rPr>
          <w:b/>
          <w:sz w:val="15"/>
        </w:rPr>
      </w:pPr>
    </w:p>
    <w:p>
      <w:pPr>
        <w:pStyle w:val="BodyText"/>
        <w:spacing w:line="249" w:lineRule="auto" w:before="89"/>
        <w:ind w:left="160" w:right="178" w:firstLine="490"/>
      </w:pPr>
      <w:r>
        <w:rPr/>
        <w:pict>
          <v:line style="position:absolute;mso-position-horizontal-relative:page;mso-position-vertical-relative:paragraph;z-index:-327616" from="310.75pt,-50.464062pt" to="369.5pt,-50.464062pt" stroked="true" strokeweight=".5pt" strokecolor="#231f20">
            <v:stroke dashstyle="solid"/>
            <w10:wrap type="none"/>
          </v:line>
        </w:pict>
      </w:r>
      <w:r>
        <w:rPr/>
        <w:pict>
          <v:line style="position:absolute;mso-position-horizontal-relative:page;mso-position-vertical-relative:paragraph;z-index:-327592" from="379.5pt,-50.464062pt" to="402.5pt,-50.464062pt" stroked="true" strokeweight=".5pt" strokecolor="#231f20">
            <v:stroke dashstyle="solid"/>
            <w10:wrap type="none"/>
          </v:line>
        </w:pict>
      </w:r>
      <w:r>
        <w:rPr/>
        <w:pict>
          <v:line style="position:absolute;mso-position-horizontal-relative:page;mso-position-vertical-relative:paragraph;z-index:-327568" from="412.5pt,-50.464062pt" to="453.25pt,-50.464062pt" stroked="true" strokeweight=".5pt" strokecolor="#231f20">
            <v:stroke dashstyle="solid"/>
            <w10:wrap type="none"/>
          </v:line>
        </w:pict>
      </w:r>
      <w:r>
        <w:rPr/>
        <w:pict>
          <v:line style="position:absolute;mso-position-horizontal-relative:page;mso-position-vertical-relative:paragraph;z-index:-327544" from="310.75pt,-26.464062pt" to="369.5pt,-26.464062pt" stroked="true" strokeweight=".5pt" strokecolor="#231f20">
            <v:stroke dashstyle="solid"/>
            <w10:wrap type="none"/>
          </v:line>
        </w:pict>
      </w:r>
      <w:r>
        <w:rPr/>
        <w:pict>
          <v:line style="position:absolute;mso-position-horizontal-relative:page;mso-position-vertical-relative:paragraph;z-index:-327520" from="379.5pt,-26.464062pt" to="402.5pt,-26.464062pt" stroked="true" strokeweight=".5pt" strokecolor="#231f20">
            <v:stroke dashstyle="solid"/>
            <w10:wrap type="none"/>
          </v:line>
        </w:pict>
      </w:r>
      <w:r>
        <w:rPr/>
        <w:pict>
          <v:line style="position:absolute;mso-position-horizontal-relative:page;mso-position-vertical-relative:paragraph;z-index:-327496" from="412.5pt,-26.464062pt" to="453.25pt,-26.464062pt" stroked="true" strokeweight=".5pt" strokecolor="#231f20">
            <v:stroke dashstyle="solid"/>
            <w10:wrap type="none"/>
          </v:line>
        </w:pict>
      </w:r>
      <w:r>
        <w:rPr/>
        <w:pict>
          <v:line style="position:absolute;mso-position-horizontal-relative:page;mso-position-vertical-relative:paragraph;z-index:-327472" from="201pt,-12.464063pt" to="243pt,-12.464063pt" stroked="true" strokeweight=".5pt" strokecolor="#231f20">
            <v:stroke dashstyle="solid"/>
            <w10:wrap type="none"/>
          </v:line>
        </w:pict>
      </w:r>
      <w:r>
        <w:rPr/>
        <w:pict>
          <v:line style="position:absolute;mso-position-horizontal-relative:page;mso-position-vertical-relative:paragraph;z-index:-327448" from="253pt,-12.464063pt" to="300.75pt,-12.464063pt" stroked="true" strokeweight=".5pt" strokecolor="#231f20">
            <v:stroke dashstyle="solid"/>
            <w10:wrap type="none"/>
          </v:line>
        </w:pict>
      </w:r>
      <w:r>
        <w:rPr/>
        <w:pict>
          <v:group style="position:absolute;margin-left:310.5pt;margin-top:-12.714063pt;width:59.25pt;height:2.5pt;mso-position-horizontal-relative:page;mso-position-vertical-relative:paragraph;z-index:-327424" coordorigin="6210,-254" coordsize="1185,50">
            <v:line style="position:absolute" from="6215,-249" to="7390,-249" stroked="true" strokeweight=".5pt" strokecolor="#231f20">
              <v:stroke dashstyle="solid"/>
            </v:line>
            <v:line style="position:absolute" from="6215,-209" to="7390,-209" stroked="true" strokeweight=".5pt" strokecolor="#231f20">
              <v:stroke dashstyle="solid"/>
            </v:line>
            <w10:wrap type="none"/>
          </v:group>
        </w:pict>
      </w:r>
      <w:r>
        <w:rPr/>
        <w:pict>
          <v:group style="position:absolute;margin-left:379.25pt;margin-top:-12.714063pt;width:23.5pt;height:2.5pt;mso-position-horizontal-relative:page;mso-position-vertical-relative:paragraph;z-index:-327400" coordorigin="7585,-254" coordsize="470,50">
            <v:line style="position:absolute" from="7590,-249" to="8050,-249" stroked="true" strokeweight=".5pt" strokecolor="#231f20">
              <v:stroke dashstyle="solid"/>
            </v:line>
            <v:line style="position:absolute" from="7590,-209" to="8050,-209" stroked="true" strokeweight=".5pt" strokecolor="#231f20">
              <v:stroke dashstyle="solid"/>
            </v:line>
            <w10:wrap type="none"/>
          </v:group>
        </w:pict>
      </w:r>
      <w:r>
        <w:rPr/>
        <w:pict>
          <v:group style="position:absolute;margin-left:412.25pt;margin-top:-12.714063pt;width:41.25pt;height:2.5pt;mso-position-horizontal-relative:page;mso-position-vertical-relative:paragraph;z-index:-327376" coordorigin="8245,-254" coordsize="825,50">
            <v:line style="position:absolute" from="8250,-249" to="9065,-249" stroked="true" strokeweight=".5pt" strokecolor="#231f20">
              <v:stroke dashstyle="solid"/>
            </v:line>
            <v:line style="position:absolute" from="8250,-209" to="9065,-209" stroked="true" strokeweight=".5pt" strokecolor="#231f20">
              <v:stroke dashstyle="solid"/>
            </v:line>
            <w10:wrap type="none"/>
          </v:group>
        </w:pict>
      </w:r>
      <w:r>
        <w:rPr/>
        <w:pict>
          <v:line style="position:absolute;mso-position-horizontal-relative:page;mso-position-vertical-relative:paragraph;z-index:-327352" from="463.25pt,-12.464063pt" to="537pt,-12.464063pt" stroked="true" strokeweight=".5pt" strokecolor="#231f20">
            <v:stroke dashstyle="solid"/>
            <w10:wrap type="none"/>
          </v:line>
        </w:pict>
      </w:r>
      <w:r>
        <w:rPr>
          <w:color w:val="231F20"/>
        </w:rPr>
        <w:t>The following table illustrates the significant amounts reclassified out of each component of AOCI for the year ended December 31, 2013:</w:t>
      </w:r>
    </w:p>
    <w:p>
      <w:pPr>
        <w:pStyle w:val="BodyText"/>
        <w:spacing w:before="5"/>
        <w:rPr>
          <w:sz w:val="9"/>
        </w:rPr>
      </w:pPr>
    </w:p>
    <w:p>
      <w:pPr>
        <w:spacing w:after="0"/>
        <w:rPr>
          <w:sz w:val="9"/>
        </w:rPr>
        <w:sectPr>
          <w:type w:val="continuous"/>
          <w:pgSz w:w="11880" w:h="15480"/>
          <w:pgMar w:top="1200" w:bottom="280" w:left="980" w:right="980"/>
        </w:sectPr>
      </w:pPr>
    </w:p>
    <w:p>
      <w:pPr>
        <w:pStyle w:val="BodyText"/>
        <w:rPr>
          <w:sz w:val="22"/>
        </w:rPr>
      </w:pPr>
    </w:p>
    <w:p>
      <w:pPr>
        <w:pStyle w:val="BodyText"/>
        <w:rPr>
          <w:sz w:val="30"/>
        </w:rPr>
      </w:pPr>
    </w:p>
    <w:p>
      <w:pPr>
        <w:pStyle w:val="Heading3"/>
        <w:spacing w:line="200" w:lineRule="exact"/>
        <w:ind w:left="160" w:right="1135"/>
      </w:pPr>
      <w:r>
        <w:rPr>
          <w:color w:val="231F20"/>
        </w:rPr>
        <w:t>(in  millions) AOCI components</w:t>
      </w:r>
    </w:p>
    <w:p>
      <w:pPr>
        <w:pStyle w:val="BodyText"/>
        <w:spacing w:line="20" w:lineRule="exact"/>
        <w:ind w:left="150"/>
        <w:rPr>
          <w:sz w:val="2"/>
        </w:rPr>
      </w:pPr>
      <w:r>
        <w:rPr>
          <w:sz w:val="2"/>
        </w:rPr>
        <w:pict>
          <v:group style="width:80.75pt;height:1pt;mso-position-horizontal-relative:char;mso-position-vertical-relative:line" coordorigin="0,0" coordsize="1615,20">
            <v:line style="position:absolute" from="10,10" to="1605,10" stroked="true" strokeweight="1pt" strokecolor="#231f20">
              <v:stroke dashstyle="solid"/>
            </v:line>
          </v:group>
        </w:pict>
      </w:r>
      <w:r>
        <w:rPr>
          <w:sz w:val="2"/>
        </w:rPr>
      </w:r>
    </w:p>
    <w:p>
      <w:pPr>
        <w:pStyle w:val="BodyText"/>
        <w:spacing w:before="72"/>
        <w:ind w:left="160"/>
      </w:pPr>
      <w:r>
        <w:rPr>
          <w:color w:val="231F20"/>
        </w:rPr>
        <w:t>Unrealized gain on fuel derivative</w:t>
      </w:r>
    </w:p>
    <w:p>
      <w:pPr>
        <w:pStyle w:val="Heading3"/>
        <w:spacing w:before="92"/>
        <w:ind w:left="160"/>
      </w:pPr>
      <w:r>
        <w:rPr>
          <w:b w:val="0"/>
        </w:rPr>
        <w:br w:type="column"/>
      </w:r>
      <w:r>
        <w:rPr>
          <w:color w:val="231F20"/>
        </w:rPr>
        <w:t>Year ended December 31, 2013</w:t>
      </w:r>
    </w:p>
    <w:p>
      <w:pPr>
        <w:pStyle w:val="BodyText"/>
        <w:rPr>
          <w:b/>
          <w:sz w:val="24"/>
        </w:rPr>
      </w:pPr>
    </w:p>
    <w:p>
      <w:pPr>
        <w:spacing w:line="200" w:lineRule="exact" w:before="1"/>
        <w:ind w:left="1087" w:right="315" w:hanging="395"/>
        <w:jc w:val="left"/>
        <w:rPr>
          <w:b/>
          <w:sz w:val="20"/>
        </w:rPr>
      </w:pPr>
      <w:r>
        <w:rPr/>
        <w:pict>
          <v:line style="position:absolute;mso-position-horizontal-relative:page;mso-position-vertical-relative:paragraph;z-index:9520" from="57pt,-12.45pt" to="537pt,-12.45pt" stroked="true" strokeweight="1pt" strokecolor="#231f20">
            <v:stroke dashstyle="solid"/>
            <w10:wrap type="none"/>
          </v:line>
        </w:pict>
      </w:r>
      <w:r>
        <w:rPr/>
        <w:pict>
          <v:line style="position:absolute;mso-position-horizontal-relative:page;mso-position-vertical-relative:paragraph;z-index:9544" from="356.649994pt,21.549999pt" to="536.999994pt,21.549999pt" stroked="true" strokeweight="1pt" strokecolor="#231f20">
            <v:stroke dashstyle="solid"/>
            <w10:wrap type="none"/>
          </v:line>
        </w:pict>
      </w:r>
      <w:r>
        <w:rPr>
          <w:b/>
          <w:color w:val="231F20"/>
          <w:sz w:val="20"/>
        </w:rPr>
        <w:t>Amounts reclassified from AOCI</w:t>
      </w:r>
    </w:p>
    <w:p>
      <w:pPr>
        <w:pStyle w:val="BodyText"/>
        <w:spacing w:line="20" w:lineRule="exact"/>
        <w:ind w:left="682"/>
        <w:rPr>
          <w:sz w:val="2"/>
        </w:rPr>
      </w:pPr>
      <w:r>
        <w:rPr>
          <w:sz w:val="2"/>
        </w:rPr>
        <w:pict>
          <v:group style="width:90.3pt;height:1pt;mso-position-horizontal-relative:char;mso-position-vertical-relative:line" coordorigin="0,0" coordsize="1806,20">
            <v:line style="position:absolute" from="10,10" to="1796,10" stroked="true" strokeweight="1pt" strokecolor="#231f20">
              <v:stroke dashstyle="solid"/>
            </v:line>
          </v:group>
        </w:pict>
      </w:r>
      <w:r>
        <w:rPr>
          <w:sz w:val="2"/>
        </w:rPr>
      </w:r>
    </w:p>
    <w:p>
      <w:pPr>
        <w:pStyle w:val="BodyText"/>
        <w:rPr>
          <w:b/>
          <w:sz w:val="22"/>
        </w:rPr>
      </w:pPr>
      <w:r>
        <w:rPr/>
        <w:br w:type="column"/>
      </w:r>
      <w:r>
        <w:rPr>
          <w:b/>
          <w:sz w:val="22"/>
        </w:rPr>
      </w:r>
    </w:p>
    <w:p>
      <w:pPr>
        <w:spacing w:line="200" w:lineRule="exact" w:before="145"/>
        <w:ind w:left="159" w:right="833" w:firstLine="0"/>
        <w:jc w:val="center"/>
        <w:rPr>
          <w:b/>
          <w:sz w:val="20"/>
        </w:rPr>
      </w:pPr>
      <w:r>
        <w:rPr>
          <w:b/>
          <w:color w:val="231F20"/>
          <w:sz w:val="20"/>
        </w:rPr>
        <w:t>Affected line item in the Consolidated Statement of Comprehensive Income</w:t>
      </w:r>
    </w:p>
    <w:p>
      <w:pPr>
        <w:spacing w:after="0" w:line="200" w:lineRule="exact"/>
        <w:jc w:val="center"/>
        <w:rPr>
          <w:sz w:val="20"/>
        </w:rPr>
        <w:sectPr>
          <w:type w:val="continuous"/>
          <w:pgSz w:w="11880" w:h="15480"/>
          <w:pgMar w:top="1200" w:bottom="280" w:left="980" w:right="980"/>
          <w:cols w:num="3" w:equalWidth="0">
            <w:col w:w="2896" w:space="579"/>
            <w:col w:w="2811" w:space="381"/>
            <w:col w:w="3253"/>
          </w:cols>
        </w:sectPr>
      </w:pPr>
    </w:p>
    <w:p>
      <w:pPr>
        <w:pStyle w:val="BodyText"/>
        <w:tabs>
          <w:tab w:pos="5652" w:val="left" w:leader="none"/>
        </w:tabs>
        <w:spacing w:before="9"/>
        <w:ind w:left="360"/>
      </w:pPr>
      <w:r>
        <w:rPr>
          <w:color w:val="231F20"/>
        </w:rPr>
        <w:t>instruments  . . . . . . . . . . . . . . . . . . . . . . . . .</w:t>
      </w:r>
      <w:r>
        <w:rPr>
          <w:color w:val="231F20"/>
          <w:spacing w:val="23"/>
        </w:rPr>
        <w:t> </w:t>
      </w:r>
      <w:r>
        <w:rPr>
          <w:color w:val="231F20"/>
        </w:rPr>
        <w:t>.    $</w:t>
        <w:tab/>
        <w:t>165    Fuel and oil expense</w:t>
      </w:r>
    </w:p>
    <w:p>
      <w:pPr>
        <w:pStyle w:val="BodyText"/>
        <w:spacing w:before="9"/>
        <w:ind w:left="5753"/>
      </w:pPr>
      <w:r>
        <w:rPr/>
        <w:pict>
          <v:line style="position:absolute;mso-position-horizontal-relative:page;mso-position-vertical-relative:paragraph;z-index:8968;mso-wrap-distance-left:0;mso-wrap-distance-right:0" from="257.350006pt,13.535937pt" to="346.650006pt,13.535937pt" stroked="true" strokeweight=".5pt" strokecolor="#231f20">
            <v:stroke dashstyle="solid"/>
            <w10:wrap type="topAndBottom"/>
          </v:line>
        </w:pict>
      </w:r>
      <w:r>
        <w:rPr>
          <w:color w:val="231F20"/>
        </w:rPr>
        <w:t>62    Less: Tax Expense</w:t>
      </w:r>
    </w:p>
    <w:p>
      <w:pPr>
        <w:pStyle w:val="BodyText"/>
        <w:tabs>
          <w:tab w:pos="5652" w:val="left" w:leader="none"/>
        </w:tabs>
        <w:spacing w:before="24" w:after="26"/>
        <w:ind w:left="4167"/>
      </w:pPr>
      <w:r>
        <w:rPr>
          <w:color w:val="231F20"/>
        </w:rPr>
        <w:t>$</w:t>
        <w:tab/>
        <w:t>103    Net of tax</w:t>
      </w:r>
    </w:p>
    <w:p>
      <w:pPr>
        <w:pStyle w:val="BodyText"/>
        <w:spacing w:line="20" w:lineRule="exact"/>
        <w:ind w:left="4162"/>
        <w:rPr>
          <w:sz w:val="2"/>
        </w:rPr>
      </w:pPr>
      <w:r>
        <w:rPr>
          <w:sz w:val="2"/>
        </w:rPr>
        <w:pict>
          <v:group style="width:89.8pt;height:.5pt;mso-position-horizontal-relative:char;mso-position-vertical-relative:line" coordorigin="0,0" coordsize="1796,10">
            <v:line style="position:absolute" from="5,5" to="1791,5" stroked="true" strokeweight=".5pt" strokecolor="#231f20">
              <v:stroke dashstyle="solid"/>
            </v:line>
          </v:group>
        </w:pict>
      </w:r>
      <w:r>
        <w:rPr>
          <w:sz w:val="2"/>
        </w:rPr>
      </w:r>
    </w:p>
    <w:p>
      <w:pPr>
        <w:pStyle w:val="BodyText"/>
        <w:spacing w:before="43"/>
        <w:ind w:left="160"/>
      </w:pPr>
      <w:r>
        <w:rPr>
          <w:color w:val="231F20"/>
        </w:rPr>
        <w:t>Unrealized gain on interest rate derivative</w:t>
      </w:r>
    </w:p>
    <w:p>
      <w:pPr>
        <w:pStyle w:val="BodyText"/>
        <w:tabs>
          <w:tab w:pos="5752" w:val="left" w:leader="none"/>
        </w:tabs>
        <w:spacing w:before="9"/>
        <w:ind w:left="360"/>
      </w:pPr>
      <w:r>
        <w:rPr>
          <w:color w:val="231F20"/>
        </w:rPr>
        <w:t>instruments  . . . . . . . . . . . . . . . . . . . . . . . . .</w:t>
      </w:r>
      <w:r>
        <w:rPr>
          <w:color w:val="231F20"/>
          <w:spacing w:val="23"/>
        </w:rPr>
        <w:t> </w:t>
      </w:r>
      <w:r>
        <w:rPr>
          <w:color w:val="231F20"/>
        </w:rPr>
        <w:t>.    $</w:t>
        <w:tab/>
        <w:t>28    Interest</w:t>
      </w:r>
      <w:r>
        <w:rPr>
          <w:color w:val="231F20"/>
          <w:spacing w:val="2"/>
        </w:rPr>
        <w:t> </w:t>
      </w:r>
      <w:r>
        <w:rPr>
          <w:color w:val="231F20"/>
        </w:rPr>
        <w:t>expense</w:t>
      </w:r>
    </w:p>
    <w:p>
      <w:pPr>
        <w:pStyle w:val="BodyText"/>
        <w:spacing w:before="9"/>
        <w:ind w:left="5753"/>
      </w:pPr>
      <w:r>
        <w:rPr/>
        <w:pict>
          <v:line style="position:absolute;mso-position-horizontal-relative:page;mso-position-vertical-relative:paragraph;z-index:9016;mso-wrap-distance-left:0;mso-wrap-distance-right:0" from="257.350006pt,13.535937pt" to="346.650006pt,13.535937pt" stroked="true" strokeweight=".5pt" strokecolor="#231f20">
            <v:stroke dashstyle="solid"/>
            <w10:wrap type="topAndBottom"/>
          </v:line>
        </w:pict>
      </w:r>
      <w:r>
        <w:rPr>
          <w:color w:val="231F20"/>
        </w:rPr>
        <w:t>10    Less: Tax Expense</w:t>
      </w:r>
    </w:p>
    <w:p>
      <w:pPr>
        <w:pStyle w:val="BodyText"/>
        <w:tabs>
          <w:tab w:pos="5752" w:val="left" w:leader="none"/>
        </w:tabs>
        <w:spacing w:before="24" w:after="26"/>
        <w:ind w:left="4167"/>
      </w:pPr>
      <w:r>
        <w:rPr>
          <w:color w:val="231F20"/>
        </w:rPr>
        <w:t>$</w:t>
        <w:tab/>
        <w:t>18    Net of tax</w:t>
      </w:r>
    </w:p>
    <w:p>
      <w:pPr>
        <w:pStyle w:val="BodyText"/>
        <w:spacing w:line="20" w:lineRule="exact"/>
        <w:ind w:left="4162"/>
        <w:rPr>
          <w:sz w:val="2"/>
        </w:rPr>
      </w:pPr>
      <w:r>
        <w:rPr>
          <w:sz w:val="2"/>
        </w:rPr>
        <w:pict>
          <v:group style="width:89.8pt;height:.5pt;mso-position-horizontal-relative:char;mso-position-vertical-relative:line" coordorigin="0,0" coordsize="1796,10">
            <v:line style="position:absolute" from="5,5" to="1791,5" stroked="true" strokeweight=".5pt" strokecolor="#231f20">
              <v:stroke dashstyle="solid"/>
            </v:line>
          </v:group>
        </w:pict>
      </w:r>
      <w:r>
        <w:rPr>
          <w:sz w:val="2"/>
        </w:rPr>
      </w:r>
    </w:p>
    <w:p>
      <w:pPr>
        <w:pStyle w:val="BodyText"/>
        <w:tabs>
          <w:tab w:pos="5652" w:val="left" w:leader="none"/>
        </w:tabs>
        <w:spacing w:before="43"/>
        <w:ind w:left="160"/>
      </w:pPr>
      <w:r>
        <w:rPr/>
        <w:pict>
          <v:group style="position:absolute;margin-left:257.100006pt;margin-top:14.985937pt;width:89.8pt;height:2.5pt;mso-position-horizontal-relative:page;mso-position-vertical-relative:paragraph;z-index:9064;mso-wrap-distance-left:0;mso-wrap-distance-right:0" coordorigin="5142,300" coordsize="1796,50">
            <v:line style="position:absolute" from="5147,305" to="6933,305" stroked="true" strokeweight=".5pt" strokecolor="#231f20">
              <v:stroke dashstyle="solid"/>
            </v:line>
            <v:line style="position:absolute" from="5147,345" to="6933,345" stroked="true" strokeweight=".5pt" strokecolor="#231f20">
              <v:stroke dashstyle="solid"/>
            </v:line>
            <w10:wrap type="topAndBottom"/>
          </v:group>
        </w:pict>
      </w:r>
      <w:r>
        <w:rPr>
          <w:color w:val="231F20"/>
        </w:rPr>
        <w:t>Total reclassifications for the period . . . . . . . .</w:t>
      </w:r>
      <w:r>
        <w:rPr>
          <w:color w:val="231F20"/>
          <w:spacing w:val="5"/>
        </w:rPr>
        <w:t> </w:t>
      </w:r>
      <w:r>
        <w:rPr>
          <w:color w:val="231F20"/>
        </w:rPr>
        <w:t>.    $</w:t>
        <w:tab/>
        <w:t>121    Net of tax</w:t>
      </w:r>
    </w:p>
    <w:p>
      <w:pPr>
        <w:pStyle w:val="BodyText"/>
        <w:spacing w:before="5"/>
        <w:rPr>
          <w:sz w:val="25"/>
        </w:rPr>
      </w:pPr>
    </w:p>
    <w:p>
      <w:pPr>
        <w:pStyle w:val="Heading3"/>
        <w:numPr>
          <w:ilvl w:val="0"/>
          <w:numId w:val="13"/>
        </w:numPr>
        <w:tabs>
          <w:tab w:pos="460" w:val="left" w:leader="none"/>
        </w:tabs>
        <w:spacing w:line="240" w:lineRule="auto" w:before="92" w:after="0"/>
        <w:ind w:left="460" w:right="0" w:hanging="300"/>
        <w:jc w:val="left"/>
      </w:pPr>
      <w:r>
        <w:rPr>
          <w:color w:val="231F20"/>
        </w:rPr>
        <w:t>COMMON STOCK</w:t>
      </w:r>
    </w:p>
    <w:p>
      <w:pPr>
        <w:pStyle w:val="BodyText"/>
        <w:spacing w:line="249" w:lineRule="auto" w:before="130"/>
        <w:ind w:left="160" w:right="178" w:firstLine="490"/>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2013, the Company had 29 million shares of common stock reserved for issuance pursuant to Employee stock plans (of which 22 million shares had not been granted) through various share-based compensation arrangements. See Note</w:t>
      </w:r>
      <w:r>
        <w:rPr>
          <w:color w:val="231F20"/>
          <w:spacing w:val="7"/>
        </w:rPr>
        <w:t> </w:t>
      </w:r>
      <w:r>
        <w:rPr>
          <w:color w:val="231F20"/>
        </w:rPr>
        <w:t>14.</w:t>
      </w:r>
    </w:p>
    <w:p>
      <w:pPr>
        <w:pStyle w:val="BodyText"/>
        <w:spacing w:before="4"/>
        <w:rPr>
          <w:sz w:val="31"/>
        </w:rPr>
      </w:pPr>
    </w:p>
    <w:p>
      <w:pPr>
        <w:pStyle w:val="Heading3"/>
        <w:numPr>
          <w:ilvl w:val="0"/>
          <w:numId w:val="13"/>
        </w:numPr>
        <w:tabs>
          <w:tab w:pos="460" w:val="left" w:leader="none"/>
        </w:tabs>
        <w:spacing w:line="240" w:lineRule="auto" w:before="0" w:after="0"/>
        <w:ind w:left="460" w:right="0" w:hanging="300"/>
        <w:jc w:val="left"/>
      </w:pPr>
      <w:r>
        <w:rPr>
          <w:color w:val="231F20"/>
        </w:rPr>
        <w:t>STOCK</w:t>
      </w:r>
      <w:r>
        <w:rPr>
          <w:color w:val="231F20"/>
          <w:spacing w:val="-1"/>
        </w:rPr>
        <w:t> </w:t>
      </w:r>
      <w:r>
        <w:rPr>
          <w:color w:val="231F20"/>
        </w:rPr>
        <w:t>PLANS</w:t>
      </w:r>
    </w:p>
    <w:p>
      <w:pPr>
        <w:pStyle w:val="Heading4"/>
        <w:spacing w:before="129"/>
        <w:ind w:left="410"/>
        <w:rPr>
          <w:i/>
        </w:rPr>
      </w:pPr>
      <w:r>
        <w:rPr>
          <w:i/>
          <w:color w:val="231F20"/>
        </w:rPr>
        <w:t>Share-based compensation</w:t>
      </w:r>
    </w:p>
    <w:p>
      <w:pPr>
        <w:pStyle w:val="BodyText"/>
        <w:spacing w:line="249" w:lineRule="auto" w:before="129"/>
        <w:ind w:left="160" w:right="159" w:firstLine="490"/>
      </w:pPr>
      <w:r>
        <w:rPr>
          <w:color w:val="231F20"/>
        </w:rPr>
        <w:t>The Company has previously awarded share-based compensation pursuant to plans covering the majority of its Employee groups, including plans adopted via collective bargaining, plans covering the Company’s Board of Directors, and options granted pursuant to a prior employment contract with the Chairman Emeritus of the Company. The Company accounts for share-based compensation utilizing fair value.</w:t>
      </w:r>
    </w:p>
    <w:p>
      <w:pPr>
        <w:spacing w:after="0" w:line="249" w:lineRule="auto"/>
        <w:sectPr>
          <w:type w:val="continuous"/>
          <w:pgSz w:w="11880" w:h="15480"/>
          <w:pgMar w:top="1200" w:bottom="280" w:left="980" w:right="980"/>
        </w:sectPr>
      </w:pPr>
    </w:p>
    <w:p>
      <w:pPr>
        <w:pStyle w:val="BodyText"/>
        <w:spacing w:line="249" w:lineRule="auto" w:before="73"/>
        <w:ind w:left="160" w:right="187" w:firstLine="490"/>
      </w:pPr>
      <w:r>
        <w:rPr>
          <w:color w:val="231F20"/>
        </w:rPr>
        <w:t>The Consolidated Statement of Income for the years ended December 31, 2013, 2012, and 2011, reflects share-based compensation expense of $18 million, $16 million, and $13 million, respectively. The total tax benefit recognized in earnings from share-based compensation arrangements for the years ended December 31, 2013, 2012, and 2011, was not material. As of December 31, 2013, there was $22 million of total unrecognized compensation cost related to share-based compensation arrangements, which is expected to be recognized over a weighted-average period of 1.1 years.</w:t>
      </w:r>
    </w:p>
    <w:p>
      <w:pPr>
        <w:pStyle w:val="BodyText"/>
        <w:spacing w:before="3"/>
        <w:rPr>
          <w:sz w:val="32"/>
        </w:rPr>
      </w:pPr>
    </w:p>
    <w:p>
      <w:pPr>
        <w:pStyle w:val="Heading4"/>
        <w:spacing w:before="1"/>
        <w:ind w:left="410"/>
        <w:rPr>
          <w:i/>
        </w:rPr>
      </w:pPr>
      <w:r>
        <w:rPr>
          <w:i/>
          <w:color w:val="231F20"/>
        </w:rPr>
        <w:t>Restricted stock units and stock grants</w:t>
      </w:r>
    </w:p>
    <w:p>
      <w:pPr>
        <w:pStyle w:val="BodyText"/>
        <w:spacing w:line="249" w:lineRule="auto" w:before="133"/>
        <w:ind w:left="160" w:right="100" w:firstLine="490"/>
      </w:pPr>
      <w:r>
        <w:rPr>
          <w:color w:val="231F20"/>
        </w:rPr>
        <w:t>Under the Company’s Amended and Restated 2007 Equity Incentive Plan (“2007 Equity Plan”), it granted restricted stock units (“RSUs”) to certain Employees during 2011, 2012, and 2013. In addition, the Company granted approximately 63 thousand shares of unrestricted stock at a weighted average grant price of $14.34 in 2013, approximately 82 thousand shares at a weighted average grant price of $8.21 in 2012, and approximately 33 thousand shares at a weighted average grant price of $12.26 in 2011 to members of its Board of Directors. The fair value of RSUs and unrestricted stock grants is based on the closing price of the Company’s common stock on the date of grant. Outstanding RSUs vest over three years, subject to the individual’s continued employment or service. The Company recognizes expense on a straight-line basis over the vesting period. A remaining balance of up to 10 million shares of the Company’s common stock may be issued pursuant to grants under the 2007 Equity Plan. Aggregated information regarding the Company’s RSUs is summarized</w:t>
      </w:r>
      <w:r>
        <w:rPr>
          <w:color w:val="231F20"/>
          <w:spacing w:val="5"/>
        </w:rPr>
        <w:t> </w:t>
      </w:r>
      <w:r>
        <w:rPr>
          <w:color w:val="231F20"/>
        </w:rPr>
        <w:t>below:</w:t>
      </w:r>
    </w:p>
    <w:p>
      <w:pPr>
        <w:pStyle w:val="BodyText"/>
        <w:spacing w:before="5"/>
        <w:rPr>
          <w:sz w:val="21"/>
        </w:rPr>
      </w:pPr>
    </w:p>
    <w:p>
      <w:pPr>
        <w:spacing w:before="0" w:after="31"/>
        <w:ind w:left="5842" w:right="0" w:firstLine="0"/>
        <w:jc w:val="left"/>
        <w:rPr>
          <w:b/>
          <w:sz w:val="18"/>
        </w:rPr>
      </w:pPr>
      <w:r>
        <w:rPr>
          <w:b/>
          <w:color w:val="231F20"/>
          <w:sz w:val="18"/>
        </w:rPr>
        <w:t>RESTRICTED STOCK UNITS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5"/>
        <w:gridCol w:w="1265"/>
        <w:gridCol w:w="140"/>
        <w:gridCol w:w="1480"/>
      </w:tblGrid>
      <w:tr>
        <w:trPr>
          <w:trHeight w:val="520" w:hRule="exact"/>
        </w:trPr>
        <w:tc>
          <w:tcPr>
            <w:tcW w:w="5535" w:type="dxa"/>
          </w:tcPr>
          <w:p>
            <w:pPr/>
          </w:p>
        </w:tc>
        <w:tc>
          <w:tcPr>
            <w:tcW w:w="1265" w:type="dxa"/>
            <w:tcBorders>
              <w:top w:val="single" w:sz="8" w:space="0" w:color="231F20"/>
              <w:bottom w:val="single" w:sz="8" w:space="0" w:color="231F20"/>
            </w:tcBorders>
          </w:tcPr>
          <w:p>
            <w:pPr>
              <w:pStyle w:val="TableParagraph"/>
              <w:spacing w:before="7"/>
              <w:jc w:val="left"/>
              <w:rPr>
                <w:b/>
                <w:sz w:val="23"/>
              </w:rPr>
            </w:pPr>
          </w:p>
          <w:p>
            <w:pPr>
              <w:pStyle w:val="TableParagraph"/>
              <w:ind w:left="180"/>
              <w:jc w:val="left"/>
              <w:rPr>
                <w:b/>
                <w:sz w:val="18"/>
              </w:rPr>
            </w:pPr>
            <w:r>
              <w:rPr>
                <w:b/>
                <w:color w:val="231F20"/>
                <w:sz w:val="18"/>
              </w:rPr>
              <w:t>Units (000)</w:t>
            </w:r>
          </w:p>
        </w:tc>
        <w:tc>
          <w:tcPr>
            <w:tcW w:w="140" w:type="dxa"/>
            <w:tcBorders>
              <w:top w:val="single" w:sz="8" w:space="0" w:color="231F20"/>
            </w:tcBorders>
          </w:tcPr>
          <w:p>
            <w:pPr/>
          </w:p>
        </w:tc>
        <w:tc>
          <w:tcPr>
            <w:tcW w:w="1480" w:type="dxa"/>
            <w:tcBorders>
              <w:top w:val="single" w:sz="8" w:space="0" w:color="231F20"/>
              <w:bottom w:val="single" w:sz="8" w:space="0" w:color="231F20"/>
            </w:tcBorders>
          </w:tcPr>
          <w:p>
            <w:pPr>
              <w:pStyle w:val="TableParagraph"/>
              <w:spacing w:line="254" w:lineRule="auto" w:before="52"/>
              <w:ind w:left="302" w:right="211" w:hanging="123"/>
              <w:jc w:val="left"/>
              <w:rPr>
                <w:b/>
                <w:sz w:val="18"/>
              </w:rPr>
            </w:pPr>
            <w:r>
              <w:rPr>
                <w:b/>
                <w:color w:val="231F20"/>
                <w:sz w:val="18"/>
              </w:rPr>
              <w:t>Wtd. Average Fair Value</w:t>
            </w:r>
          </w:p>
        </w:tc>
      </w:tr>
      <w:tr>
        <w:trPr>
          <w:trHeight w:val="280" w:hRule="exact"/>
        </w:trPr>
        <w:tc>
          <w:tcPr>
            <w:tcW w:w="5535" w:type="dxa"/>
          </w:tcPr>
          <w:p>
            <w:pPr>
              <w:pStyle w:val="TableParagraph"/>
              <w:spacing w:before="62"/>
              <w:ind w:left="50"/>
              <w:jc w:val="left"/>
              <w:rPr>
                <w:sz w:val="18"/>
              </w:rPr>
            </w:pPr>
            <w:r>
              <w:rPr>
                <w:color w:val="231F20"/>
                <w:sz w:val="18"/>
              </w:rPr>
              <w:t>Outstanding December 31, 2010  . . . . . . . . . . . . . . . . . . . . . . . . . . . . . . . . </w:t>
            </w:r>
          </w:p>
        </w:tc>
        <w:tc>
          <w:tcPr>
            <w:tcW w:w="1265" w:type="dxa"/>
            <w:tcBorders>
              <w:top w:val="single" w:sz="8" w:space="0" w:color="231F20"/>
            </w:tcBorders>
          </w:tcPr>
          <w:p>
            <w:pPr>
              <w:pStyle w:val="TableParagraph"/>
              <w:spacing w:before="52"/>
              <w:ind w:right="58"/>
              <w:rPr>
                <w:sz w:val="18"/>
              </w:rPr>
            </w:pPr>
            <w:r>
              <w:rPr>
                <w:color w:val="231F20"/>
                <w:sz w:val="18"/>
              </w:rPr>
              <w:t>990</w:t>
            </w:r>
          </w:p>
        </w:tc>
        <w:tc>
          <w:tcPr>
            <w:tcW w:w="140" w:type="dxa"/>
          </w:tcPr>
          <w:p>
            <w:pPr/>
          </w:p>
        </w:tc>
        <w:tc>
          <w:tcPr>
            <w:tcW w:w="1480" w:type="dxa"/>
            <w:tcBorders>
              <w:top w:val="single" w:sz="8" w:space="0" w:color="231F20"/>
            </w:tcBorders>
          </w:tcPr>
          <w:p>
            <w:pPr>
              <w:pStyle w:val="TableParagraph"/>
              <w:tabs>
                <w:tab w:pos="1025" w:val="left" w:leader="none"/>
              </w:tabs>
              <w:spacing w:before="52"/>
              <w:ind w:right="48"/>
              <w:rPr>
                <w:sz w:val="18"/>
              </w:rPr>
            </w:pPr>
            <w:r>
              <w:rPr>
                <w:color w:val="231F20"/>
                <w:sz w:val="18"/>
              </w:rPr>
              <w:t>$</w:t>
              <w:tab/>
              <w:t>12.28</w:t>
            </w:r>
          </w:p>
        </w:tc>
      </w:tr>
      <w:tr>
        <w:trPr>
          <w:trHeight w:val="220" w:hRule="exact"/>
        </w:trPr>
        <w:tc>
          <w:tcPr>
            <w:tcW w:w="5535" w:type="dxa"/>
          </w:tcPr>
          <w:p>
            <w:pPr>
              <w:pStyle w:val="TableParagraph"/>
              <w:spacing w:before="1"/>
              <w:ind w:left="50"/>
              <w:jc w:val="left"/>
              <w:rPr>
                <w:sz w:val="18"/>
              </w:rPr>
            </w:pPr>
            <w:r>
              <w:rPr>
                <w:color w:val="231F20"/>
                <w:sz w:val="18"/>
              </w:rPr>
              <w:t>Granted  . . . . . . . . . . . . . . . . . . . . . . . . . . . . . . . . . . . . . . . . . . . . . . . . . . . . </w:t>
            </w:r>
          </w:p>
        </w:tc>
        <w:tc>
          <w:tcPr>
            <w:tcW w:w="1265" w:type="dxa"/>
          </w:tcPr>
          <w:p>
            <w:pPr>
              <w:pStyle w:val="TableParagraph"/>
              <w:spacing w:before="1"/>
              <w:ind w:right="57"/>
              <w:rPr>
                <w:sz w:val="18"/>
              </w:rPr>
            </w:pPr>
            <w:r>
              <w:rPr>
                <w:color w:val="231F20"/>
                <w:sz w:val="18"/>
              </w:rPr>
              <w:t>1,007</w:t>
            </w:r>
          </w:p>
        </w:tc>
        <w:tc>
          <w:tcPr>
            <w:tcW w:w="140" w:type="dxa"/>
          </w:tcPr>
          <w:p>
            <w:pPr/>
          </w:p>
        </w:tc>
        <w:tc>
          <w:tcPr>
            <w:tcW w:w="1480" w:type="dxa"/>
          </w:tcPr>
          <w:p>
            <w:pPr>
              <w:pStyle w:val="TableParagraph"/>
              <w:spacing w:before="1"/>
              <w:ind w:right="48"/>
              <w:rPr>
                <w:sz w:val="18"/>
              </w:rPr>
            </w:pPr>
            <w:r>
              <w:rPr>
                <w:color w:val="231F20"/>
                <w:sz w:val="18"/>
              </w:rPr>
              <w:t>12.27</w:t>
            </w:r>
          </w:p>
        </w:tc>
      </w:tr>
      <w:tr>
        <w:trPr>
          <w:trHeight w:val="220" w:hRule="exact"/>
        </w:trPr>
        <w:tc>
          <w:tcPr>
            <w:tcW w:w="5535" w:type="dxa"/>
          </w:tcPr>
          <w:p>
            <w:pPr>
              <w:pStyle w:val="TableParagraph"/>
              <w:spacing w:before="1"/>
              <w:ind w:left="50"/>
              <w:jc w:val="left"/>
              <w:rPr>
                <w:sz w:val="18"/>
              </w:rPr>
            </w:pPr>
            <w:r>
              <w:rPr>
                <w:color w:val="231F20"/>
                <w:sz w:val="18"/>
              </w:rPr>
              <w:t>Vested . . . . . . . . . . . . . . . . . . . . . . . . . . . . . . . . . . . . . . . . . . . . . . . . . . . . . </w:t>
            </w:r>
          </w:p>
        </w:tc>
        <w:tc>
          <w:tcPr>
            <w:tcW w:w="1265" w:type="dxa"/>
          </w:tcPr>
          <w:p>
            <w:pPr>
              <w:pStyle w:val="TableParagraph"/>
              <w:spacing w:before="1"/>
              <w:rPr>
                <w:sz w:val="18"/>
              </w:rPr>
            </w:pPr>
            <w:r>
              <w:rPr>
                <w:color w:val="231F20"/>
                <w:sz w:val="18"/>
              </w:rPr>
              <w:t>(327)</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45" w:hRule="exact"/>
        </w:trPr>
        <w:tc>
          <w:tcPr>
            <w:tcW w:w="5535" w:type="dxa"/>
          </w:tcPr>
          <w:p>
            <w:pPr>
              <w:pStyle w:val="TableParagraph"/>
              <w:spacing w:before="1"/>
              <w:ind w:left="50"/>
              <w:jc w:val="left"/>
              <w:rPr>
                <w:sz w:val="18"/>
              </w:rPr>
            </w:pPr>
            <w:r>
              <w:rPr>
                <w:color w:val="231F20"/>
                <w:sz w:val="18"/>
              </w:rPr>
              <w:t>Surrendered   . .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(30)</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75" w:hRule="exact"/>
        </w:trPr>
        <w:tc>
          <w:tcPr>
            <w:tcW w:w="5535" w:type="dxa"/>
          </w:tcPr>
          <w:p>
            <w:pPr>
              <w:pStyle w:val="TableParagraph"/>
              <w:spacing w:before="57"/>
              <w:ind w:left="50"/>
              <w:jc w:val="left"/>
              <w:rPr>
                <w:sz w:val="18"/>
              </w:rPr>
            </w:pPr>
            <w:r>
              <w:rPr>
                <w:color w:val="231F20"/>
                <w:sz w:val="18"/>
              </w:rPr>
              <w:t>Outstanding December 31, 2011  . . . . . . . . . . . . . . . . . . . . . . . . . . . . . . . . </w:t>
            </w:r>
          </w:p>
        </w:tc>
        <w:tc>
          <w:tcPr>
            <w:tcW w:w="1265" w:type="dxa"/>
            <w:tcBorders>
              <w:top w:val="single" w:sz="4" w:space="0" w:color="231F20"/>
            </w:tcBorders>
          </w:tcPr>
          <w:p>
            <w:pPr>
              <w:pStyle w:val="TableParagraph"/>
              <w:spacing w:before="52"/>
              <w:ind w:right="58"/>
              <w:rPr>
                <w:sz w:val="18"/>
              </w:rPr>
            </w:pPr>
            <w:r>
              <w:rPr>
                <w:color w:val="231F20"/>
                <w:sz w:val="18"/>
              </w:rPr>
              <w:t>1,640</w:t>
            </w:r>
          </w:p>
        </w:tc>
        <w:tc>
          <w:tcPr>
            <w:tcW w:w="140" w:type="dxa"/>
          </w:tcPr>
          <w:p>
            <w:pPr/>
          </w:p>
        </w:tc>
        <w:tc>
          <w:tcPr>
            <w:tcW w:w="1480" w:type="dxa"/>
          </w:tcPr>
          <w:p>
            <w:pPr>
              <w:pStyle w:val="TableParagraph"/>
              <w:spacing w:before="57"/>
              <w:ind w:right="48"/>
              <w:rPr>
                <w:sz w:val="18"/>
              </w:rPr>
            </w:pPr>
            <w:r>
              <w:rPr>
                <w:color w:val="231F20"/>
                <w:sz w:val="18"/>
              </w:rPr>
              <w:t>12.27</w:t>
            </w:r>
          </w:p>
        </w:tc>
      </w:tr>
      <w:tr>
        <w:trPr>
          <w:trHeight w:val="220" w:hRule="exact"/>
        </w:trPr>
        <w:tc>
          <w:tcPr>
            <w:tcW w:w="5535" w:type="dxa"/>
          </w:tcPr>
          <w:p>
            <w:pPr>
              <w:pStyle w:val="TableParagraph"/>
              <w:spacing w:before="1"/>
              <w:ind w:left="50"/>
              <w:jc w:val="left"/>
              <w:rPr>
                <w:sz w:val="18"/>
              </w:rPr>
            </w:pPr>
            <w:r>
              <w:rPr>
                <w:color w:val="231F20"/>
                <w:sz w:val="18"/>
              </w:rPr>
              <w:t>Granted  . . . . . . . . . . . . . . . . . . . . . . . . . . . . . . . . . . . . . . . . . . . . . . . . . . . . </w:t>
            </w:r>
          </w:p>
        </w:tc>
        <w:tc>
          <w:tcPr>
            <w:tcW w:w="1265" w:type="dxa"/>
          </w:tcPr>
          <w:p>
            <w:pPr>
              <w:pStyle w:val="TableParagraph"/>
              <w:spacing w:before="1"/>
              <w:ind w:right="58"/>
              <w:rPr>
                <w:sz w:val="18"/>
              </w:rPr>
            </w:pPr>
            <w:r>
              <w:rPr>
                <w:color w:val="231F20"/>
                <w:sz w:val="18"/>
              </w:rPr>
              <w:t>1,939</w:t>
            </w:r>
          </w:p>
        </w:tc>
        <w:tc>
          <w:tcPr>
            <w:tcW w:w="140" w:type="dxa"/>
          </w:tcPr>
          <w:p>
            <w:pPr/>
          </w:p>
        </w:tc>
        <w:tc>
          <w:tcPr>
            <w:tcW w:w="1480" w:type="dxa"/>
          </w:tcPr>
          <w:p>
            <w:pPr>
              <w:pStyle w:val="TableParagraph"/>
              <w:spacing w:before="1"/>
              <w:ind w:right="48"/>
              <w:rPr>
                <w:sz w:val="18"/>
              </w:rPr>
            </w:pPr>
            <w:r>
              <w:rPr>
                <w:color w:val="231F20"/>
                <w:sz w:val="18"/>
              </w:rPr>
              <w:t>8.21</w:t>
            </w:r>
          </w:p>
        </w:tc>
      </w:tr>
      <w:tr>
        <w:trPr>
          <w:trHeight w:val="220" w:hRule="exact"/>
        </w:trPr>
        <w:tc>
          <w:tcPr>
            <w:tcW w:w="5535" w:type="dxa"/>
          </w:tcPr>
          <w:p>
            <w:pPr>
              <w:pStyle w:val="TableParagraph"/>
              <w:spacing w:before="1"/>
              <w:ind w:left="50"/>
              <w:jc w:val="left"/>
              <w:rPr>
                <w:sz w:val="18"/>
              </w:rPr>
            </w:pPr>
            <w:r>
              <w:rPr>
                <w:color w:val="231F20"/>
                <w:sz w:val="18"/>
              </w:rPr>
              <w:t>Vested . . . . . . . . . . . . . . . . . . . . . . . . . . . . . . . . . . . . . . . . . . . . . . . . . . . . . </w:t>
            </w:r>
          </w:p>
        </w:tc>
        <w:tc>
          <w:tcPr>
            <w:tcW w:w="1265" w:type="dxa"/>
          </w:tcPr>
          <w:p>
            <w:pPr>
              <w:pStyle w:val="TableParagraph"/>
              <w:spacing w:before="1"/>
              <w:rPr>
                <w:sz w:val="18"/>
              </w:rPr>
            </w:pPr>
            <w:r>
              <w:rPr>
                <w:color w:val="231F20"/>
                <w:sz w:val="18"/>
              </w:rPr>
              <w:t>(644)</w:t>
            </w:r>
          </w:p>
        </w:tc>
        <w:tc>
          <w:tcPr>
            <w:tcW w:w="140" w:type="dxa"/>
          </w:tcPr>
          <w:p>
            <w:pPr/>
          </w:p>
        </w:tc>
        <w:tc>
          <w:tcPr>
            <w:tcW w:w="1480" w:type="dxa"/>
          </w:tcPr>
          <w:p>
            <w:pPr>
              <w:pStyle w:val="TableParagraph"/>
              <w:spacing w:before="1"/>
              <w:ind w:right="48"/>
              <w:rPr>
                <w:sz w:val="18"/>
              </w:rPr>
            </w:pPr>
            <w:r>
              <w:rPr>
                <w:color w:val="231F20"/>
                <w:sz w:val="18"/>
              </w:rPr>
              <w:t>12.27</w:t>
            </w:r>
          </w:p>
        </w:tc>
      </w:tr>
      <w:tr>
        <w:trPr>
          <w:trHeight w:val="245" w:hRule="exact"/>
        </w:trPr>
        <w:tc>
          <w:tcPr>
            <w:tcW w:w="5535" w:type="dxa"/>
          </w:tcPr>
          <w:p>
            <w:pPr>
              <w:pStyle w:val="TableParagraph"/>
              <w:spacing w:before="1"/>
              <w:ind w:left="50"/>
              <w:jc w:val="left"/>
              <w:rPr>
                <w:sz w:val="18"/>
              </w:rPr>
            </w:pPr>
            <w:r>
              <w:rPr>
                <w:color w:val="231F20"/>
                <w:sz w:val="18"/>
              </w:rPr>
              <w:t>Surrendered   . .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(59)</w:t>
            </w:r>
          </w:p>
        </w:tc>
        <w:tc>
          <w:tcPr>
            <w:tcW w:w="140" w:type="dxa"/>
          </w:tcPr>
          <w:p>
            <w:pPr/>
          </w:p>
        </w:tc>
        <w:tc>
          <w:tcPr>
            <w:tcW w:w="1480" w:type="dxa"/>
          </w:tcPr>
          <w:p>
            <w:pPr>
              <w:pStyle w:val="TableParagraph"/>
              <w:spacing w:before="1"/>
              <w:ind w:right="48"/>
              <w:rPr>
                <w:sz w:val="18"/>
              </w:rPr>
            </w:pPr>
            <w:r>
              <w:rPr>
                <w:color w:val="231F20"/>
                <w:sz w:val="18"/>
              </w:rPr>
              <w:t>10.54</w:t>
            </w:r>
          </w:p>
        </w:tc>
      </w:tr>
      <w:tr>
        <w:trPr>
          <w:trHeight w:val="275" w:hRule="exact"/>
        </w:trPr>
        <w:tc>
          <w:tcPr>
            <w:tcW w:w="5535" w:type="dxa"/>
          </w:tcPr>
          <w:p>
            <w:pPr>
              <w:pStyle w:val="TableParagraph"/>
              <w:spacing w:before="57"/>
              <w:ind w:left="50"/>
              <w:jc w:val="left"/>
              <w:rPr>
                <w:sz w:val="18"/>
              </w:rPr>
            </w:pPr>
            <w:r>
              <w:rPr>
                <w:color w:val="231F20"/>
                <w:sz w:val="18"/>
              </w:rPr>
              <w:t>Outstanding December 31, 2012  . . . . . . . . . . . . . . . . . . . . . . . . . . . . . . . . </w:t>
            </w:r>
          </w:p>
        </w:tc>
        <w:tc>
          <w:tcPr>
            <w:tcW w:w="1265" w:type="dxa"/>
            <w:tcBorders>
              <w:top w:val="single" w:sz="4" w:space="0" w:color="231F20"/>
            </w:tcBorders>
          </w:tcPr>
          <w:p>
            <w:pPr>
              <w:pStyle w:val="TableParagraph"/>
              <w:spacing w:before="52"/>
              <w:ind w:right="58"/>
              <w:rPr>
                <w:sz w:val="18"/>
              </w:rPr>
            </w:pPr>
            <w:r>
              <w:rPr>
                <w:color w:val="231F20"/>
                <w:sz w:val="18"/>
              </w:rPr>
              <w:t>2,876</w:t>
            </w:r>
          </w:p>
        </w:tc>
        <w:tc>
          <w:tcPr>
            <w:tcW w:w="140" w:type="dxa"/>
          </w:tcPr>
          <w:p>
            <w:pPr/>
          </w:p>
        </w:tc>
        <w:tc>
          <w:tcPr>
            <w:tcW w:w="1480" w:type="dxa"/>
          </w:tcPr>
          <w:p>
            <w:pPr>
              <w:pStyle w:val="TableParagraph"/>
              <w:spacing w:before="57"/>
              <w:ind w:right="48"/>
              <w:rPr>
                <w:sz w:val="18"/>
              </w:rPr>
            </w:pPr>
            <w:r>
              <w:rPr>
                <w:color w:val="231F20"/>
                <w:sz w:val="18"/>
              </w:rPr>
              <w:t>9.57</w:t>
            </w:r>
          </w:p>
        </w:tc>
      </w:tr>
      <w:tr>
        <w:trPr>
          <w:trHeight w:val="220" w:hRule="exact"/>
        </w:trPr>
        <w:tc>
          <w:tcPr>
            <w:tcW w:w="5535" w:type="dxa"/>
          </w:tcPr>
          <w:p>
            <w:pPr>
              <w:pStyle w:val="TableParagraph"/>
              <w:spacing w:before="1"/>
              <w:ind w:left="50"/>
              <w:jc w:val="left"/>
              <w:rPr>
                <w:sz w:val="18"/>
              </w:rPr>
            </w:pPr>
            <w:r>
              <w:rPr>
                <w:color w:val="231F20"/>
                <w:sz w:val="18"/>
              </w:rPr>
              <w:t>Granted  . . . . . . . . . . . . . . . . . . . . . . . . . . . . . . . . . . . . . . . . . . . . . . . . . . . . </w:t>
            </w:r>
          </w:p>
        </w:tc>
        <w:tc>
          <w:tcPr>
            <w:tcW w:w="1265" w:type="dxa"/>
          </w:tcPr>
          <w:p>
            <w:pPr>
              <w:pStyle w:val="TableParagraph"/>
              <w:spacing w:before="1"/>
              <w:ind w:right="58"/>
              <w:rPr>
                <w:sz w:val="18"/>
              </w:rPr>
            </w:pPr>
            <w:r>
              <w:rPr>
                <w:color w:val="231F20"/>
                <w:sz w:val="18"/>
              </w:rPr>
              <w:t>1,139</w:t>
            </w:r>
          </w:p>
        </w:tc>
        <w:tc>
          <w:tcPr>
            <w:tcW w:w="140" w:type="dxa"/>
          </w:tcPr>
          <w:p>
            <w:pPr/>
          </w:p>
        </w:tc>
        <w:tc>
          <w:tcPr>
            <w:tcW w:w="1480" w:type="dxa"/>
          </w:tcPr>
          <w:p>
            <w:pPr>
              <w:pStyle w:val="TableParagraph"/>
              <w:spacing w:before="1"/>
              <w:ind w:right="48"/>
              <w:rPr>
                <w:sz w:val="18"/>
              </w:rPr>
            </w:pPr>
            <w:r>
              <w:rPr>
                <w:color w:val="231F20"/>
                <w:sz w:val="18"/>
              </w:rPr>
              <w:t>14.34</w:t>
            </w:r>
          </w:p>
        </w:tc>
      </w:tr>
      <w:tr>
        <w:trPr>
          <w:trHeight w:val="220" w:hRule="exact"/>
        </w:trPr>
        <w:tc>
          <w:tcPr>
            <w:tcW w:w="5535" w:type="dxa"/>
          </w:tcPr>
          <w:p>
            <w:pPr>
              <w:pStyle w:val="TableParagraph"/>
              <w:spacing w:before="1"/>
              <w:ind w:left="50"/>
              <w:jc w:val="left"/>
              <w:rPr>
                <w:sz w:val="18"/>
              </w:rPr>
            </w:pPr>
            <w:r>
              <w:rPr>
                <w:color w:val="231F20"/>
                <w:sz w:val="18"/>
              </w:rPr>
              <w:t>Vested . . . . . . . . . . . . . . . . . . . . . . . . . . . . . . . . . . . . . . . . . . . . . . . . . . . . . </w:t>
            </w:r>
          </w:p>
        </w:tc>
        <w:tc>
          <w:tcPr>
            <w:tcW w:w="1265" w:type="dxa"/>
          </w:tcPr>
          <w:p>
            <w:pPr>
              <w:pStyle w:val="TableParagraph"/>
              <w:spacing w:before="1"/>
              <w:rPr>
                <w:sz w:val="18"/>
              </w:rPr>
            </w:pPr>
            <w:r>
              <w:rPr>
                <w:color w:val="231F20"/>
                <w:sz w:val="18"/>
              </w:rPr>
              <w:t>(1,263)</w:t>
            </w:r>
          </w:p>
        </w:tc>
        <w:tc>
          <w:tcPr>
            <w:tcW w:w="140" w:type="dxa"/>
          </w:tcPr>
          <w:p>
            <w:pPr/>
          </w:p>
        </w:tc>
        <w:tc>
          <w:tcPr>
            <w:tcW w:w="1480" w:type="dxa"/>
          </w:tcPr>
          <w:p>
            <w:pPr>
              <w:pStyle w:val="TableParagraph"/>
              <w:spacing w:before="1"/>
              <w:ind w:right="48"/>
              <w:rPr>
                <w:sz w:val="18"/>
              </w:rPr>
            </w:pPr>
            <w:r>
              <w:rPr>
                <w:color w:val="231F20"/>
                <w:sz w:val="18"/>
              </w:rPr>
              <w:t>10.24</w:t>
            </w:r>
          </w:p>
        </w:tc>
      </w:tr>
      <w:tr>
        <w:trPr>
          <w:trHeight w:val="245" w:hRule="exact"/>
        </w:trPr>
        <w:tc>
          <w:tcPr>
            <w:tcW w:w="5535" w:type="dxa"/>
          </w:tcPr>
          <w:p>
            <w:pPr>
              <w:pStyle w:val="TableParagraph"/>
              <w:spacing w:before="1"/>
              <w:ind w:left="50"/>
              <w:jc w:val="left"/>
              <w:rPr>
                <w:sz w:val="18"/>
              </w:rPr>
            </w:pPr>
            <w:r>
              <w:rPr>
                <w:color w:val="231F20"/>
                <w:sz w:val="18"/>
              </w:rPr>
              <w:t>Surrendered   . .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(168)</w:t>
            </w:r>
          </w:p>
        </w:tc>
        <w:tc>
          <w:tcPr>
            <w:tcW w:w="140" w:type="dxa"/>
          </w:tcPr>
          <w:p>
            <w:pPr/>
          </w:p>
        </w:tc>
        <w:tc>
          <w:tcPr>
            <w:tcW w:w="1480" w:type="dxa"/>
          </w:tcPr>
          <w:p>
            <w:pPr>
              <w:pStyle w:val="TableParagraph"/>
              <w:spacing w:before="1"/>
              <w:ind w:right="48"/>
              <w:rPr>
                <w:sz w:val="18"/>
              </w:rPr>
            </w:pPr>
            <w:r>
              <w:rPr>
                <w:color w:val="231F20"/>
                <w:sz w:val="18"/>
              </w:rPr>
              <w:t>9.11</w:t>
            </w:r>
          </w:p>
        </w:tc>
      </w:tr>
      <w:tr>
        <w:trPr>
          <w:trHeight w:val="320" w:hRule="exact"/>
        </w:trPr>
        <w:tc>
          <w:tcPr>
            <w:tcW w:w="5535" w:type="dxa"/>
          </w:tcPr>
          <w:p>
            <w:pPr>
              <w:pStyle w:val="TableParagraph"/>
              <w:spacing w:before="57"/>
              <w:ind w:left="50"/>
              <w:jc w:val="left"/>
              <w:rPr>
                <w:sz w:val="18"/>
              </w:rPr>
            </w:pPr>
            <w:r>
              <w:rPr>
                <w:color w:val="231F20"/>
                <w:sz w:val="18"/>
              </w:rPr>
              <w:t>Outstanding December 31, 2013  . . . . . . . . . . . . . . . . . . . . . . . . . . . . . . . . </w:t>
            </w:r>
          </w:p>
        </w:tc>
        <w:tc>
          <w:tcPr>
            <w:tcW w:w="1265" w:type="dxa"/>
            <w:tcBorders>
              <w:top w:val="single" w:sz="4" w:space="0" w:color="231F20"/>
              <w:bottom w:val="double" w:sz="7" w:space="0" w:color="231F20"/>
            </w:tcBorders>
          </w:tcPr>
          <w:p>
            <w:pPr>
              <w:pStyle w:val="TableParagraph"/>
              <w:spacing w:before="52"/>
              <w:ind w:right="58"/>
              <w:rPr>
                <w:sz w:val="18"/>
              </w:rPr>
            </w:pPr>
            <w:r>
              <w:rPr>
                <w:color w:val="231F20"/>
                <w:sz w:val="18"/>
              </w:rPr>
              <w:t>2,584</w:t>
            </w:r>
          </w:p>
        </w:tc>
        <w:tc>
          <w:tcPr>
            <w:tcW w:w="140" w:type="dxa"/>
          </w:tcPr>
          <w:p>
            <w:pPr/>
          </w:p>
        </w:tc>
        <w:tc>
          <w:tcPr>
            <w:tcW w:w="1480" w:type="dxa"/>
          </w:tcPr>
          <w:p>
            <w:pPr>
              <w:pStyle w:val="TableParagraph"/>
              <w:tabs>
                <w:tab w:pos="1024" w:val="left" w:leader="none"/>
              </w:tabs>
              <w:spacing w:before="57"/>
              <w:ind w:right="48"/>
              <w:rPr>
                <w:sz w:val="18"/>
              </w:rPr>
            </w:pPr>
            <w:r>
              <w:rPr>
                <w:color w:val="231F20"/>
                <w:sz w:val="18"/>
              </w:rPr>
              <w:t>$</w:t>
              <w:tab/>
              <w:t>11.38</w:t>
            </w:r>
          </w:p>
        </w:tc>
      </w:tr>
    </w:tbl>
    <w:p>
      <w:pPr>
        <w:pStyle w:val="BodyText"/>
        <w:rPr>
          <w:b/>
        </w:rPr>
      </w:pPr>
    </w:p>
    <w:p>
      <w:pPr>
        <w:pStyle w:val="Heading4"/>
        <w:spacing w:before="169"/>
        <w:ind w:left="410"/>
        <w:rPr>
          <w:i/>
        </w:rPr>
      </w:pPr>
      <w:r>
        <w:rPr>
          <w:i/>
          <w:color w:val="231F20"/>
        </w:rPr>
        <w:t>Stock options</w:t>
      </w:r>
    </w:p>
    <w:p>
      <w:pPr>
        <w:pStyle w:val="BodyText"/>
        <w:spacing w:line="249" w:lineRule="auto" w:before="132"/>
        <w:ind w:left="160" w:right="105" w:firstLine="490"/>
      </w:pPr>
      <w:r>
        <w:rPr>
          <w:color w:val="231F20"/>
        </w:rPr>
        <w:t>The Company has previously awarded stock options under plans covering Employees subject to collective bargaining agreements (collective bargaining plans) and plans covering other Employees and members of the Board of Directors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There were no material grants of stock options to Employees covered by collective bargaining plans during 2011, 2012, or 2013. Neither Executive Officers nor members of the Company’s Board of Directors are eligible to participate in any of the collective bargaining plans. Options granted to Employees and members of the Board of Directors through other Employee plans are both qualified as incentive stock options under the Internal Revenue Code of 1986 and non-qualified stock options, granted at no less than the fair value of the Company’s common stock on the date of grant, and have 10-year terms. All of the options included in other Employee plans have been approved by Shareholders, except one plan covering non-management,</w:t>
      </w:r>
      <w:r>
        <w:rPr>
          <w:color w:val="231F20"/>
          <w:spacing w:val="7"/>
        </w:rPr>
        <w:t> </w:t>
      </w:r>
      <w:r>
        <w:rPr>
          <w:color w:val="231F20"/>
        </w:rPr>
        <w:t>non-</w:t>
      </w:r>
    </w:p>
    <w:p>
      <w:pPr>
        <w:spacing w:after="0" w:line="249" w:lineRule="auto"/>
        <w:sectPr>
          <w:pgSz w:w="11880" w:h="15480"/>
          <w:pgMar w:header="0" w:footer="1253" w:top="1240" w:bottom="1440" w:left="1220" w:right="1280"/>
        </w:sectPr>
      </w:pPr>
    </w:p>
    <w:p>
      <w:pPr>
        <w:pStyle w:val="BodyText"/>
        <w:spacing w:line="249" w:lineRule="auto" w:before="73"/>
        <w:ind w:left="160" w:right="612"/>
      </w:pPr>
      <w:r>
        <w:rPr>
          <w:color w:val="231F20"/>
        </w:rPr>
        <w:t>contract Employees, which did not require Shareholder approval and had an insignificant number of options outstanding as of December 31, 2013. Although the Company does not have a formal policy, upon option exercise, the Company will typically issue treasury stock, to the extent such shares are available.</w:t>
      </w:r>
    </w:p>
    <w:p>
      <w:pPr>
        <w:pStyle w:val="BodyText"/>
        <w:spacing w:before="1"/>
        <w:rPr>
          <w:sz w:val="21"/>
        </w:rPr>
      </w:pPr>
    </w:p>
    <w:p>
      <w:pPr>
        <w:pStyle w:val="BodyText"/>
        <w:spacing w:line="249" w:lineRule="auto"/>
        <w:ind w:left="160" w:right="202" w:firstLine="490"/>
      </w:pPr>
      <w:r>
        <w:rPr>
          <w:color w:val="231F20"/>
        </w:rPr>
        <w:t>Vesting terms for the collective bargaining plans differ based on the grant made, and have ranged in length from immediate vesting to vesting periods in accordance with the period covered by the respective collective bargaining agreement. For other Employee plans, options vest and generally become fully exercisable over three, five, or ten years of continued employment, depending upon the grant type. For grants in any of the Company’s plans that are subject to graded vesting over a service period, the Company recognizes expense on a straight-line basis over the requisite service period for the entire award. None of the Company’s grants include performance- based or market-based vesting conditions, as defined.</w:t>
      </w:r>
    </w:p>
    <w:p>
      <w:pPr>
        <w:pStyle w:val="BodyText"/>
        <w:spacing w:before="1"/>
        <w:rPr>
          <w:sz w:val="21"/>
        </w:rPr>
      </w:pPr>
    </w:p>
    <w:p>
      <w:pPr>
        <w:pStyle w:val="BodyText"/>
        <w:spacing w:line="249" w:lineRule="auto"/>
        <w:ind w:left="160" w:right="222" w:firstLine="490"/>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Stock options issued by the Company during 2013 and 2012 were immaterial.</w:t>
      </w:r>
    </w:p>
    <w:p>
      <w:pPr>
        <w:pStyle w:val="BodyText"/>
        <w:spacing w:before="1"/>
        <w:rPr>
          <w:sz w:val="21"/>
        </w:rPr>
      </w:pPr>
    </w:p>
    <w:p>
      <w:pPr>
        <w:pStyle w:val="BodyText"/>
        <w:ind w:left="650"/>
      </w:pPr>
      <w:r>
        <w:rPr>
          <w:color w:val="231F20"/>
        </w:rPr>
        <w:t>Aggregated information regarding Company issued stock options is summarized below:</w:t>
      </w:r>
    </w:p>
    <w:p>
      <w:pPr>
        <w:pStyle w:val="BodyText"/>
        <w:spacing w:before="2"/>
        <w:rPr>
          <w:sz w:val="18"/>
        </w:rPr>
      </w:pPr>
    </w:p>
    <w:p>
      <w:pPr>
        <w:spacing w:before="0" w:after="35"/>
        <w:ind w:left="6281" w:right="0" w:firstLine="0"/>
        <w:jc w:val="left"/>
        <w:rPr>
          <w:b/>
          <w:sz w:val="16"/>
        </w:rPr>
      </w:pPr>
      <w:r>
        <w:rPr>
          <w:b/>
          <w:color w:val="231F20"/>
          <w:sz w:val="16"/>
        </w:rPr>
        <w:t>STOCK OPTION PLANS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960"/>
        <w:gridCol w:w="140"/>
        <w:gridCol w:w="900"/>
        <w:gridCol w:w="200"/>
        <w:gridCol w:w="1000"/>
        <w:gridCol w:w="100"/>
        <w:gridCol w:w="950"/>
      </w:tblGrid>
      <w:tr>
        <w:trPr>
          <w:trHeight w:val="197" w:hRule="exact"/>
        </w:trPr>
        <w:tc>
          <w:tcPr>
            <w:tcW w:w="6070" w:type="dxa"/>
            <w:gridSpan w:val="3"/>
            <w:vMerge w:val="restart"/>
          </w:tcPr>
          <w:p>
            <w:pPr/>
          </w:p>
        </w:tc>
        <w:tc>
          <w:tcPr>
            <w:tcW w:w="900" w:type="dxa"/>
            <w:tcBorders>
              <w:top w:val="single" w:sz="8" w:space="0" w:color="231F20"/>
            </w:tcBorders>
          </w:tcPr>
          <w:p>
            <w:pPr/>
          </w:p>
        </w:tc>
        <w:tc>
          <w:tcPr>
            <w:tcW w:w="200" w:type="dxa"/>
            <w:tcBorders>
              <w:top w:val="single" w:sz="8" w:space="0" w:color="231F20"/>
            </w:tcBorders>
          </w:tcPr>
          <w:p>
            <w:pPr/>
          </w:p>
        </w:tc>
        <w:tc>
          <w:tcPr>
            <w:tcW w:w="1000" w:type="dxa"/>
            <w:tcBorders>
              <w:top w:val="single" w:sz="8" w:space="0" w:color="231F20"/>
            </w:tcBorders>
          </w:tcPr>
          <w:p>
            <w:pPr>
              <w:pStyle w:val="TableParagraph"/>
              <w:spacing w:before="10"/>
              <w:ind w:left="278"/>
              <w:jc w:val="left"/>
              <w:rPr>
                <w:b/>
                <w:sz w:val="16"/>
              </w:rPr>
            </w:pPr>
            <w:r>
              <w:rPr>
                <w:b/>
                <w:color w:val="231F20"/>
                <w:sz w:val="16"/>
              </w:rPr>
              <w:t>Wtd.</w:t>
            </w:r>
          </w:p>
        </w:tc>
        <w:tc>
          <w:tcPr>
            <w:tcW w:w="1050" w:type="dxa"/>
            <w:gridSpan w:val="2"/>
            <w:tcBorders>
              <w:top w:val="single" w:sz="8" w:space="0" w:color="231F20"/>
            </w:tcBorders>
          </w:tcPr>
          <w:p>
            <w:pPr/>
          </w:p>
        </w:tc>
      </w:tr>
      <w:tr>
        <w:trPr>
          <w:trHeight w:val="160" w:hRule="exact"/>
        </w:trPr>
        <w:tc>
          <w:tcPr>
            <w:tcW w:w="6070" w:type="dxa"/>
            <w:gridSpan w:val="3"/>
            <w:vMerge/>
          </w:tcPr>
          <w:p>
            <w:pPr/>
          </w:p>
        </w:tc>
        <w:tc>
          <w:tcPr>
            <w:tcW w:w="900" w:type="dxa"/>
          </w:tcPr>
          <w:p>
            <w:pPr>
              <w:pStyle w:val="TableParagraph"/>
              <w:spacing w:line="168" w:lineRule="exact"/>
              <w:ind w:left="279"/>
              <w:jc w:val="left"/>
              <w:rPr>
                <w:b/>
                <w:sz w:val="16"/>
              </w:rPr>
            </w:pPr>
            <w:r>
              <w:rPr>
                <w:b/>
                <w:color w:val="231F20"/>
                <w:sz w:val="16"/>
              </w:rPr>
              <w:t>Wtd.</w:t>
            </w:r>
          </w:p>
        </w:tc>
        <w:tc>
          <w:tcPr>
            <w:tcW w:w="200" w:type="dxa"/>
          </w:tcPr>
          <w:p>
            <w:pPr/>
          </w:p>
        </w:tc>
        <w:tc>
          <w:tcPr>
            <w:tcW w:w="1000" w:type="dxa"/>
          </w:tcPr>
          <w:p>
            <w:pPr>
              <w:pStyle w:val="TableParagraph"/>
              <w:spacing w:line="168" w:lineRule="exact"/>
              <w:ind w:left="182"/>
              <w:jc w:val="left"/>
              <w:rPr>
                <w:b/>
                <w:sz w:val="16"/>
              </w:rPr>
            </w:pPr>
            <w:r>
              <w:rPr>
                <w:b/>
                <w:color w:val="231F20"/>
                <w:sz w:val="16"/>
              </w:rPr>
              <w:t>average</w:t>
            </w:r>
          </w:p>
        </w:tc>
        <w:tc>
          <w:tcPr>
            <w:tcW w:w="100" w:type="dxa"/>
          </w:tcPr>
          <w:p>
            <w:pPr/>
          </w:p>
        </w:tc>
        <w:tc>
          <w:tcPr>
            <w:tcW w:w="950" w:type="dxa"/>
          </w:tcPr>
          <w:p>
            <w:pPr>
              <w:pStyle w:val="TableParagraph"/>
              <w:spacing w:line="168" w:lineRule="exact"/>
              <w:ind w:right="47"/>
              <w:jc w:val="center"/>
              <w:rPr>
                <w:b/>
                <w:sz w:val="16"/>
              </w:rPr>
            </w:pPr>
            <w:r>
              <w:rPr>
                <w:b/>
                <w:color w:val="231F20"/>
                <w:sz w:val="16"/>
              </w:rPr>
              <w:t>Aggregate</w:t>
            </w:r>
          </w:p>
        </w:tc>
      </w:tr>
      <w:tr>
        <w:trPr>
          <w:trHeight w:val="160" w:hRule="exact"/>
        </w:trPr>
        <w:tc>
          <w:tcPr>
            <w:tcW w:w="6070" w:type="dxa"/>
            <w:gridSpan w:val="3"/>
            <w:vMerge/>
          </w:tcPr>
          <w:p>
            <w:pPr/>
          </w:p>
        </w:tc>
        <w:tc>
          <w:tcPr>
            <w:tcW w:w="900" w:type="dxa"/>
          </w:tcPr>
          <w:p>
            <w:pPr>
              <w:pStyle w:val="TableParagraph"/>
              <w:spacing w:line="168" w:lineRule="exact"/>
              <w:ind w:left="183"/>
              <w:jc w:val="left"/>
              <w:rPr>
                <w:b/>
                <w:sz w:val="16"/>
              </w:rPr>
            </w:pPr>
            <w:r>
              <w:rPr>
                <w:b/>
                <w:color w:val="231F20"/>
                <w:sz w:val="16"/>
              </w:rPr>
              <w:t>average</w:t>
            </w:r>
          </w:p>
        </w:tc>
        <w:tc>
          <w:tcPr>
            <w:tcW w:w="200" w:type="dxa"/>
          </w:tcPr>
          <w:p>
            <w:pPr/>
          </w:p>
        </w:tc>
        <w:tc>
          <w:tcPr>
            <w:tcW w:w="1000" w:type="dxa"/>
          </w:tcPr>
          <w:p>
            <w:pPr>
              <w:pStyle w:val="TableParagraph"/>
              <w:spacing w:line="168" w:lineRule="exact"/>
              <w:ind w:left="98"/>
              <w:jc w:val="left"/>
              <w:rPr>
                <w:b/>
                <w:sz w:val="16"/>
              </w:rPr>
            </w:pPr>
            <w:r>
              <w:rPr>
                <w:b/>
                <w:color w:val="231F20"/>
                <w:sz w:val="16"/>
              </w:rPr>
              <w:t>remaining</w:t>
            </w:r>
          </w:p>
        </w:tc>
        <w:tc>
          <w:tcPr>
            <w:tcW w:w="100" w:type="dxa"/>
          </w:tcPr>
          <w:p>
            <w:pPr/>
          </w:p>
        </w:tc>
        <w:tc>
          <w:tcPr>
            <w:tcW w:w="950" w:type="dxa"/>
          </w:tcPr>
          <w:p>
            <w:pPr>
              <w:pStyle w:val="TableParagraph"/>
              <w:spacing w:line="168" w:lineRule="exact"/>
              <w:ind w:right="46"/>
              <w:jc w:val="center"/>
              <w:rPr>
                <w:b/>
                <w:sz w:val="16"/>
              </w:rPr>
            </w:pPr>
            <w:r>
              <w:rPr>
                <w:b/>
                <w:color w:val="231F20"/>
                <w:sz w:val="16"/>
              </w:rPr>
              <w:t>intrinsic</w:t>
            </w:r>
          </w:p>
        </w:tc>
      </w:tr>
      <w:tr>
        <w:trPr>
          <w:trHeight w:val="160" w:hRule="exact"/>
        </w:trPr>
        <w:tc>
          <w:tcPr>
            <w:tcW w:w="4970" w:type="dxa"/>
          </w:tcPr>
          <w:p>
            <w:pPr/>
          </w:p>
        </w:tc>
        <w:tc>
          <w:tcPr>
            <w:tcW w:w="960" w:type="dxa"/>
          </w:tcPr>
          <w:p>
            <w:pPr>
              <w:pStyle w:val="TableParagraph"/>
              <w:spacing w:line="168" w:lineRule="exact"/>
              <w:ind w:left="178"/>
              <w:jc w:val="left"/>
              <w:rPr>
                <w:b/>
                <w:sz w:val="16"/>
              </w:rPr>
            </w:pPr>
            <w:r>
              <w:rPr>
                <w:b/>
                <w:color w:val="231F20"/>
                <w:sz w:val="16"/>
              </w:rPr>
              <w:t>Options</w:t>
            </w:r>
          </w:p>
        </w:tc>
        <w:tc>
          <w:tcPr>
            <w:tcW w:w="140" w:type="dxa"/>
          </w:tcPr>
          <w:p>
            <w:pPr/>
          </w:p>
        </w:tc>
        <w:tc>
          <w:tcPr>
            <w:tcW w:w="900" w:type="dxa"/>
          </w:tcPr>
          <w:p>
            <w:pPr>
              <w:pStyle w:val="TableParagraph"/>
              <w:spacing w:line="168" w:lineRule="exact"/>
              <w:ind w:left="179"/>
              <w:jc w:val="left"/>
              <w:rPr>
                <w:b/>
                <w:sz w:val="16"/>
              </w:rPr>
            </w:pPr>
            <w:r>
              <w:rPr>
                <w:b/>
                <w:color w:val="231F20"/>
                <w:sz w:val="16"/>
              </w:rPr>
              <w:t>exercise</w:t>
            </w:r>
          </w:p>
        </w:tc>
        <w:tc>
          <w:tcPr>
            <w:tcW w:w="200" w:type="dxa"/>
          </w:tcPr>
          <w:p>
            <w:pPr/>
          </w:p>
        </w:tc>
        <w:tc>
          <w:tcPr>
            <w:tcW w:w="1000" w:type="dxa"/>
          </w:tcPr>
          <w:p>
            <w:pPr>
              <w:pStyle w:val="TableParagraph"/>
              <w:spacing w:line="168" w:lineRule="exact"/>
              <w:ind w:left="58"/>
              <w:jc w:val="left"/>
              <w:rPr>
                <w:b/>
                <w:sz w:val="16"/>
              </w:rPr>
            </w:pPr>
            <w:r>
              <w:rPr>
                <w:b/>
                <w:color w:val="231F20"/>
                <w:sz w:val="16"/>
              </w:rPr>
              <w:t>contractual</w:t>
            </w:r>
          </w:p>
        </w:tc>
        <w:tc>
          <w:tcPr>
            <w:tcW w:w="100" w:type="dxa"/>
          </w:tcPr>
          <w:p>
            <w:pPr/>
          </w:p>
        </w:tc>
        <w:tc>
          <w:tcPr>
            <w:tcW w:w="950" w:type="dxa"/>
          </w:tcPr>
          <w:p>
            <w:pPr>
              <w:pStyle w:val="TableParagraph"/>
              <w:spacing w:line="168" w:lineRule="exact"/>
              <w:ind w:right="47"/>
              <w:jc w:val="center"/>
              <w:rPr>
                <w:b/>
                <w:sz w:val="16"/>
              </w:rPr>
            </w:pPr>
            <w:r>
              <w:rPr>
                <w:b/>
                <w:color w:val="231F20"/>
                <w:sz w:val="16"/>
              </w:rPr>
              <w:t>value</w:t>
            </w:r>
          </w:p>
        </w:tc>
      </w:tr>
      <w:tr>
        <w:trPr>
          <w:trHeight w:val="203" w:hRule="exact"/>
        </w:trPr>
        <w:tc>
          <w:tcPr>
            <w:tcW w:w="4970" w:type="dxa"/>
          </w:tcPr>
          <w:p>
            <w:pPr/>
          </w:p>
        </w:tc>
        <w:tc>
          <w:tcPr>
            <w:tcW w:w="960" w:type="dxa"/>
            <w:tcBorders>
              <w:bottom w:val="single" w:sz="8" w:space="0" w:color="231F20"/>
            </w:tcBorders>
          </w:tcPr>
          <w:p>
            <w:pPr>
              <w:pStyle w:val="TableParagraph"/>
              <w:spacing w:line="168" w:lineRule="exact"/>
              <w:ind w:left="276"/>
              <w:jc w:val="left"/>
              <w:rPr>
                <w:b/>
                <w:sz w:val="16"/>
              </w:rPr>
            </w:pPr>
            <w:r>
              <w:rPr>
                <w:b/>
                <w:color w:val="231F20"/>
                <w:sz w:val="16"/>
              </w:rPr>
              <w:t>(000)</w:t>
            </w:r>
          </w:p>
        </w:tc>
        <w:tc>
          <w:tcPr>
            <w:tcW w:w="140" w:type="dxa"/>
          </w:tcPr>
          <w:p>
            <w:pPr/>
          </w:p>
        </w:tc>
        <w:tc>
          <w:tcPr>
            <w:tcW w:w="900" w:type="dxa"/>
            <w:tcBorders>
              <w:bottom w:val="single" w:sz="8" w:space="0" w:color="231F20"/>
            </w:tcBorders>
          </w:tcPr>
          <w:p>
            <w:pPr>
              <w:pStyle w:val="TableParagraph"/>
              <w:spacing w:line="168" w:lineRule="exact"/>
              <w:ind w:left="276"/>
              <w:jc w:val="left"/>
              <w:rPr>
                <w:b/>
                <w:sz w:val="16"/>
              </w:rPr>
            </w:pPr>
            <w:r>
              <w:rPr>
                <w:b/>
                <w:color w:val="231F20"/>
                <w:sz w:val="16"/>
              </w:rPr>
              <w:t>price</w:t>
            </w:r>
          </w:p>
        </w:tc>
        <w:tc>
          <w:tcPr>
            <w:tcW w:w="200" w:type="dxa"/>
          </w:tcPr>
          <w:p>
            <w:pPr/>
          </w:p>
        </w:tc>
        <w:tc>
          <w:tcPr>
            <w:tcW w:w="1000" w:type="dxa"/>
            <w:tcBorders>
              <w:bottom w:val="single" w:sz="8" w:space="0" w:color="231F20"/>
            </w:tcBorders>
          </w:tcPr>
          <w:p>
            <w:pPr>
              <w:pStyle w:val="TableParagraph"/>
              <w:spacing w:line="168" w:lineRule="exact"/>
              <w:ind w:left="286"/>
              <w:jc w:val="left"/>
              <w:rPr>
                <w:b/>
                <w:sz w:val="16"/>
              </w:rPr>
            </w:pPr>
            <w:r>
              <w:rPr>
                <w:b/>
                <w:color w:val="231F20"/>
                <w:sz w:val="16"/>
              </w:rPr>
              <w:t>term</w:t>
            </w:r>
          </w:p>
        </w:tc>
        <w:tc>
          <w:tcPr>
            <w:tcW w:w="100" w:type="dxa"/>
          </w:tcPr>
          <w:p>
            <w:pPr/>
          </w:p>
        </w:tc>
        <w:tc>
          <w:tcPr>
            <w:tcW w:w="950" w:type="dxa"/>
            <w:tcBorders>
              <w:bottom w:val="single" w:sz="8" w:space="0" w:color="231F20"/>
            </w:tcBorders>
          </w:tcPr>
          <w:p>
            <w:pPr>
              <w:pStyle w:val="TableParagraph"/>
              <w:spacing w:line="168" w:lineRule="exact"/>
              <w:ind w:right="44"/>
              <w:jc w:val="center"/>
              <w:rPr>
                <w:b/>
                <w:sz w:val="16"/>
              </w:rPr>
            </w:pPr>
            <w:r>
              <w:rPr>
                <w:b/>
                <w:color w:val="231F20"/>
                <w:sz w:val="16"/>
              </w:rPr>
              <w:t>(millions)</w:t>
            </w:r>
          </w:p>
        </w:tc>
      </w:tr>
      <w:tr>
        <w:trPr>
          <w:trHeight w:val="720" w:hRule="exact"/>
        </w:trPr>
        <w:tc>
          <w:tcPr>
            <w:tcW w:w="4970" w:type="dxa"/>
          </w:tcPr>
          <w:p>
            <w:pPr>
              <w:pStyle w:val="TableParagraph"/>
              <w:spacing w:line="254" w:lineRule="auto" w:before="62"/>
              <w:ind w:left="230" w:hanging="180"/>
              <w:jc w:val="left"/>
              <w:rPr>
                <w:sz w:val="18"/>
              </w:rPr>
            </w:pPr>
            <w:r>
              <w:rPr>
                <w:color w:val="231F20"/>
                <w:sz w:val="18"/>
              </w:rPr>
              <w:t>Outstanding December 31, 2010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960" w:type="dxa"/>
            <w:tcBorders>
              <w:top w:val="single" w:sz="8" w:space="0" w:color="231F20"/>
            </w:tcBorders>
          </w:tcPr>
          <w:p>
            <w:pPr>
              <w:pStyle w:val="TableParagraph"/>
              <w:spacing w:before="52"/>
              <w:ind w:left="404"/>
              <w:jc w:val="left"/>
              <w:rPr>
                <w:sz w:val="18"/>
              </w:rPr>
            </w:pPr>
            <w:r>
              <w:rPr>
                <w:color w:val="231F20"/>
                <w:sz w:val="18"/>
              </w:rPr>
              <w:t>50,982</w:t>
            </w:r>
          </w:p>
          <w:p>
            <w:pPr>
              <w:pStyle w:val="TableParagraph"/>
              <w:spacing w:line="254" w:lineRule="auto" w:before="13"/>
              <w:ind w:left="570" w:right="-20" w:firstLine="59"/>
              <w:jc w:val="left"/>
              <w:rPr>
                <w:sz w:val="18"/>
              </w:rPr>
            </w:pPr>
            <w:r>
              <w:rPr>
                <w:color w:val="231F20"/>
                <w:sz w:val="18"/>
              </w:rPr>
              <w:t>— (181)</w:t>
            </w:r>
          </w:p>
        </w:tc>
        <w:tc>
          <w:tcPr>
            <w:tcW w:w="140" w:type="dxa"/>
          </w:tcPr>
          <w:p>
            <w:pPr/>
          </w:p>
        </w:tc>
        <w:tc>
          <w:tcPr>
            <w:tcW w:w="900" w:type="dxa"/>
            <w:tcBorders>
              <w:top w:val="single" w:sz="8" w:space="0" w:color="231F20"/>
            </w:tcBorders>
          </w:tcPr>
          <w:p>
            <w:pPr>
              <w:pStyle w:val="TableParagraph"/>
              <w:tabs>
                <w:tab w:pos="494" w:val="left" w:leader="none"/>
              </w:tabs>
              <w:spacing w:before="52"/>
              <w:jc w:val="left"/>
              <w:rPr>
                <w:sz w:val="18"/>
              </w:rPr>
            </w:pPr>
            <w:r>
              <w:rPr>
                <w:color w:val="231F20"/>
                <w:sz w:val="18"/>
              </w:rPr>
              <w:t>$</w:t>
              <w:tab/>
              <w:t>14.68</w:t>
            </w:r>
          </w:p>
          <w:p>
            <w:pPr>
              <w:pStyle w:val="TableParagraph"/>
              <w:spacing w:line="254" w:lineRule="auto" w:before="13"/>
              <w:ind w:left="584" w:right="-19" w:firstLine="45"/>
              <w:jc w:val="left"/>
              <w:rPr>
                <w:sz w:val="18"/>
              </w:rPr>
            </w:pPr>
            <w:r>
              <w:rPr>
                <w:color w:val="231F20"/>
                <w:sz w:val="18"/>
              </w:rPr>
              <w:t>— 7.74</w:t>
            </w:r>
          </w:p>
        </w:tc>
        <w:tc>
          <w:tcPr>
            <w:tcW w:w="200" w:type="dxa"/>
          </w:tcPr>
          <w:p>
            <w:pPr/>
          </w:p>
        </w:tc>
        <w:tc>
          <w:tcPr>
            <w:tcW w:w="1000" w:type="dxa"/>
            <w:tcBorders>
              <w:top w:val="single" w:sz="8" w:space="0" w:color="231F20"/>
            </w:tcBorders>
          </w:tcPr>
          <w:p>
            <w:pPr/>
          </w:p>
        </w:tc>
        <w:tc>
          <w:tcPr>
            <w:tcW w:w="100" w:type="dxa"/>
          </w:tcPr>
          <w:p>
            <w:pPr/>
          </w:p>
        </w:tc>
        <w:tc>
          <w:tcPr>
            <w:tcW w:w="950" w:type="dxa"/>
            <w:tcBorders>
              <w:top w:val="single" w:sz="8" w:space="0" w:color="231F20"/>
            </w:tcBorders>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960" w:type="dxa"/>
            <w:tcBorders>
              <w:bottom w:val="single" w:sz="4" w:space="0" w:color="231F20"/>
            </w:tcBorders>
          </w:tcPr>
          <w:p>
            <w:pPr>
              <w:pStyle w:val="TableParagraph"/>
              <w:spacing w:before="1"/>
              <w:rPr>
                <w:sz w:val="18"/>
              </w:rPr>
            </w:pPr>
            <w:r>
              <w:rPr>
                <w:color w:val="231F20"/>
                <w:sz w:val="18"/>
              </w:rPr>
              <w:t>(3,477)</w:t>
            </w:r>
          </w:p>
        </w:tc>
        <w:tc>
          <w:tcPr>
            <w:tcW w:w="140" w:type="dxa"/>
          </w:tcPr>
          <w:p>
            <w:pPr/>
          </w:p>
        </w:tc>
        <w:tc>
          <w:tcPr>
            <w:tcW w:w="900" w:type="dxa"/>
          </w:tcPr>
          <w:p>
            <w:pPr>
              <w:pStyle w:val="TableParagraph"/>
              <w:spacing w:before="1"/>
              <w:rPr>
                <w:sz w:val="18"/>
              </w:rPr>
            </w:pPr>
            <w:r>
              <w:rPr>
                <w:color w:val="231F20"/>
                <w:sz w:val="18"/>
              </w:rPr>
              <w:t>17.38</w:t>
            </w:r>
          </w:p>
        </w:tc>
        <w:tc>
          <w:tcPr>
            <w:tcW w:w="200" w:type="dxa"/>
          </w:tcPr>
          <w:p>
            <w:pPr/>
          </w:p>
        </w:tc>
        <w:tc>
          <w:tcPr>
            <w:tcW w:w="1000" w:type="dxa"/>
          </w:tcPr>
          <w:p>
            <w:pPr/>
          </w:p>
        </w:tc>
        <w:tc>
          <w:tcPr>
            <w:tcW w:w="100" w:type="dxa"/>
          </w:tcPr>
          <w:p>
            <w:pPr/>
          </w:p>
        </w:tc>
        <w:tc>
          <w:tcPr>
            <w:tcW w:w="950" w:type="dxa"/>
          </w:tcPr>
          <w:p>
            <w:pPr/>
          </w:p>
        </w:tc>
      </w:tr>
      <w:tr>
        <w:trPr>
          <w:trHeight w:val="275" w:hRule="exact"/>
        </w:trPr>
        <w:tc>
          <w:tcPr>
            <w:tcW w:w="4970" w:type="dxa"/>
          </w:tcPr>
          <w:p>
            <w:pPr>
              <w:pStyle w:val="TableParagraph"/>
              <w:spacing w:before="57"/>
              <w:ind w:right="153"/>
              <w:rPr>
                <w:sz w:val="18"/>
              </w:rPr>
            </w:pPr>
            <w:r>
              <w:rPr>
                <w:color w:val="231F20"/>
                <w:sz w:val="18"/>
              </w:rPr>
              <w:t>Outstanding December 31, 2011  . . . . . . . . . . . . . . . . . . . . . . . . . . </w:t>
            </w:r>
          </w:p>
        </w:tc>
        <w:tc>
          <w:tcPr>
            <w:tcW w:w="960" w:type="dxa"/>
            <w:tcBorders>
              <w:top w:val="single" w:sz="4" w:space="0" w:color="231F20"/>
            </w:tcBorders>
          </w:tcPr>
          <w:p>
            <w:pPr>
              <w:pStyle w:val="TableParagraph"/>
              <w:spacing w:before="52"/>
              <w:ind w:right="57"/>
              <w:rPr>
                <w:sz w:val="18"/>
              </w:rPr>
            </w:pPr>
            <w:r>
              <w:rPr>
                <w:color w:val="231F20"/>
                <w:sz w:val="18"/>
              </w:rPr>
              <w:t>47,324</w:t>
            </w:r>
          </w:p>
        </w:tc>
        <w:tc>
          <w:tcPr>
            <w:tcW w:w="140" w:type="dxa"/>
          </w:tcPr>
          <w:p>
            <w:pPr/>
          </w:p>
        </w:tc>
        <w:tc>
          <w:tcPr>
            <w:tcW w:w="900" w:type="dxa"/>
          </w:tcPr>
          <w:p>
            <w:pPr>
              <w:pStyle w:val="TableParagraph"/>
              <w:tabs>
                <w:tab w:pos="494" w:val="left" w:leader="none"/>
              </w:tabs>
              <w:spacing w:before="57"/>
              <w:rPr>
                <w:sz w:val="18"/>
              </w:rPr>
            </w:pPr>
            <w:r>
              <w:rPr>
                <w:color w:val="231F20"/>
                <w:sz w:val="18"/>
              </w:rPr>
              <w:t>$</w:t>
              <w:tab/>
            </w:r>
            <w:r>
              <w:rPr>
                <w:color w:val="231F20"/>
                <w:spacing w:val="-1"/>
                <w:sz w:val="18"/>
              </w:rPr>
              <w:t>14.51</w:t>
            </w:r>
          </w:p>
        </w:tc>
        <w:tc>
          <w:tcPr>
            <w:tcW w:w="200" w:type="dxa"/>
          </w:tcPr>
          <w:p>
            <w:pPr/>
          </w:p>
        </w:tc>
        <w:tc>
          <w:tcPr>
            <w:tcW w:w="1000" w:type="dxa"/>
          </w:tcPr>
          <w:p>
            <w:pPr/>
          </w:p>
        </w:tc>
        <w:tc>
          <w:tcPr>
            <w:tcW w:w="100" w:type="dxa"/>
          </w:tcPr>
          <w:p>
            <w:pPr/>
          </w:p>
        </w:tc>
        <w:tc>
          <w:tcPr>
            <w:tcW w:w="950" w:type="dxa"/>
          </w:tcPr>
          <w:p>
            <w:pPr/>
          </w:p>
        </w:tc>
      </w:tr>
      <w:tr>
        <w:trPr>
          <w:trHeight w:val="220" w:hRule="exact"/>
        </w:trPr>
        <w:tc>
          <w:tcPr>
            <w:tcW w:w="4970" w:type="dxa"/>
          </w:tcPr>
          <w:p>
            <w:pPr>
              <w:pStyle w:val="TableParagraph"/>
              <w:spacing w:before="1"/>
              <w:ind w:right="153"/>
              <w:rPr>
                <w:sz w:val="18"/>
              </w:rPr>
            </w:pPr>
            <w:r>
              <w:rPr>
                <w:color w:val="231F20"/>
                <w:sz w:val="18"/>
              </w:rPr>
              <w:t>Granted . . . . . . . . . . . . . . . . . . . . . . . . . . . . . . . . . . . . . . . . . . . . </w:t>
            </w:r>
          </w:p>
        </w:tc>
        <w:tc>
          <w:tcPr>
            <w:tcW w:w="960" w:type="dxa"/>
          </w:tcPr>
          <w:p>
            <w:pPr>
              <w:pStyle w:val="TableParagraph"/>
              <w:spacing w:before="1"/>
              <w:ind w:right="57"/>
              <w:rPr>
                <w:sz w:val="18"/>
              </w:rPr>
            </w:pPr>
            <w:r>
              <w:rPr>
                <w:color w:val="231F20"/>
                <w:sz w:val="18"/>
              </w:rPr>
              <w:t>6</w:t>
            </w:r>
          </w:p>
        </w:tc>
        <w:tc>
          <w:tcPr>
            <w:tcW w:w="140" w:type="dxa"/>
          </w:tcPr>
          <w:p>
            <w:pPr/>
          </w:p>
        </w:tc>
        <w:tc>
          <w:tcPr>
            <w:tcW w:w="900" w:type="dxa"/>
          </w:tcPr>
          <w:p>
            <w:pPr>
              <w:pStyle w:val="TableParagraph"/>
              <w:spacing w:before="1"/>
              <w:rPr>
                <w:sz w:val="18"/>
              </w:rPr>
            </w:pPr>
            <w:r>
              <w:rPr>
                <w:color w:val="231F20"/>
                <w:sz w:val="18"/>
              </w:rPr>
              <w:t>9.00</w:t>
            </w:r>
          </w:p>
        </w:tc>
        <w:tc>
          <w:tcPr>
            <w:tcW w:w="200" w:type="dxa"/>
          </w:tcPr>
          <w:p>
            <w:pPr/>
          </w:p>
        </w:tc>
        <w:tc>
          <w:tcPr>
            <w:tcW w:w="1000" w:type="dxa"/>
          </w:tcPr>
          <w:p>
            <w:pPr/>
          </w:p>
        </w:tc>
        <w:tc>
          <w:tcPr>
            <w:tcW w:w="100" w:type="dxa"/>
          </w:tcPr>
          <w:p>
            <w:pPr/>
          </w:p>
        </w:tc>
        <w:tc>
          <w:tcPr>
            <w:tcW w:w="950" w:type="dxa"/>
          </w:tcPr>
          <w:p>
            <w:pPr/>
          </w:p>
        </w:tc>
      </w:tr>
      <w:tr>
        <w:trPr>
          <w:trHeight w:val="220" w:hRule="exact"/>
        </w:trPr>
        <w:tc>
          <w:tcPr>
            <w:tcW w:w="4970" w:type="dxa"/>
          </w:tcPr>
          <w:p>
            <w:pPr>
              <w:pStyle w:val="TableParagraph"/>
              <w:spacing w:before="1"/>
              <w:ind w:right="153"/>
              <w:rPr>
                <w:sz w:val="18"/>
              </w:rPr>
            </w:pPr>
            <w:r>
              <w:rPr>
                <w:color w:val="231F20"/>
                <w:sz w:val="18"/>
              </w:rPr>
              <w:t>Exercised  . . . . . . . . . . . . . . . . . . . . . . . . . . . . . . . . . . . . . . . . . . </w:t>
            </w:r>
          </w:p>
        </w:tc>
        <w:tc>
          <w:tcPr>
            <w:tcW w:w="960" w:type="dxa"/>
          </w:tcPr>
          <w:p>
            <w:pPr>
              <w:pStyle w:val="TableParagraph"/>
              <w:spacing w:before="1"/>
              <w:rPr>
                <w:sz w:val="18"/>
              </w:rPr>
            </w:pPr>
            <w:r>
              <w:rPr>
                <w:color w:val="231F20"/>
                <w:sz w:val="18"/>
              </w:rPr>
              <w:t>(573)</w:t>
            </w:r>
          </w:p>
        </w:tc>
        <w:tc>
          <w:tcPr>
            <w:tcW w:w="140" w:type="dxa"/>
          </w:tcPr>
          <w:p>
            <w:pPr/>
          </w:p>
        </w:tc>
        <w:tc>
          <w:tcPr>
            <w:tcW w:w="900" w:type="dxa"/>
          </w:tcPr>
          <w:p>
            <w:pPr>
              <w:pStyle w:val="TableParagraph"/>
              <w:spacing w:before="1"/>
              <w:rPr>
                <w:sz w:val="18"/>
              </w:rPr>
            </w:pPr>
            <w:r>
              <w:rPr>
                <w:color w:val="231F20"/>
                <w:sz w:val="18"/>
              </w:rPr>
              <w:t>8.00</w:t>
            </w:r>
          </w:p>
        </w:tc>
        <w:tc>
          <w:tcPr>
            <w:tcW w:w="200" w:type="dxa"/>
          </w:tcPr>
          <w:p>
            <w:pPr/>
          </w:p>
        </w:tc>
        <w:tc>
          <w:tcPr>
            <w:tcW w:w="1000" w:type="dxa"/>
          </w:tcPr>
          <w:p>
            <w:pPr/>
          </w:p>
        </w:tc>
        <w:tc>
          <w:tcPr>
            <w:tcW w:w="100" w:type="dxa"/>
          </w:tcPr>
          <w:p>
            <w:pPr/>
          </w:p>
        </w:tc>
        <w:tc>
          <w:tcPr>
            <w:tcW w:w="95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960" w:type="dxa"/>
            <w:tcBorders>
              <w:bottom w:val="single" w:sz="4" w:space="0" w:color="231F20"/>
            </w:tcBorders>
          </w:tcPr>
          <w:p>
            <w:pPr>
              <w:pStyle w:val="TableParagraph"/>
              <w:spacing w:before="1"/>
              <w:rPr>
                <w:sz w:val="18"/>
              </w:rPr>
            </w:pPr>
            <w:r>
              <w:rPr>
                <w:color w:val="231F20"/>
                <w:sz w:val="18"/>
              </w:rPr>
              <w:t>(27,847)</w:t>
            </w:r>
          </w:p>
        </w:tc>
        <w:tc>
          <w:tcPr>
            <w:tcW w:w="140" w:type="dxa"/>
          </w:tcPr>
          <w:p>
            <w:pPr/>
          </w:p>
        </w:tc>
        <w:tc>
          <w:tcPr>
            <w:tcW w:w="900" w:type="dxa"/>
          </w:tcPr>
          <w:p>
            <w:pPr>
              <w:pStyle w:val="TableParagraph"/>
              <w:spacing w:before="1"/>
              <w:rPr>
                <w:sz w:val="18"/>
              </w:rPr>
            </w:pPr>
            <w:r>
              <w:rPr>
                <w:color w:val="231F20"/>
                <w:sz w:val="18"/>
              </w:rPr>
              <w:t>14.85</w:t>
            </w:r>
          </w:p>
        </w:tc>
        <w:tc>
          <w:tcPr>
            <w:tcW w:w="200" w:type="dxa"/>
          </w:tcPr>
          <w:p>
            <w:pPr/>
          </w:p>
        </w:tc>
        <w:tc>
          <w:tcPr>
            <w:tcW w:w="1000" w:type="dxa"/>
          </w:tcPr>
          <w:p>
            <w:pPr/>
          </w:p>
        </w:tc>
        <w:tc>
          <w:tcPr>
            <w:tcW w:w="100" w:type="dxa"/>
          </w:tcPr>
          <w:p>
            <w:pPr/>
          </w:p>
        </w:tc>
        <w:tc>
          <w:tcPr>
            <w:tcW w:w="950" w:type="dxa"/>
          </w:tcPr>
          <w:p>
            <w:pPr/>
          </w:p>
        </w:tc>
      </w:tr>
      <w:tr>
        <w:trPr>
          <w:trHeight w:val="715" w:hRule="exact"/>
        </w:trPr>
        <w:tc>
          <w:tcPr>
            <w:tcW w:w="4970" w:type="dxa"/>
          </w:tcPr>
          <w:p>
            <w:pPr>
              <w:pStyle w:val="TableParagraph"/>
              <w:spacing w:line="254" w:lineRule="auto" w:before="57"/>
              <w:ind w:left="230" w:hanging="180"/>
              <w:jc w:val="left"/>
              <w:rPr>
                <w:sz w:val="18"/>
              </w:rPr>
            </w:pPr>
            <w:r>
              <w:rPr>
                <w:color w:val="231F20"/>
                <w:sz w:val="18"/>
              </w:rPr>
              <w:t>Outstanding December 31, 2012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960" w:type="dxa"/>
            <w:tcBorders>
              <w:top w:val="single" w:sz="4" w:space="0" w:color="231F20"/>
            </w:tcBorders>
          </w:tcPr>
          <w:p>
            <w:pPr>
              <w:pStyle w:val="TableParagraph"/>
              <w:spacing w:before="52"/>
              <w:ind w:left="384" w:right="40"/>
              <w:jc w:val="center"/>
              <w:rPr>
                <w:sz w:val="18"/>
              </w:rPr>
            </w:pPr>
            <w:r>
              <w:rPr>
                <w:color w:val="231F20"/>
                <w:sz w:val="18"/>
              </w:rPr>
              <w:t>18,910</w:t>
            </w:r>
          </w:p>
          <w:p>
            <w:pPr>
              <w:pStyle w:val="TableParagraph"/>
              <w:spacing w:line="254" w:lineRule="auto" w:before="13"/>
              <w:ind w:left="435" w:firstLine="45"/>
              <w:jc w:val="center"/>
              <w:rPr>
                <w:sz w:val="18"/>
              </w:rPr>
            </w:pPr>
            <w:r>
              <w:rPr>
                <w:color w:val="231F20"/>
                <w:sz w:val="18"/>
              </w:rPr>
              <w:t>— (6,633)</w:t>
            </w:r>
          </w:p>
        </w:tc>
        <w:tc>
          <w:tcPr>
            <w:tcW w:w="140" w:type="dxa"/>
          </w:tcPr>
          <w:p>
            <w:pPr/>
          </w:p>
        </w:tc>
        <w:tc>
          <w:tcPr>
            <w:tcW w:w="900" w:type="dxa"/>
          </w:tcPr>
          <w:p>
            <w:pPr>
              <w:pStyle w:val="TableParagraph"/>
              <w:tabs>
                <w:tab w:pos="494" w:val="left" w:leader="none"/>
              </w:tabs>
              <w:spacing w:before="57"/>
              <w:jc w:val="left"/>
              <w:rPr>
                <w:sz w:val="18"/>
              </w:rPr>
            </w:pPr>
            <w:r>
              <w:rPr>
                <w:color w:val="231F20"/>
                <w:sz w:val="18"/>
              </w:rPr>
              <w:t>$</w:t>
              <w:tab/>
              <w:t>14.19</w:t>
            </w:r>
          </w:p>
          <w:p>
            <w:pPr>
              <w:pStyle w:val="TableParagraph"/>
              <w:spacing w:line="254" w:lineRule="auto" w:before="13"/>
              <w:ind w:left="495" w:right="-20" w:firstLine="135"/>
              <w:jc w:val="left"/>
              <w:rPr>
                <w:sz w:val="18"/>
              </w:rPr>
            </w:pPr>
            <w:r>
              <w:rPr>
                <w:color w:val="231F20"/>
                <w:sz w:val="18"/>
              </w:rPr>
              <w:t>— 13.31</w:t>
            </w:r>
          </w:p>
        </w:tc>
        <w:tc>
          <w:tcPr>
            <w:tcW w:w="200" w:type="dxa"/>
          </w:tcPr>
          <w:p>
            <w:pPr/>
          </w:p>
        </w:tc>
        <w:tc>
          <w:tcPr>
            <w:tcW w:w="1000" w:type="dxa"/>
          </w:tcPr>
          <w:p>
            <w:pPr/>
          </w:p>
        </w:tc>
        <w:tc>
          <w:tcPr>
            <w:tcW w:w="100" w:type="dxa"/>
          </w:tcPr>
          <w:p>
            <w:pPr/>
          </w:p>
        </w:tc>
        <w:tc>
          <w:tcPr>
            <w:tcW w:w="95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960" w:type="dxa"/>
            <w:tcBorders>
              <w:bottom w:val="single" w:sz="4" w:space="0" w:color="231F20"/>
            </w:tcBorders>
          </w:tcPr>
          <w:p>
            <w:pPr>
              <w:pStyle w:val="TableParagraph"/>
              <w:spacing w:before="1"/>
              <w:rPr>
                <w:sz w:val="18"/>
              </w:rPr>
            </w:pPr>
            <w:r>
              <w:rPr>
                <w:color w:val="231F20"/>
                <w:sz w:val="18"/>
              </w:rPr>
              <w:t>(3,116)</w:t>
            </w:r>
          </w:p>
        </w:tc>
        <w:tc>
          <w:tcPr>
            <w:tcW w:w="140" w:type="dxa"/>
          </w:tcPr>
          <w:p>
            <w:pPr/>
          </w:p>
        </w:tc>
        <w:tc>
          <w:tcPr>
            <w:tcW w:w="900" w:type="dxa"/>
          </w:tcPr>
          <w:p>
            <w:pPr>
              <w:pStyle w:val="TableParagraph"/>
              <w:spacing w:before="1"/>
              <w:rPr>
                <w:sz w:val="18"/>
              </w:rPr>
            </w:pPr>
            <w:r>
              <w:rPr>
                <w:color w:val="231F20"/>
                <w:sz w:val="18"/>
              </w:rPr>
              <w:t>14.94</w:t>
            </w:r>
          </w:p>
        </w:tc>
        <w:tc>
          <w:tcPr>
            <w:tcW w:w="200" w:type="dxa"/>
          </w:tcPr>
          <w:p>
            <w:pPr/>
          </w:p>
        </w:tc>
        <w:tc>
          <w:tcPr>
            <w:tcW w:w="1000" w:type="dxa"/>
          </w:tcPr>
          <w:p>
            <w:pPr/>
          </w:p>
        </w:tc>
        <w:tc>
          <w:tcPr>
            <w:tcW w:w="100" w:type="dxa"/>
          </w:tcPr>
          <w:p>
            <w:pPr/>
          </w:p>
        </w:tc>
        <w:tc>
          <w:tcPr>
            <w:tcW w:w="950" w:type="dxa"/>
          </w:tcPr>
          <w:p>
            <w:pPr/>
          </w:p>
        </w:tc>
      </w:tr>
      <w:tr>
        <w:trPr>
          <w:trHeight w:val="320" w:hRule="exact"/>
        </w:trPr>
        <w:tc>
          <w:tcPr>
            <w:tcW w:w="4970" w:type="dxa"/>
          </w:tcPr>
          <w:p>
            <w:pPr>
              <w:pStyle w:val="TableParagraph"/>
              <w:spacing w:before="57"/>
              <w:ind w:right="153"/>
              <w:rPr>
                <w:sz w:val="18"/>
              </w:rPr>
            </w:pPr>
            <w:r>
              <w:rPr>
                <w:color w:val="231F20"/>
                <w:sz w:val="18"/>
              </w:rPr>
              <w:t>Outstanding December 31, 2013  . . . . . . . . . . . . . . . . . . . . . . . . . . </w:t>
            </w:r>
          </w:p>
        </w:tc>
        <w:tc>
          <w:tcPr>
            <w:tcW w:w="960" w:type="dxa"/>
            <w:tcBorders>
              <w:top w:val="single" w:sz="4" w:space="0" w:color="231F20"/>
              <w:bottom w:val="double" w:sz="7" w:space="0" w:color="231F20"/>
            </w:tcBorders>
          </w:tcPr>
          <w:p>
            <w:pPr>
              <w:pStyle w:val="TableParagraph"/>
              <w:spacing w:before="52"/>
              <w:ind w:right="57"/>
              <w:rPr>
                <w:sz w:val="18"/>
              </w:rPr>
            </w:pPr>
            <w:r>
              <w:rPr>
                <w:color w:val="231F20"/>
                <w:sz w:val="18"/>
              </w:rPr>
              <w:t>9,161</w:t>
            </w:r>
          </w:p>
        </w:tc>
        <w:tc>
          <w:tcPr>
            <w:tcW w:w="140" w:type="dxa"/>
          </w:tcPr>
          <w:p>
            <w:pPr/>
          </w:p>
        </w:tc>
        <w:tc>
          <w:tcPr>
            <w:tcW w:w="900" w:type="dxa"/>
          </w:tcPr>
          <w:p>
            <w:pPr>
              <w:pStyle w:val="TableParagraph"/>
              <w:tabs>
                <w:tab w:pos="494" w:val="left" w:leader="none"/>
              </w:tabs>
              <w:spacing w:before="57"/>
              <w:rPr>
                <w:sz w:val="18"/>
              </w:rPr>
            </w:pPr>
            <w:r>
              <w:rPr>
                <w:color w:val="231F20"/>
                <w:sz w:val="18"/>
              </w:rPr>
              <w:t>$</w:t>
              <w:tab/>
            </w:r>
            <w:r>
              <w:rPr>
                <w:color w:val="231F20"/>
                <w:spacing w:val="-1"/>
                <w:sz w:val="18"/>
              </w:rPr>
              <w:t>14.58</w:t>
            </w:r>
          </w:p>
        </w:tc>
        <w:tc>
          <w:tcPr>
            <w:tcW w:w="200" w:type="dxa"/>
          </w:tcPr>
          <w:p>
            <w:pPr/>
          </w:p>
        </w:tc>
        <w:tc>
          <w:tcPr>
            <w:tcW w:w="1000" w:type="dxa"/>
          </w:tcPr>
          <w:p>
            <w:pPr>
              <w:pStyle w:val="TableParagraph"/>
              <w:spacing w:before="57"/>
              <w:ind w:right="99"/>
              <w:rPr>
                <w:sz w:val="18"/>
              </w:rPr>
            </w:pPr>
            <w:r>
              <w:rPr>
                <w:color w:val="231F20"/>
                <w:sz w:val="18"/>
              </w:rPr>
              <w:t>1.9</w:t>
            </w:r>
          </w:p>
        </w:tc>
        <w:tc>
          <w:tcPr>
            <w:tcW w:w="100" w:type="dxa"/>
          </w:tcPr>
          <w:p>
            <w:pPr/>
          </w:p>
        </w:tc>
        <w:tc>
          <w:tcPr>
            <w:tcW w:w="950" w:type="dxa"/>
          </w:tcPr>
          <w:p>
            <w:pPr>
              <w:pStyle w:val="TableParagraph"/>
              <w:tabs>
                <w:tab w:pos="719" w:val="left" w:leader="none"/>
              </w:tabs>
              <w:spacing w:before="57"/>
              <w:ind w:right="48"/>
              <w:jc w:val="center"/>
              <w:rPr>
                <w:sz w:val="18"/>
              </w:rPr>
            </w:pPr>
            <w:r>
              <w:rPr>
                <w:color w:val="231F20"/>
                <w:sz w:val="18"/>
              </w:rPr>
              <w:t>$</w:t>
              <w:tab/>
              <w:t>39</w:t>
            </w:r>
          </w:p>
        </w:tc>
      </w:tr>
      <w:tr>
        <w:trPr>
          <w:trHeight w:val="295" w:hRule="exact"/>
        </w:trPr>
        <w:tc>
          <w:tcPr>
            <w:tcW w:w="4970" w:type="dxa"/>
          </w:tcPr>
          <w:p>
            <w:pPr>
              <w:pStyle w:val="TableParagraph"/>
              <w:spacing w:before="77"/>
              <w:ind w:right="153"/>
              <w:rPr>
                <w:sz w:val="18"/>
              </w:rPr>
            </w:pPr>
            <w:r>
              <w:rPr>
                <w:color w:val="231F20"/>
                <w:sz w:val="18"/>
              </w:rPr>
              <w:t>Vested or expected to vest at December 31, 2013 . . . . . . . . . . . . . </w:t>
            </w:r>
          </w:p>
        </w:tc>
        <w:tc>
          <w:tcPr>
            <w:tcW w:w="960" w:type="dxa"/>
            <w:tcBorders>
              <w:top w:val="double" w:sz="7" w:space="0" w:color="231F20"/>
            </w:tcBorders>
          </w:tcPr>
          <w:p>
            <w:pPr>
              <w:pStyle w:val="TableParagraph"/>
              <w:spacing w:before="52"/>
              <w:ind w:right="57"/>
              <w:rPr>
                <w:sz w:val="18"/>
              </w:rPr>
            </w:pPr>
            <w:r>
              <w:rPr>
                <w:color w:val="231F20"/>
                <w:sz w:val="18"/>
              </w:rPr>
              <w:t>9,137</w:t>
            </w:r>
          </w:p>
        </w:tc>
        <w:tc>
          <w:tcPr>
            <w:tcW w:w="140" w:type="dxa"/>
          </w:tcPr>
          <w:p>
            <w:pPr/>
          </w:p>
        </w:tc>
        <w:tc>
          <w:tcPr>
            <w:tcW w:w="900" w:type="dxa"/>
          </w:tcPr>
          <w:p>
            <w:pPr>
              <w:pStyle w:val="TableParagraph"/>
              <w:tabs>
                <w:tab w:pos="494" w:val="left" w:leader="none"/>
              </w:tabs>
              <w:spacing w:before="77"/>
              <w:rPr>
                <w:sz w:val="18"/>
              </w:rPr>
            </w:pPr>
            <w:r>
              <w:rPr>
                <w:color w:val="231F20"/>
                <w:sz w:val="18"/>
              </w:rPr>
              <w:t>$</w:t>
              <w:tab/>
            </w:r>
            <w:r>
              <w:rPr>
                <w:color w:val="231F20"/>
                <w:spacing w:val="-1"/>
                <w:sz w:val="18"/>
              </w:rPr>
              <w:t>14.58</w:t>
            </w:r>
          </w:p>
        </w:tc>
        <w:tc>
          <w:tcPr>
            <w:tcW w:w="200" w:type="dxa"/>
          </w:tcPr>
          <w:p>
            <w:pPr/>
          </w:p>
        </w:tc>
        <w:tc>
          <w:tcPr>
            <w:tcW w:w="1000" w:type="dxa"/>
          </w:tcPr>
          <w:p>
            <w:pPr>
              <w:pStyle w:val="TableParagraph"/>
              <w:spacing w:before="77"/>
              <w:ind w:right="99"/>
              <w:rPr>
                <w:sz w:val="18"/>
              </w:rPr>
            </w:pPr>
            <w:r>
              <w:rPr>
                <w:color w:val="231F20"/>
                <w:sz w:val="18"/>
              </w:rPr>
              <w:t>1.9</w:t>
            </w:r>
          </w:p>
        </w:tc>
        <w:tc>
          <w:tcPr>
            <w:tcW w:w="100" w:type="dxa"/>
          </w:tcPr>
          <w:p>
            <w:pPr/>
          </w:p>
        </w:tc>
        <w:tc>
          <w:tcPr>
            <w:tcW w:w="950" w:type="dxa"/>
          </w:tcPr>
          <w:p>
            <w:pPr>
              <w:pStyle w:val="TableParagraph"/>
              <w:tabs>
                <w:tab w:pos="719" w:val="left" w:leader="none"/>
              </w:tabs>
              <w:spacing w:before="77"/>
              <w:ind w:right="48"/>
              <w:jc w:val="center"/>
              <w:rPr>
                <w:sz w:val="18"/>
              </w:rPr>
            </w:pPr>
            <w:r>
              <w:rPr>
                <w:color w:val="231F20"/>
                <w:sz w:val="18"/>
              </w:rPr>
              <w:t>$</w:t>
              <w:tab/>
              <w:t>39</w:t>
            </w:r>
          </w:p>
        </w:tc>
      </w:tr>
      <w:tr>
        <w:trPr>
          <w:trHeight w:val="208" w:hRule="exact"/>
        </w:trPr>
        <w:tc>
          <w:tcPr>
            <w:tcW w:w="4970" w:type="dxa"/>
          </w:tcPr>
          <w:p>
            <w:pPr>
              <w:pStyle w:val="TableParagraph"/>
              <w:spacing w:before="1"/>
              <w:ind w:right="153"/>
              <w:rPr>
                <w:sz w:val="18"/>
              </w:rPr>
            </w:pPr>
            <w:r>
              <w:rPr>
                <w:color w:val="231F20"/>
                <w:sz w:val="18"/>
              </w:rPr>
              <w:t>Exercisable at December 31, 2013   . . . . . . . . . . . . . . . . . . . . . . . . </w:t>
            </w:r>
          </w:p>
        </w:tc>
        <w:tc>
          <w:tcPr>
            <w:tcW w:w="960" w:type="dxa"/>
          </w:tcPr>
          <w:p>
            <w:pPr>
              <w:pStyle w:val="TableParagraph"/>
              <w:spacing w:before="1"/>
              <w:ind w:right="57"/>
              <w:rPr>
                <w:sz w:val="18"/>
              </w:rPr>
            </w:pPr>
            <w:r>
              <w:rPr>
                <w:color w:val="231F20"/>
                <w:sz w:val="18"/>
              </w:rPr>
              <w:t>8,689</w:t>
            </w:r>
          </w:p>
        </w:tc>
        <w:tc>
          <w:tcPr>
            <w:tcW w:w="140" w:type="dxa"/>
          </w:tcPr>
          <w:p>
            <w:pPr/>
          </w:p>
        </w:tc>
        <w:tc>
          <w:tcPr>
            <w:tcW w:w="900" w:type="dxa"/>
          </w:tcPr>
          <w:p>
            <w:pPr>
              <w:pStyle w:val="TableParagraph"/>
              <w:tabs>
                <w:tab w:pos="494" w:val="left" w:leader="none"/>
              </w:tabs>
              <w:spacing w:before="1"/>
              <w:rPr>
                <w:sz w:val="18"/>
              </w:rPr>
            </w:pPr>
            <w:r>
              <w:rPr>
                <w:color w:val="231F20"/>
                <w:sz w:val="18"/>
              </w:rPr>
              <w:t>$</w:t>
              <w:tab/>
            </w:r>
            <w:r>
              <w:rPr>
                <w:color w:val="231F20"/>
                <w:spacing w:val="-1"/>
                <w:sz w:val="18"/>
              </w:rPr>
              <w:t>14.49</w:t>
            </w:r>
          </w:p>
        </w:tc>
        <w:tc>
          <w:tcPr>
            <w:tcW w:w="200" w:type="dxa"/>
          </w:tcPr>
          <w:p>
            <w:pPr/>
          </w:p>
        </w:tc>
        <w:tc>
          <w:tcPr>
            <w:tcW w:w="1000" w:type="dxa"/>
          </w:tcPr>
          <w:p>
            <w:pPr>
              <w:pStyle w:val="TableParagraph"/>
              <w:spacing w:before="1"/>
              <w:ind w:right="99"/>
              <w:rPr>
                <w:sz w:val="18"/>
              </w:rPr>
            </w:pPr>
            <w:r>
              <w:rPr>
                <w:color w:val="231F20"/>
                <w:sz w:val="18"/>
              </w:rPr>
              <w:t>1.9</w:t>
            </w:r>
          </w:p>
        </w:tc>
        <w:tc>
          <w:tcPr>
            <w:tcW w:w="100" w:type="dxa"/>
          </w:tcPr>
          <w:p>
            <w:pPr/>
          </w:p>
        </w:tc>
        <w:tc>
          <w:tcPr>
            <w:tcW w:w="950" w:type="dxa"/>
          </w:tcPr>
          <w:p>
            <w:pPr>
              <w:pStyle w:val="TableParagraph"/>
              <w:tabs>
                <w:tab w:pos="719" w:val="left" w:leader="none"/>
              </w:tabs>
              <w:spacing w:before="1"/>
              <w:ind w:right="48"/>
              <w:jc w:val="center"/>
              <w:rPr>
                <w:sz w:val="18"/>
              </w:rPr>
            </w:pPr>
            <w:r>
              <w:rPr>
                <w:color w:val="231F20"/>
                <w:sz w:val="18"/>
              </w:rPr>
              <w:t>$</w:t>
              <w:tab/>
              <w:t>38</w:t>
            </w:r>
          </w:p>
        </w:tc>
      </w:tr>
    </w:tbl>
    <w:p>
      <w:pPr>
        <w:pStyle w:val="BodyText"/>
        <w:spacing w:before="3"/>
        <w:rPr>
          <w:b/>
          <w:sz w:val="22"/>
        </w:rPr>
      </w:pPr>
    </w:p>
    <w:p>
      <w:pPr>
        <w:pStyle w:val="BodyText"/>
        <w:spacing w:line="249" w:lineRule="auto"/>
        <w:ind w:left="160" w:right="184" w:firstLine="490"/>
      </w:pPr>
      <w:r>
        <w:rPr>
          <w:color w:val="231F20"/>
        </w:rPr>
        <w:t>The total aggregate intrinsic value of options exercised for all plans during the years ended December 31, 2013, 2012, and 2011, was $22 million, $1 million, and $1 million, respectively. The total grant date fair value of shares vesting during the years ended December 31, 2013, 2012, and 2011, was $16 million, $13 million, and</w:t>
      </w:r>
    </w:p>
    <w:p>
      <w:pPr>
        <w:pStyle w:val="BodyText"/>
        <w:ind w:left="160"/>
      </w:pPr>
      <w:r>
        <w:rPr>
          <w:color w:val="231F20"/>
        </w:rPr>
        <w:t>$13 million, respectively.</w:t>
      </w:r>
    </w:p>
    <w:p>
      <w:pPr>
        <w:pStyle w:val="BodyText"/>
        <w:spacing w:before="5"/>
        <w:rPr>
          <w:sz w:val="32"/>
        </w:rPr>
      </w:pPr>
    </w:p>
    <w:p>
      <w:pPr>
        <w:pStyle w:val="Heading4"/>
        <w:ind w:left="410"/>
        <w:rPr>
          <w:i/>
        </w:rPr>
      </w:pPr>
      <w:r>
        <w:rPr>
          <w:i/>
          <w:color w:val="231F20"/>
        </w:rPr>
        <w:t>Employee Stock Purchase Plan</w:t>
      </w:r>
    </w:p>
    <w:p>
      <w:pPr>
        <w:pStyle w:val="BodyText"/>
        <w:spacing w:line="249" w:lineRule="auto" w:before="130"/>
        <w:ind w:left="160" w:right="600" w:firstLine="490"/>
      </w:pPr>
      <w:r>
        <w:rPr>
          <w:color w:val="231F20"/>
        </w:rPr>
        <w:t>Under the amended 1991 Employee Stock Purchase Plan (ESPP), which has been approved by Shareholders, the Company is authorized to issue up to a remaining balance of 11 million shares of the Company’s common stock to Employees of the Company. These shares may be issued at a price equal to 90</w:t>
      </w:r>
    </w:p>
    <w:p>
      <w:pPr>
        <w:spacing w:after="0" w:line="249" w:lineRule="auto"/>
        <w:sectPr>
          <w:pgSz w:w="11880" w:h="15480"/>
          <w:pgMar w:header="0" w:footer="1253" w:top="1240" w:bottom="1440" w:left="1220" w:right="1220"/>
        </w:sectPr>
      </w:pPr>
    </w:p>
    <w:p>
      <w:pPr>
        <w:pStyle w:val="BodyText"/>
        <w:spacing w:line="249" w:lineRule="auto" w:before="73"/>
        <w:ind w:left="160" w:right="229"/>
      </w:pPr>
      <w:r>
        <w:rPr/>
        <w:pict>
          <v:line style="position:absolute;mso-position-horizontal-relative:page;mso-position-vertical-relative:page;z-index:-327280" from="385pt,684.599976pt" to="450pt,684.599976pt" stroked="true" strokeweight=".5pt" strokecolor="#231f20">
            <v:stroke dashstyle="solid"/>
            <w10:wrap type="none"/>
          </v:line>
        </w:pict>
      </w:r>
      <w:r>
        <w:rPr/>
        <w:pict>
          <v:line style="position:absolute;mso-position-horizontal-relative:page;mso-position-vertical-relative:page;z-index:-327256" from="460pt,684.599976pt" to="525pt,684.599976pt" stroked="true" strokeweight=".5pt" strokecolor="#231f20">
            <v:stroke dashstyle="solid"/>
            <w10:wrap type="none"/>
          </v:line>
        </w:pict>
      </w:r>
      <w:r>
        <w:rPr>
          <w:color w:val="231F20"/>
        </w:rPr>
        <w:t>percent of the market value at the end of each monthly purchase period. Common stock purchases are paid for through periodic payroll deductions. For the years ended December 31, 2013, 2012, and 2011, participants under the plan purchased 1.5 million shares, 2.2 million shares, and 1.7 million shares at average prices of $12.03,</w:t>
      </w:r>
    </w:p>
    <w:p>
      <w:pPr>
        <w:pStyle w:val="BodyText"/>
        <w:spacing w:line="249" w:lineRule="auto" w:before="1"/>
        <w:ind w:left="160" w:right="385"/>
      </w:pPr>
      <w:r>
        <w:rPr>
          <w:color w:val="231F20"/>
        </w:rPr>
        <w:t>$8.01, and $9.73, respectively. The weighted-average fair value of each purchase right under the ESPP granted for the years ended December 31, 2013, 2012, and 2011, which is equal to the ten percent discount from the market value of the Common Stock at the end of each monthly purchase period, was $1.34, $0.89, and $1.03, respectively.</w:t>
      </w:r>
    </w:p>
    <w:p>
      <w:pPr>
        <w:pStyle w:val="BodyText"/>
        <w:spacing w:before="2"/>
        <w:rPr>
          <w:sz w:val="32"/>
        </w:rPr>
      </w:pPr>
    </w:p>
    <w:p>
      <w:pPr>
        <w:pStyle w:val="Heading4"/>
        <w:ind w:left="410"/>
        <w:rPr>
          <w:i/>
        </w:rPr>
      </w:pPr>
      <w:r>
        <w:rPr>
          <w:i/>
          <w:color w:val="231F20"/>
        </w:rPr>
        <w:t>Taxes</w:t>
      </w:r>
    </w:p>
    <w:p>
      <w:pPr>
        <w:pStyle w:val="BodyText"/>
        <w:spacing w:line="249" w:lineRule="auto" w:before="132"/>
        <w:ind w:left="160" w:right="202" w:firstLine="490"/>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8"/>
        </w:rPr>
        <w:t> </w:t>
      </w:r>
      <w:r>
        <w:rPr>
          <w:color w:val="231F20"/>
        </w:rPr>
        <w:t>variability.</w:t>
      </w:r>
    </w:p>
    <w:p>
      <w:pPr>
        <w:pStyle w:val="BodyText"/>
        <w:spacing w:before="1"/>
        <w:rPr>
          <w:sz w:val="32"/>
        </w:rPr>
      </w:pPr>
    </w:p>
    <w:p>
      <w:pPr>
        <w:pStyle w:val="Heading3"/>
        <w:numPr>
          <w:ilvl w:val="0"/>
          <w:numId w:val="13"/>
        </w:numPr>
        <w:tabs>
          <w:tab w:pos="460" w:val="left" w:leader="none"/>
        </w:tabs>
        <w:spacing w:line="240" w:lineRule="auto" w:before="0" w:after="0"/>
        <w:ind w:left="460" w:right="0" w:hanging="300"/>
        <w:jc w:val="left"/>
      </w:pPr>
      <w:r>
        <w:rPr>
          <w:color w:val="231F20"/>
        </w:rPr>
        <w:t>EMPLOYEE RETIREMENT</w:t>
      </w:r>
      <w:r>
        <w:rPr>
          <w:color w:val="231F20"/>
          <w:spacing w:val="-5"/>
        </w:rPr>
        <w:t> </w:t>
      </w:r>
      <w:r>
        <w:rPr>
          <w:color w:val="231F20"/>
        </w:rPr>
        <w:t>PLANS</w:t>
      </w:r>
    </w:p>
    <w:p>
      <w:pPr>
        <w:pStyle w:val="Heading4"/>
        <w:spacing w:before="132"/>
        <w:ind w:left="410"/>
        <w:rPr>
          <w:i/>
        </w:rPr>
      </w:pPr>
      <w:r>
        <w:rPr>
          <w:i/>
          <w:color w:val="231F20"/>
        </w:rPr>
        <w:t>Defined contribution plans</w:t>
      </w:r>
    </w:p>
    <w:p>
      <w:pPr>
        <w:pStyle w:val="BodyText"/>
        <w:spacing w:line="249" w:lineRule="auto" w:before="132"/>
        <w:ind w:left="160" w:right="258" w:firstLine="490"/>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 allowed. AirTran Employees became eligible to participate in Southwest’s ProfitSharing Plan beginning  January 1,</w:t>
      </w:r>
      <w:r>
        <w:rPr>
          <w:color w:val="231F20"/>
          <w:spacing w:val="1"/>
        </w:rPr>
        <w:t> </w:t>
      </w:r>
      <w:r>
        <w:rPr>
          <w:color w:val="231F20"/>
        </w:rPr>
        <w:t>2012.</w:t>
      </w:r>
    </w:p>
    <w:p>
      <w:pPr>
        <w:pStyle w:val="BodyText"/>
        <w:spacing w:before="5"/>
        <w:rPr>
          <w:sz w:val="21"/>
        </w:rPr>
      </w:pPr>
    </w:p>
    <w:p>
      <w:pPr>
        <w:pStyle w:val="BodyText"/>
        <w:spacing w:line="249" w:lineRule="auto"/>
        <w:ind w:left="160" w:right="338" w:firstLine="490"/>
      </w:pPr>
      <w:r>
        <w:rPr>
          <w:color w:val="231F20"/>
        </w:rPr>
        <w:t>Company contributions to all defined contribution plans expensed in 2013, 2012, and 2011, reflected as a component of Salaries, wages, and benefits, were $497 million, $370 million, and $316 million, respectively.</w:t>
      </w:r>
    </w:p>
    <w:p>
      <w:pPr>
        <w:pStyle w:val="BodyText"/>
        <w:spacing w:before="2"/>
        <w:rPr>
          <w:sz w:val="32"/>
        </w:rPr>
      </w:pPr>
    </w:p>
    <w:p>
      <w:pPr>
        <w:pStyle w:val="Heading4"/>
        <w:ind w:left="410"/>
        <w:rPr>
          <w:i/>
        </w:rPr>
      </w:pPr>
      <w:r>
        <w:rPr>
          <w:i/>
          <w:color w:val="231F20"/>
        </w:rPr>
        <w:t>Postretirement benefit plans</w:t>
      </w:r>
    </w:p>
    <w:p>
      <w:pPr>
        <w:pStyle w:val="BodyText"/>
        <w:spacing w:line="249" w:lineRule="auto" w:before="133"/>
        <w:ind w:left="160" w:right="289" w:firstLine="490"/>
      </w:pPr>
      <w:r>
        <w:rPr>
          <w:color w:val="231F20"/>
        </w:rPr>
        <w:t>Southwest and AirTran provide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 65.</w:t>
      </w:r>
    </w:p>
    <w:p>
      <w:pPr>
        <w:pStyle w:val="BodyText"/>
        <w:spacing w:before="5"/>
        <w:rPr>
          <w:sz w:val="21"/>
        </w:rPr>
      </w:pPr>
    </w:p>
    <w:p>
      <w:pPr>
        <w:pStyle w:val="BodyText"/>
        <w:spacing w:line="249" w:lineRule="auto"/>
        <w:ind w:left="160" w:right="205" w:firstLine="490"/>
      </w:pPr>
      <w:r>
        <w:rPr>
          <w:color w:val="231F20"/>
        </w:rPr>
        <w:t>The following table shows the change in the accumulated postretirement benefit obligation (APBO) for the years ended December 31, 2013 and 2012:</w:t>
      </w:r>
    </w:p>
    <w:p>
      <w:pPr>
        <w:pStyle w:val="BodyText"/>
        <w:spacing w:before="4"/>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15"/>
        <w:gridCol w:w="155"/>
        <w:gridCol w:w="920"/>
        <w:gridCol w:w="440"/>
        <w:gridCol w:w="140"/>
        <w:gridCol w:w="920"/>
        <w:gridCol w:w="440"/>
      </w:tblGrid>
      <w:tr>
        <w:trPr>
          <w:trHeight w:val="212" w:hRule="exact"/>
        </w:trPr>
        <w:tc>
          <w:tcPr>
            <w:tcW w:w="6215" w:type="dxa"/>
            <w:tcBorders>
              <w:bottom w:val="single" w:sz="8" w:space="0" w:color="231F20"/>
            </w:tcBorders>
          </w:tcPr>
          <w:p>
            <w:pPr>
              <w:pStyle w:val="TableParagraph"/>
              <w:spacing w:line="177" w:lineRule="exact"/>
              <w:ind w:left="50"/>
              <w:jc w:val="left"/>
              <w:rPr>
                <w:b/>
                <w:sz w:val="16"/>
              </w:rPr>
            </w:pPr>
            <w:r>
              <w:rPr>
                <w:b/>
                <w:color w:val="231F20"/>
                <w:sz w:val="16"/>
              </w:rPr>
              <w:t>(in millions)</w:t>
            </w:r>
          </w:p>
        </w:tc>
        <w:tc>
          <w:tcPr>
            <w:tcW w:w="155" w:type="dxa"/>
          </w:tcPr>
          <w:p>
            <w:pPr/>
          </w:p>
        </w:tc>
        <w:tc>
          <w:tcPr>
            <w:tcW w:w="920" w:type="dxa"/>
            <w:tcBorders>
              <w:bottom w:val="single" w:sz="8" w:space="0" w:color="231F20"/>
            </w:tcBorders>
          </w:tcPr>
          <w:p>
            <w:pPr>
              <w:pStyle w:val="TableParagraph"/>
              <w:spacing w:line="177" w:lineRule="exact"/>
              <w:ind w:left="490"/>
              <w:jc w:val="left"/>
              <w:rPr>
                <w:b/>
                <w:sz w:val="16"/>
              </w:rPr>
            </w:pPr>
            <w:r>
              <w:rPr>
                <w:b/>
                <w:color w:val="231F20"/>
                <w:sz w:val="16"/>
              </w:rPr>
              <w:t>2013</w:t>
            </w:r>
          </w:p>
        </w:tc>
        <w:tc>
          <w:tcPr>
            <w:tcW w:w="440" w:type="dxa"/>
            <w:tcBorders>
              <w:bottom w:val="single" w:sz="8" w:space="0" w:color="231F20"/>
            </w:tcBorders>
          </w:tcPr>
          <w:p>
            <w:pPr/>
          </w:p>
        </w:tc>
        <w:tc>
          <w:tcPr>
            <w:tcW w:w="140" w:type="dxa"/>
          </w:tcPr>
          <w:p>
            <w:pPr/>
          </w:p>
        </w:tc>
        <w:tc>
          <w:tcPr>
            <w:tcW w:w="920" w:type="dxa"/>
            <w:tcBorders>
              <w:bottom w:val="single" w:sz="8" w:space="0" w:color="231F20"/>
            </w:tcBorders>
          </w:tcPr>
          <w:p>
            <w:pPr>
              <w:pStyle w:val="TableParagraph"/>
              <w:spacing w:line="177" w:lineRule="exact"/>
              <w:ind w:left="490"/>
              <w:jc w:val="left"/>
              <w:rPr>
                <w:b/>
                <w:sz w:val="16"/>
              </w:rPr>
            </w:pPr>
            <w:r>
              <w:rPr>
                <w:b/>
                <w:color w:val="231F20"/>
                <w:sz w:val="16"/>
              </w:rPr>
              <w:t>2012</w:t>
            </w:r>
          </w:p>
        </w:tc>
        <w:tc>
          <w:tcPr>
            <w:tcW w:w="440" w:type="dxa"/>
            <w:tcBorders>
              <w:bottom w:val="single" w:sz="8" w:space="0" w:color="231F20"/>
            </w:tcBorders>
          </w:tcPr>
          <w:p>
            <w:pPr/>
          </w:p>
        </w:tc>
      </w:tr>
      <w:tr>
        <w:trPr>
          <w:trHeight w:val="280" w:hRule="exact"/>
        </w:trPr>
        <w:tc>
          <w:tcPr>
            <w:tcW w:w="6215" w:type="dxa"/>
            <w:tcBorders>
              <w:top w:val="single" w:sz="8" w:space="0" w:color="231F20"/>
            </w:tcBorders>
          </w:tcPr>
          <w:p>
            <w:pPr>
              <w:pStyle w:val="TableParagraph"/>
              <w:spacing w:before="52"/>
              <w:ind w:left="50"/>
              <w:jc w:val="left"/>
              <w:rPr>
                <w:sz w:val="18"/>
              </w:rPr>
            </w:pPr>
            <w:r>
              <w:rPr>
                <w:color w:val="231F20"/>
                <w:sz w:val="18"/>
              </w:rPr>
              <w:t>APBO at beginning of period  . . . . . . . . . . . . . . . . . . . . . . . . . . . . . . . . . . . . . . . . . . . . </w:t>
            </w:r>
          </w:p>
        </w:tc>
        <w:tc>
          <w:tcPr>
            <w:tcW w:w="155" w:type="dxa"/>
          </w:tcPr>
          <w:p>
            <w:pPr/>
          </w:p>
        </w:tc>
        <w:tc>
          <w:tcPr>
            <w:tcW w:w="920" w:type="dxa"/>
            <w:tcBorders>
              <w:top w:val="single" w:sz="8" w:space="0" w:color="231F20"/>
            </w:tcBorders>
          </w:tcPr>
          <w:p>
            <w:pPr>
              <w:pStyle w:val="TableParagraph"/>
              <w:spacing w:before="52"/>
              <w:jc w:val="left"/>
              <w:rPr>
                <w:sz w:val="18"/>
              </w:rPr>
            </w:pPr>
            <w:r>
              <w:rPr>
                <w:color w:val="231F20"/>
                <w:sz w:val="18"/>
              </w:rPr>
              <w:t>$</w:t>
            </w:r>
          </w:p>
        </w:tc>
        <w:tc>
          <w:tcPr>
            <w:tcW w:w="440" w:type="dxa"/>
            <w:tcBorders>
              <w:top w:val="single" w:sz="8" w:space="0" w:color="231F20"/>
            </w:tcBorders>
          </w:tcPr>
          <w:p>
            <w:pPr>
              <w:pStyle w:val="TableParagraph"/>
              <w:spacing w:before="52"/>
              <w:ind w:left="109"/>
              <w:jc w:val="left"/>
              <w:rPr>
                <w:sz w:val="18"/>
              </w:rPr>
            </w:pPr>
            <w:r>
              <w:rPr>
                <w:color w:val="231F20"/>
                <w:sz w:val="18"/>
              </w:rPr>
              <w:t>148</w:t>
            </w:r>
          </w:p>
        </w:tc>
        <w:tc>
          <w:tcPr>
            <w:tcW w:w="140" w:type="dxa"/>
          </w:tcPr>
          <w:p>
            <w:pPr/>
          </w:p>
        </w:tc>
        <w:tc>
          <w:tcPr>
            <w:tcW w:w="920" w:type="dxa"/>
            <w:tcBorders>
              <w:top w:val="single" w:sz="8" w:space="0" w:color="231F20"/>
            </w:tcBorders>
          </w:tcPr>
          <w:p>
            <w:pPr>
              <w:pStyle w:val="TableParagraph"/>
              <w:spacing w:before="52"/>
              <w:jc w:val="left"/>
              <w:rPr>
                <w:sz w:val="18"/>
              </w:rPr>
            </w:pPr>
            <w:r>
              <w:rPr>
                <w:color w:val="231F20"/>
                <w:sz w:val="18"/>
              </w:rPr>
              <w:t>$</w:t>
            </w:r>
          </w:p>
        </w:tc>
        <w:tc>
          <w:tcPr>
            <w:tcW w:w="440" w:type="dxa"/>
            <w:tcBorders>
              <w:top w:val="single" w:sz="8" w:space="0" w:color="231F20"/>
            </w:tcBorders>
          </w:tcPr>
          <w:p>
            <w:pPr>
              <w:pStyle w:val="TableParagraph"/>
              <w:spacing w:before="52"/>
              <w:ind w:right="57"/>
              <w:rPr>
                <w:sz w:val="18"/>
              </w:rPr>
            </w:pPr>
            <w:r>
              <w:rPr>
                <w:color w:val="231F20"/>
                <w:sz w:val="18"/>
              </w:rPr>
              <w:t>107</w:t>
            </w:r>
          </w:p>
        </w:tc>
      </w:tr>
      <w:tr>
        <w:trPr>
          <w:trHeight w:val="220" w:hRule="exact"/>
        </w:trPr>
        <w:tc>
          <w:tcPr>
            <w:tcW w:w="6215" w:type="dxa"/>
          </w:tcPr>
          <w:p>
            <w:pPr>
              <w:pStyle w:val="TableParagraph"/>
              <w:spacing w:before="1"/>
              <w:rPr>
                <w:sz w:val="18"/>
              </w:rPr>
            </w:pPr>
            <w:r>
              <w:rPr>
                <w:color w:val="231F20"/>
                <w:sz w:val="18"/>
              </w:rPr>
              <w:t>Service cost  . . . . . . . . . . . . . . . . . . . . . . . . . . . . . . . . . . . . . . . . . . . . . . . . . . . . . . . . </w:t>
            </w:r>
          </w:p>
        </w:tc>
        <w:tc>
          <w:tcPr>
            <w:tcW w:w="155" w:type="dxa"/>
          </w:tcPr>
          <w:p>
            <w:pPr/>
          </w:p>
        </w:tc>
        <w:tc>
          <w:tcPr>
            <w:tcW w:w="920" w:type="dxa"/>
          </w:tcPr>
          <w:p>
            <w:pPr/>
          </w:p>
        </w:tc>
        <w:tc>
          <w:tcPr>
            <w:tcW w:w="440" w:type="dxa"/>
          </w:tcPr>
          <w:p>
            <w:pPr>
              <w:pStyle w:val="TableParagraph"/>
              <w:spacing w:before="1"/>
              <w:ind w:left="199"/>
              <w:jc w:val="left"/>
              <w:rPr>
                <w:sz w:val="18"/>
              </w:rPr>
            </w:pPr>
            <w:r>
              <w:rPr>
                <w:color w:val="231F20"/>
                <w:sz w:val="18"/>
              </w:rPr>
              <w:t>30</w:t>
            </w:r>
          </w:p>
        </w:tc>
        <w:tc>
          <w:tcPr>
            <w:tcW w:w="140" w:type="dxa"/>
          </w:tcPr>
          <w:p>
            <w:pPr/>
          </w:p>
        </w:tc>
        <w:tc>
          <w:tcPr>
            <w:tcW w:w="920" w:type="dxa"/>
          </w:tcPr>
          <w:p>
            <w:pPr/>
          </w:p>
        </w:tc>
        <w:tc>
          <w:tcPr>
            <w:tcW w:w="440" w:type="dxa"/>
          </w:tcPr>
          <w:p>
            <w:pPr>
              <w:pStyle w:val="TableParagraph"/>
              <w:spacing w:before="1"/>
              <w:ind w:right="57"/>
              <w:rPr>
                <w:sz w:val="18"/>
              </w:rPr>
            </w:pPr>
            <w:r>
              <w:rPr>
                <w:color w:val="231F20"/>
                <w:sz w:val="18"/>
              </w:rPr>
              <w:t>20</w:t>
            </w:r>
          </w:p>
        </w:tc>
      </w:tr>
      <w:tr>
        <w:trPr>
          <w:trHeight w:val="220" w:hRule="exact"/>
        </w:trPr>
        <w:tc>
          <w:tcPr>
            <w:tcW w:w="6215" w:type="dxa"/>
          </w:tcPr>
          <w:p>
            <w:pPr>
              <w:pStyle w:val="TableParagraph"/>
              <w:spacing w:before="1"/>
              <w:rPr>
                <w:sz w:val="18"/>
              </w:rPr>
            </w:pPr>
            <w:r>
              <w:rPr>
                <w:color w:val="231F20"/>
                <w:sz w:val="18"/>
              </w:rPr>
              <w:t>Interest cost  . . . . . . . . . . . . . . . . . . . . . . . . . . . . . . . . . . . . . . . . . . . . . . . . . . . . . . . . </w:t>
            </w:r>
          </w:p>
        </w:tc>
        <w:tc>
          <w:tcPr>
            <w:tcW w:w="155" w:type="dxa"/>
          </w:tcPr>
          <w:p>
            <w:pPr/>
          </w:p>
        </w:tc>
        <w:tc>
          <w:tcPr>
            <w:tcW w:w="920" w:type="dxa"/>
          </w:tcPr>
          <w:p>
            <w:pPr/>
          </w:p>
        </w:tc>
        <w:tc>
          <w:tcPr>
            <w:tcW w:w="440" w:type="dxa"/>
          </w:tcPr>
          <w:p>
            <w:pPr>
              <w:pStyle w:val="TableParagraph"/>
              <w:spacing w:before="1"/>
              <w:ind w:left="289"/>
              <w:jc w:val="left"/>
              <w:rPr>
                <w:sz w:val="18"/>
              </w:rPr>
            </w:pPr>
            <w:r>
              <w:rPr>
                <w:color w:val="231F20"/>
                <w:sz w:val="18"/>
              </w:rPr>
              <w:t>4</w:t>
            </w:r>
          </w:p>
        </w:tc>
        <w:tc>
          <w:tcPr>
            <w:tcW w:w="140" w:type="dxa"/>
          </w:tcPr>
          <w:p>
            <w:pPr/>
          </w:p>
        </w:tc>
        <w:tc>
          <w:tcPr>
            <w:tcW w:w="920" w:type="dxa"/>
          </w:tcPr>
          <w:p>
            <w:pPr/>
          </w:p>
        </w:tc>
        <w:tc>
          <w:tcPr>
            <w:tcW w:w="440" w:type="dxa"/>
          </w:tcPr>
          <w:p>
            <w:pPr>
              <w:pStyle w:val="TableParagraph"/>
              <w:spacing w:before="1"/>
              <w:ind w:right="57"/>
              <w:rPr>
                <w:sz w:val="18"/>
              </w:rPr>
            </w:pPr>
            <w:r>
              <w:rPr>
                <w:color w:val="231F20"/>
                <w:sz w:val="18"/>
              </w:rPr>
              <w:t>4</w:t>
            </w:r>
          </w:p>
        </w:tc>
      </w:tr>
      <w:tr>
        <w:trPr>
          <w:trHeight w:val="220" w:hRule="exact"/>
        </w:trPr>
        <w:tc>
          <w:tcPr>
            <w:tcW w:w="6215" w:type="dxa"/>
          </w:tcPr>
          <w:p>
            <w:pPr>
              <w:pStyle w:val="TableParagraph"/>
              <w:spacing w:before="1"/>
              <w:rPr>
                <w:sz w:val="18"/>
              </w:rPr>
            </w:pPr>
            <w:r>
              <w:rPr>
                <w:color w:val="231F20"/>
                <w:sz w:val="18"/>
              </w:rPr>
              <w:t>Benefits paid  . . . . . . . . . . . . . . . . . . . . . . . . . . . . . . . . . . . . . . . . . . . . . . . . . . . . . . . </w:t>
            </w:r>
          </w:p>
        </w:tc>
        <w:tc>
          <w:tcPr>
            <w:tcW w:w="155" w:type="dxa"/>
          </w:tcPr>
          <w:p>
            <w:pPr/>
          </w:p>
        </w:tc>
        <w:tc>
          <w:tcPr>
            <w:tcW w:w="920" w:type="dxa"/>
          </w:tcPr>
          <w:p>
            <w:pPr/>
          </w:p>
        </w:tc>
        <w:tc>
          <w:tcPr>
            <w:tcW w:w="440" w:type="dxa"/>
          </w:tcPr>
          <w:p>
            <w:pPr>
              <w:pStyle w:val="TableParagraph"/>
              <w:spacing w:before="1"/>
              <w:rPr>
                <w:sz w:val="18"/>
              </w:rPr>
            </w:pPr>
            <w:r>
              <w:rPr>
                <w:color w:val="231F20"/>
                <w:sz w:val="18"/>
              </w:rPr>
              <w:t>(3)</w:t>
            </w:r>
          </w:p>
        </w:tc>
        <w:tc>
          <w:tcPr>
            <w:tcW w:w="140" w:type="dxa"/>
          </w:tcPr>
          <w:p>
            <w:pPr/>
          </w:p>
        </w:tc>
        <w:tc>
          <w:tcPr>
            <w:tcW w:w="920" w:type="dxa"/>
          </w:tcPr>
          <w:p>
            <w:pPr/>
          </w:p>
        </w:tc>
        <w:tc>
          <w:tcPr>
            <w:tcW w:w="440" w:type="dxa"/>
          </w:tcPr>
          <w:p>
            <w:pPr>
              <w:pStyle w:val="TableParagraph"/>
              <w:spacing w:before="1"/>
              <w:rPr>
                <w:sz w:val="18"/>
              </w:rPr>
            </w:pPr>
            <w:r>
              <w:rPr>
                <w:color w:val="231F20"/>
                <w:sz w:val="18"/>
              </w:rPr>
              <w:t>(5)</w:t>
            </w:r>
          </w:p>
        </w:tc>
      </w:tr>
      <w:tr>
        <w:trPr>
          <w:trHeight w:val="220" w:hRule="exact"/>
        </w:trPr>
        <w:tc>
          <w:tcPr>
            <w:tcW w:w="6215" w:type="dxa"/>
          </w:tcPr>
          <w:p>
            <w:pPr>
              <w:pStyle w:val="TableParagraph"/>
              <w:spacing w:before="1"/>
              <w:rPr>
                <w:sz w:val="18"/>
              </w:rPr>
            </w:pPr>
            <w:r>
              <w:rPr>
                <w:color w:val="231F20"/>
                <w:sz w:val="18"/>
              </w:rPr>
              <w:t>Credit for prior service  . . . . . . . . . . . . . . . . . . . . . . . . . . . . . . . . . . . . . . . . . . . . . . . </w:t>
            </w:r>
          </w:p>
        </w:tc>
        <w:tc>
          <w:tcPr>
            <w:tcW w:w="155" w:type="dxa"/>
          </w:tcPr>
          <w:p>
            <w:pPr/>
          </w:p>
        </w:tc>
        <w:tc>
          <w:tcPr>
            <w:tcW w:w="920" w:type="dxa"/>
          </w:tcPr>
          <w:p>
            <w:pPr/>
          </w:p>
        </w:tc>
        <w:tc>
          <w:tcPr>
            <w:tcW w:w="440" w:type="dxa"/>
          </w:tcPr>
          <w:p>
            <w:pPr>
              <w:pStyle w:val="TableParagraph"/>
              <w:spacing w:before="1"/>
              <w:ind w:left="109"/>
              <w:jc w:val="left"/>
              <w:rPr>
                <w:sz w:val="18"/>
              </w:rPr>
            </w:pPr>
            <w:r>
              <w:rPr>
                <w:color w:val="231F20"/>
                <w:sz w:val="18"/>
              </w:rPr>
              <w:t>—</w:t>
            </w:r>
          </w:p>
        </w:tc>
        <w:tc>
          <w:tcPr>
            <w:tcW w:w="140" w:type="dxa"/>
          </w:tcPr>
          <w:p>
            <w:pPr/>
          </w:p>
        </w:tc>
        <w:tc>
          <w:tcPr>
            <w:tcW w:w="920" w:type="dxa"/>
          </w:tcPr>
          <w:p>
            <w:pPr/>
          </w:p>
        </w:tc>
        <w:tc>
          <w:tcPr>
            <w:tcW w:w="440" w:type="dxa"/>
          </w:tcPr>
          <w:p>
            <w:pPr>
              <w:pStyle w:val="TableParagraph"/>
              <w:spacing w:before="1"/>
              <w:ind w:right="57"/>
              <w:rPr>
                <w:sz w:val="18"/>
              </w:rPr>
            </w:pPr>
            <w:r>
              <w:rPr>
                <w:color w:val="231F20"/>
                <w:sz w:val="18"/>
              </w:rPr>
              <w:t>17</w:t>
            </w:r>
          </w:p>
        </w:tc>
      </w:tr>
      <w:tr>
        <w:trPr>
          <w:trHeight w:val="245" w:hRule="exact"/>
        </w:trPr>
        <w:tc>
          <w:tcPr>
            <w:tcW w:w="6215" w:type="dxa"/>
          </w:tcPr>
          <w:p>
            <w:pPr>
              <w:pStyle w:val="TableParagraph"/>
              <w:spacing w:before="1"/>
              <w:rPr>
                <w:sz w:val="18"/>
              </w:rPr>
            </w:pPr>
            <w:r>
              <w:rPr>
                <w:color w:val="231F20"/>
                <w:sz w:val="18"/>
              </w:rPr>
              <w:t>Actuarial (gain)/loss  . . . . . . . . . . . . . . . . . . . . . . . . . . . . . . . . . . . . . . . . . . . . . . . . . </w:t>
            </w:r>
          </w:p>
        </w:tc>
        <w:tc>
          <w:tcPr>
            <w:tcW w:w="155" w:type="dxa"/>
          </w:tcPr>
          <w:p>
            <w:pPr/>
          </w:p>
        </w:tc>
        <w:tc>
          <w:tcPr>
            <w:tcW w:w="920" w:type="dxa"/>
            <w:tcBorders>
              <w:bottom w:val="single" w:sz="4" w:space="0" w:color="231F20"/>
            </w:tcBorders>
          </w:tcPr>
          <w:p>
            <w:pPr/>
          </w:p>
        </w:tc>
        <w:tc>
          <w:tcPr>
            <w:tcW w:w="440" w:type="dxa"/>
            <w:tcBorders>
              <w:bottom w:val="single" w:sz="4" w:space="0" w:color="231F20"/>
            </w:tcBorders>
          </w:tcPr>
          <w:p>
            <w:pPr>
              <w:pStyle w:val="TableParagraph"/>
              <w:spacing w:before="1"/>
              <w:rPr>
                <w:sz w:val="18"/>
              </w:rPr>
            </w:pPr>
            <w:r>
              <w:rPr>
                <w:color w:val="231F20"/>
                <w:sz w:val="18"/>
              </w:rPr>
              <w:t>(41)</w:t>
            </w:r>
          </w:p>
        </w:tc>
        <w:tc>
          <w:tcPr>
            <w:tcW w:w="140" w:type="dxa"/>
          </w:tcPr>
          <w:p>
            <w:pPr/>
          </w:p>
        </w:tc>
        <w:tc>
          <w:tcPr>
            <w:tcW w:w="920" w:type="dxa"/>
            <w:tcBorders>
              <w:bottom w:val="single" w:sz="4" w:space="0" w:color="231F20"/>
            </w:tcBorders>
          </w:tcPr>
          <w:p>
            <w:pPr/>
          </w:p>
        </w:tc>
        <w:tc>
          <w:tcPr>
            <w:tcW w:w="440" w:type="dxa"/>
            <w:tcBorders>
              <w:bottom w:val="single" w:sz="4" w:space="0" w:color="231F20"/>
            </w:tcBorders>
          </w:tcPr>
          <w:p>
            <w:pPr>
              <w:pStyle w:val="TableParagraph"/>
              <w:spacing w:before="1"/>
              <w:ind w:right="57"/>
              <w:rPr>
                <w:sz w:val="18"/>
              </w:rPr>
            </w:pPr>
            <w:r>
              <w:rPr>
                <w:color w:val="231F20"/>
                <w:sz w:val="18"/>
              </w:rPr>
              <w:t>5</w:t>
            </w:r>
          </w:p>
        </w:tc>
      </w:tr>
      <w:tr>
        <w:trPr>
          <w:trHeight w:val="340" w:hRule="exact"/>
        </w:trPr>
        <w:tc>
          <w:tcPr>
            <w:tcW w:w="6215" w:type="dxa"/>
          </w:tcPr>
          <w:p>
            <w:pPr>
              <w:pStyle w:val="TableParagraph"/>
              <w:spacing w:before="57"/>
              <w:ind w:left="50"/>
              <w:jc w:val="left"/>
              <w:rPr>
                <w:sz w:val="18"/>
              </w:rPr>
            </w:pPr>
            <w:r>
              <w:rPr>
                <w:color w:val="231F20"/>
                <w:sz w:val="18"/>
              </w:rPr>
              <w:t>APBO at end of period  . . . . . . . . . . . . . . . . . . . . . . . . . . . . . . . . . . . . . . . . . . . . . . . . . </w:t>
            </w:r>
          </w:p>
        </w:tc>
        <w:tc>
          <w:tcPr>
            <w:tcW w:w="155" w:type="dxa"/>
          </w:tcPr>
          <w:p>
            <w:pPr/>
          </w:p>
        </w:tc>
        <w:tc>
          <w:tcPr>
            <w:tcW w:w="92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440" w:type="dxa"/>
            <w:tcBorders>
              <w:top w:val="single" w:sz="4" w:space="0" w:color="231F20"/>
              <w:bottom w:val="single" w:sz="4" w:space="0" w:color="231F20"/>
            </w:tcBorders>
          </w:tcPr>
          <w:p>
            <w:pPr>
              <w:pStyle w:val="TableParagraph"/>
              <w:spacing w:before="52"/>
              <w:ind w:left="109"/>
              <w:jc w:val="left"/>
              <w:rPr>
                <w:sz w:val="18"/>
              </w:rPr>
            </w:pPr>
            <w:r>
              <w:rPr>
                <w:color w:val="231F20"/>
                <w:sz w:val="18"/>
              </w:rPr>
              <w:t>138</w:t>
            </w:r>
          </w:p>
        </w:tc>
        <w:tc>
          <w:tcPr>
            <w:tcW w:w="140" w:type="dxa"/>
          </w:tcPr>
          <w:p>
            <w:pPr/>
          </w:p>
        </w:tc>
        <w:tc>
          <w:tcPr>
            <w:tcW w:w="92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440" w:type="dxa"/>
            <w:tcBorders>
              <w:top w:val="single" w:sz="4" w:space="0" w:color="231F20"/>
              <w:bottom w:val="single" w:sz="4" w:space="0" w:color="231F20"/>
            </w:tcBorders>
          </w:tcPr>
          <w:p>
            <w:pPr>
              <w:pStyle w:val="TableParagraph"/>
              <w:spacing w:before="52"/>
              <w:ind w:right="57"/>
              <w:rPr>
                <w:sz w:val="18"/>
              </w:rPr>
            </w:pPr>
            <w:r>
              <w:rPr>
                <w:color w:val="231F20"/>
                <w:sz w:val="18"/>
              </w:rPr>
              <w:t>148</w:t>
            </w:r>
          </w:p>
        </w:tc>
      </w:tr>
    </w:tbl>
    <w:p>
      <w:pPr>
        <w:spacing w:after="0"/>
        <w:rPr>
          <w:sz w:val="18"/>
        </w:rPr>
        <w:sectPr>
          <w:pgSz w:w="11880" w:h="15480"/>
          <w:pgMar w:header="0" w:footer="1253" w:top="1240" w:bottom="1440" w:left="1220" w:right="1220"/>
        </w:sectPr>
      </w:pPr>
    </w:p>
    <w:p>
      <w:pPr>
        <w:pStyle w:val="BodyText"/>
        <w:spacing w:line="249" w:lineRule="auto" w:before="73"/>
        <w:ind w:left="160" w:right="175" w:firstLine="490"/>
      </w:pPr>
      <w:r>
        <w:rPr>
          <w:color w:val="231F20"/>
        </w:rPr>
        <w:t>During 2013, the Company recorded a $41 million actuarial gain as a decrease to the APBO with an offset to AOCI. This actuarial gain is reflected above and resulted from changes in certain key assumptions used to determine the Company’s year-end obligation. The assumption change that resulted in the largest portion of the actuarial gain was the expected participation rate in the Plan for future qualifying retirees, which reflects lower expectations as to utilization of benefits based on recent history.</w:t>
      </w:r>
    </w:p>
    <w:p>
      <w:pPr>
        <w:pStyle w:val="BodyText"/>
        <w:spacing w:before="1"/>
      </w:pPr>
    </w:p>
    <w:p>
      <w:pPr>
        <w:pStyle w:val="BodyText"/>
        <w:spacing w:line="249" w:lineRule="auto" w:before="1"/>
        <w:ind w:left="160" w:right="127" w:firstLine="490"/>
      </w:pPr>
      <w:r>
        <w:rPr>
          <w:color w:val="231F20"/>
        </w:rPr>
        <w:t>Also, pursuant to the Merger Agreement between AirTran and Southwest, Southwest Employees that were former AirTran employees are to be given credit for their service with AirTran for purposes of determining eligibility for retiree benefits. This service credit requirement resulted in a $17 million increase to the APBO during 2012, which is being accounted for as prior service cost to be amortized over the average future service of active AirTran employees.</w:t>
      </w:r>
    </w:p>
    <w:p>
      <w:pPr>
        <w:pStyle w:val="BodyText"/>
        <w:spacing w:before="2"/>
      </w:pPr>
    </w:p>
    <w:p>
      <w:pPr>
        <w:pStyle w:val="BodyText"/>
        <w:spacing w:line="249" w:lineRule="auto"/>
        <w:ind w:left="160" w:right="132" w:firstLine="490"/>
      </w:pPr>
      <w:r>
        <w:rPr>
          <w:color w:val="231F20"/>
        </w:rPr>
        <w:t>The assumed healthcare cost trend rates have a significant effect on the amounts reported for the consolidated postretirement plans. A one percent change in all healthcare cost trend rates used in measuring the APBO at December 31, 2013, would have the following effects:</w:t>
      </w:r>
    </w:p>
    <w:p>
      <w:pPr>
        <w:tabs>
          <w:tab w:pos="5774" w:val="left" w:leader="none"/>
        </w:tabs>
        <w:spacing w:before="189"/>
        <w:ind w:left="160" w:right="0" w:firstLine="0"/>
        <w:jc w:val="left"/>
        <w:rPr>
          <w:b/>
          <w:sz w:val="16"/>
        </w:rPr>
      </w:pPr>
      <w:r>
        <w:rPr/>
        <w:pict>
          <v:line style="position:absolute;mso-position-horizontal-relative:page;mso-position-vertical-relative:paragraph;z-index:9616;mso-wrap-distance-left:0;mso-wrap-distance-right:0" from="69pt,20.41872pt" to="339.75pt,20.41872pt" stroked="true" strokeweight="1pt" strokecolor="#231f20">
            <v:stroke dashstyle="solid"/>
            <w10:wrap type="topAndBottom"/>
          </v:line>
        </w:pict>
      </w:r>
      <w:r>
        <w:rPr/>
        <w:pict>
          <v:line style="position:absolute;mso-position-horizontal-relative:page;mso-position-vertical-relative:paragraph;z-index:9640;mso-wrap-distance-left:0;mso-wrap-distance-right:0" from="349.75pt,20.41872pt" to="391.7pt,20.41872pt" stroked="true" strokeweight="1pt" strokecolor="#231f20">
            <v:stroke dashstyle="solid"/>
            <w10:wrap type="topAndBottom"/>
          </v:line>
        </w:pict>
      </w:r>
      <w:r>
        <w:rPr/>
        <w:pict>
          <v:line style="position:absolute;mso-position-horizontal-relative:page;mso-position-vertical-relative:paragraph;z-index:9664;mso-wrap-distance-left:0;mso-wrap-distance-right:0" from="401.699982pt,20.41872pt" to="444.999982pt,20.41872pt" stroked="true" strokeweight="1pt" strokecolor="#231f20">
            <v:stroke dashstyle="solid"/>
            <w10:wrap type="topAndBottom"/>
          </v:line>
        </w:pict>
      </w:r>
      <w:r>
        <w:rPr>
          <w:b/>
          <w:color w:val="231F20"/>
          <w:sz w:val="16"/>
        </w:rPr>
        <w:t>(in</w:t>
      </w:r>
      <w:r>
        <w:rPr>
          <w:b/>
          <w:color w:val="231F20"/>
          <w:spacing w:val="-1"/>
          <w:sz w:val="16"/>
        </w:rPr>
        <w:t> </w:t>
      </w:r>
      <w:r>
        <w:rPr>
          <w:b/>
          <w:color w:val="231F20"/>
          <w:sz w:val="16"/>
        </w:rPr>
        <w:t>millions)</w:t>
        <w:tab/>
        <w:t>1% increase     1%</w:t>
      </w:r>
      <w:r>
        <w:rPr>
          <w:b/>
          <w:color w:val="231F20"/>
          <w:spacing w:val="-1"/>
          <w:sz w:val="16"/>
        </w:rPr>
        <w:t> </w:t>
      </w:r>
      <w:r>
        <w:rPr>
          <w:b/>
          <w:color w:val="231F20"/>
          <w:sz w:val="16"/>
        </w:rPr>
        <w:t>decrease</w:t>
      </w:r>
    </w:p>
    <w:p>
      <w:pPr>
        <w:tabs>
          <w:tab w:pos="6433" w:val="left" w:leader="none"/>
          <w:tab w:pos="6523" w:val="left" w:leader="none"/>
          <w:tab w:pos="7439" w:val="left" w:leader="none"/>
          <w:tab w:pos="7529" w:val="left" w:leader="none"/>
        </w:tabs>
        <w:spacing w:line="254" w:lineRule="auto" w:before="23"/>
        <w:ind w:left="159" w:right="1618" w:firstLine="0"/>
        <w:jc w:val="left"/>
        <w:rPr>
          <w:sz w:val="18"/>
        </w:rPr>
      </w:pPr>
      <w:r>
        <w:rPr>
          <w:color w:val="231F20"/>
          <w:sz w:val="18"/>
        </w:rPr>
        <w:t>Increase (decrease) in total service and interest costs . . . . . . . . . . . . . . . . .</w:t>
      </w:r>
      <w:r>
        <w:rPr>
          <w:color w:val="231F20"/>
          <w:spacing w:val="20"/>
          <w:sz w:val="18"/>
        </w:rPr>
        <w:t> </w:t>
      </w:r>
      <w:r>
        <w:rPr>
          <w:color w:val="231F20"/>
          <w:sz w:val="18"/>
        </w:rPr>
        <w:t>.   </w:t>
      </w:r>
      <w:r>
        <w:rPr>
          <w:color w:val="231F20"/>
          <w:spacing w:val="20"/>
          <w:sz w:val="18"/>
        </w:rPr>
        <w:t> </w:t>
      </w:r>
      <w:r>
        <w:rPr>
          <w:color w:val="231F20"/>
          <w:sz w:val="18"/>
        </w:rPr>
        <w:t>$</w:t>
        <w:tab/>
        <w:tab/>
        <w:t>3   </w:t>
      </w:r>
      <w:r>
        <w:rPr>
          <w:color w:val="231F20"/>
          <w:spacing w:val="20"/>
          <w:sz w:val="18"/>
        </w:rPr>
        <w:t> </w:t>
      </w:r>
      <w:r>
        <w:rPr>
          <w:color w:val="231F20"/>
          <w:sz w:val="18"/>
        </w:rPr>
        <w:t>$</w:t>
        <w:tab/>
        <w:tab/>
        <w:t>(3) Increase (decrease) in the APBO   . . . . . . . . . . . . . . . . . . . . . . . . . . . . . . . .</w:t>
      </w:r>
      <w:r>
        <w:rPr>
          <w:color w:val="231F20"/>
          <w:spacing w:val="-6"/>
          <w:sz w:val="18"/>
        </w:rPr>
        <w:t> </w:t>
      </w:r>
      <w:r>
        <w:rPr>
          <w:color w:val="231F20"/>
          <w:sz w:val="18"/>
        </w:rPr>
        <w:t>.   </w:t>
      </w:r>
      <w:r>
        <w:rPr>
          <w:color w:val="231F20"/>
          <w:spacing w:val="20"/>
          <w:sz w:val="18"/>
        </w:rPr>
        <w:t> </w:t>
      </w:r>
      <w:r>
        <w:rPr>
          <w:color w:val="231F20"/>
          <w:sz w:val="18"/>
        </w:rPr>
        <w:t>$</w:t>
        <w:tab/>
        <w:t>19   </w:t>
      </w:r>
      <w:r>
        <w:rPr>
          <w:color w:val="231F20"/>
          <w:spacing w:val="20"/>
          <w:sz w:val="18"/>
        </w:rPr>
        <w:t> </w:t>
      </w:r>
      <w:r>
        <w:rPr>
          <w:color w:val="231F20"/>
          <w:sz w:val="18"/>
        </w:rPr>
        <w:t>$</w:t>
        <w:tab/>
        <w:t>(16)</w:t>
      </w:r>
    </w:p>
    <w:p>
      <w:pPr>
        <w:pStyle w:val="BodyText"/>
        <w:spacing w:before="3"/>
      </w:pPr>
    </w:p>
    <w:p>
      <w:pPr>
        <w:pStyle w:val="BodyText"/>
        <w:spacing w:line="249" w:lineRule="auto"/>
        <w:ind w:left="160" w:right="155" w:firstLine="490"/>
      </w:pPr>
      <w:r>
        <w:rPr>
          <w:color w:val="231F20"/>
        </w:rPr>
        <w:t>All plans are unfunded, and benefits are paid as they become due. Estimated future benefit payments expected to be paid for each of the next five years and the five years thereafter are $4 million in 2014, $5 million in 2015, $6 million in 2016, $7 million in 2017, $7 million in 2018, and $50 million for the next five years thereafter.</w:t>
      </w:r>
    </w:p>
    <w:p>
      <w:pPr>
        <w:pStyle w:val="BodyText"/>
        <w:spacing w:before="1"/>
      </w:pPr>
    </w:p>
    <w:p>
      <w:pPr>
        <w:pStyle w:val="BodyText"/>
        <w:spacing w:line="249" w:lineRule="auto"/>
        <w:ind w:left="160" w:right="130" w:firstLine="490"/>
      </w:pP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2013 and</w:t>
      </w:r>
      <w:r>
        <w:rPr>
          <w:color w:val="231F20"/>
          <w:spacing w:val="1"/>
        </w:rPr>
        <w:t> </w:t>
      </w:r>
      <w:r>
        <w:rPr>
          <w:color w:val="231F20"/>
        </w:rPr>
        <w:t>2012.</w:t>
      </w:r>
    </w:p>
    <w:p>
      <w:pPr>
        <w:tabs>
          <w:tab w:pos="5329" w:val="left" w:leader="none"/>
          <w:tab w:pos="6829" w:val="left" w:leader="none"/>
        </w:tabs>
        <w:spacing w:before="190" w:after="19"/>
        <w:ind w:left="160" w:right="0" w:firstLine="0"/>
        <w:jc w:val="left"/>
        <w:rPr>
          <w:b/>
          <w:sz w:val="18"/>
        </w:rPr>
      </w:pPr>
      <w:r>
        <w:rPr>
          <w:b/>
          <w:color w:val="231F20"/>
          <w:sz w:val="18"/>
        </w:rPr>
        <w:t>(in millions)</w:t>
        <w:tab/>
        <w:t>2013</w:t>
        <w:tab/>
        <w:t>2012</w:t>
      </w:r>
    </w:p>
    <w:p>
      <w:pPr>
        <w:spacing w:line="20" w:lineRule="exact"/>
        <w:ind w:left="150" w:right="0" w:firstLine="0"/>
        <w:rPr>
          <w:sz w:val="2"/>
        </w:rPr>
      </w:pPr>
      <w:r>
        <w:rPr>
          <w:sz w:val="2"/>
        </w:rPr>
        <w:pict>
          <v:group style="width:227pt;height:1pt;mso-position-horizontal-relative:char;mso-position-vertical-relative:line" coordorigin="0,0" coordsize="4540,20">
            <v:line style="position:absolute" from="10,10" to="4530,10" stroked="true" strokeweight="1pt" strokecolor="#231f20">
              <v:stroke dashstyle="solid"/>
            </v:line>
          </v:group>
        </w:pict>
      </w:r>
      <w:r>
        <w:rPr>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p>
    <w:p>
      <w:pPr>
        <w:tabs>
          <w:tab w:pos="5849" w:val="left" w:leader="none"/>
          <w:tab w:pos="7349" w:val="left" w:leader="none"/>
        </w:tabs>
        <w:spacing w:before="52"/>
        <w:ind w:left="160" w:right="0" w:firstLine="0"/>
        <w:jc w:val="left"/>
        <w:rPr>
          <w:sz w:val="18"/>
        </w:rPr>
      </w:pPr>
      <w:r>
        <w:rPr>
          <w:color w:val="231F20"/>
          <w:sz w:val="18"/>
        </w:rPr>
        <w:t>Funded status . . . . . . . . . . . . . . . . . . . . . . . . . . . . . . . . . . . . . .</w:t>
      </w:r>
      <w:r>
        <w:rPr>
          <w:color w:val="231F20"/>
          <w:spacing w:val="14"/>
          <w:sz w:val="18"/>
        </w:rPr>
        <w:t> </w:t>
      </w:r>
      <w:r>
        <w:rPr>
          <w:color w:val="231F20"/>
          <w:sz w:val="18"/>
        </w:rPr>
        <w:t>.  </w:t>
      </w:r>
      <w:r>
        <w:rPr>
          <w:color w:val="231F20"/>
          <w:spacing w:val="25"/>
          <w:sz w:val="18"/>
        </w:rPr>
        <w:t> </w:t>
      </w:r>
      <w:r>
        <w:rPr>
          <w:color w:val="231F20"/>
          <w:sz w:val="18"/>
        </w:rPr>
        <w:t>$</w:t>
        <w:tab/>
        <w:t>(138) </w:t>
      </w:r>
      <w:r>
        <w:rPr>
          <w:color w:val="231F20"/>
          <w:spacing w:val="10"/>
          <w:sz w:val="18"/>
        </w:rPr>
        <w:t> </w:t>
      </w:r>
      <w:r>
        <w:rPr>
          <w:color w:val="231F20"/>
          <w:sz w:val="18"/>
        </w:rPr>
        <w:t>$</w:t>
        <w:tab/>
        <w:t>(148)</w:t>
      </w:r>
    </w:p>
    <w:p>
      <w:pPr>
        <w:tabs>
          <w:tab w:pos="5939" w:val="left" w:leader="none"/>
          <w:tab w:pos="7439" w:val="left" w:leader="none"/>
        </w:tabs>
        <w:spacing w:before="13"/>
        <w:ind w:left="160" w:right="0" w:firstLine="0"/>
        <w:jc w:val="left"/>
        <w:rPr>
          <w:sz w:val="18"/>
        </w:rPr>
      </w:pPr>
      <w:r>
        <w:rPr>
          <w:color w:val="231F20"/>
          <w:sz w:val="18"/>
        </w:rPr>
        <w:t>Unrecognized net actuarial gain  . . . . . . . . . . . . . . . . . . . . . .</w:t>
      </w:r>
      <w:r>
        <w:rPr>
          <w:color w:val="231F20"/>
          <w:spacing w:val="20"/>
          <w:sz w:val="18"/>
        </w:rPr>
        <w:t> </w:t>
      </w:r>
      <w:r>
        <w:rPr>
          <w:color w:val="231F20"/>
          <w:sz w:val="18"/>
        </w:rPr>
        <w:t>. .</w:t>
        <w:tab/>
        <w:t>(80)</w:t>
        <w:tab/>
        <w:t>(44)</w:t>
      </w:r>
    </w:p>
    <w:p>
      <w:pPr>
        <w:tabs>
          <w:tab w:pos="5999" w:val="left" w:leader="none"/>
          <w:tab w:pos="7679" w:val="right" w:leader="none"/>
        </w:tabs>
        <w:spacing w:before="13"/>
        <w:ind w:left="160" w:right="0" w:firstLine="0"/>
        <w:jc w:val="left"/>
        <w:rPr>
          <w:sz w:val="18"/>
        </w:rPr>
      </w:pPr>
      <w:r>
        <w:rPr>
          <w:color w:val="231F20"/>
          <w:sz w:val="18"/>
        </w:rPr>
        <w:t>Unrecognized prior service cost  . . . . . . . . . . . . . . . . . . . . . .</w:t>
      </w:r>
      <w:r>
        <w:rPr>
          <w:color w:val="231F20"/>
          <w:spacing w:val="20"/>
          <w:sz w:val="18"/>
        </w:rPr>
        <w:t> </w:t>
      </w:r>
      <w:r>
        <w:rPr>
          <w:color w:val="231F20"/>
          <w:sz w:val="18"/>
        </w:rPr>
        <w:t>. .</w:t>
        <w:tab/>
        <w:t>15</w:t>
        <w:tab/>
        <w:t>18</w:t>
      </w:r>
    </w:p>
    <w:p>
      <w:pPr>
        <w:tabs>
          <w:tab w:pos="5999" w:val="left" w:leader="none"/>
          <w:tab w:pos="7679" w:val="right" w:leader="none"/>
        </w:tabs>
        <w:spacing w:before="13"/>
        <w:ind w:left="159" w:right="0" w:firstLine="0"/>
        <w:jc w:val="left"/>
        <w:rPr>
          <w:sz w:val="18"/>
        </w:rPr>
      </w:pPr>
      <w:r>
        <w:rPr/>
        <w:pict>
          <v:line style="position:absolute;mso-position-horizontal-relative:page;mso-position-vertical-relative:paragraph;z-index:9760" from="303pt,12.80834pt" to="370pt,12.80834pt" stroked="true" strokeweight=".5pt" strokecolor="#231f20">
            <v:stroke dashstyle="solid"/>
            <w10:wrap type="none"/>
          </v:line>
        </w:pict>
      </w:r>
      <w:r>
        <w:rPr/>
        <w:pict>
          <v:line style="position:absolute;mso-position-horizontal-relative:page;mso-position-vertical-relative:paragraph;z-index:9784" from="378pt,12.80834pt" to="445pt,12.80834pt" stroked="true" strokeweight=".5pt" strokecolor="#231f20">
            <v:stroke dashstyle="solid"/>
            <w10:wrap type="none"/>
          </v:line>
        </w:pict>
      </w:r>
      <w:r>
        <w:rPr>
          <w:color w:val="231F20"/>
          <w:sz w:val="18"/>
        </w:rPr>
        <w:t>Accumulated other comprehensive income   . . . . . . . . . . . . .</w:t>
      </w:r>
      <w:r>
        <w:rPr>
          <w:color w:val="231F20"/>
          <w:spacing w:val="-5"/>
          <w:sz w:val="18"/>
        </w:rPr>
        <w:t> </w:t>
      </w:r>
      <w:r>
        <w:rPr>
          <w:color w:val="231F20"/>
          <w:sz w:val="18"/>
        </w:rPr>
        <w:t>. .</w:t>
        <w:tab/>
        <w:t>65</w:t>
        <w:tab/>
        <w:t>26</w:t>
      </w:r>
    </w:p>
    <w:p>
      <w:pPr>
        <w:tabs>
          <w:tab w:pos="5849" w:val="left" w:leader="none"/>
          <w:tab w:pos="7349" w:val="left" w:leader="none"/>
        </w:tabs>
        <w:spacing w:before="93"/>
        <w:ind w:left="160" w:right="0" w:firstLine="0"/>
        <w:jc w:val="left"/>
        <w:rPr>
          <w:sz w:val="18"/>
        </w:rPr>
      </w:pPr>
      <w:r>
        <w:rPr/>
        <w:pict>
          <v:group style="position:absolute;margin-left:302.75pt;margin-top:16.552359pt;width:67.5pt;height:2.5pt;mso-position-horizontal-relative:page;mso-position-vertical-relative:paragraph;z-index:9808" coordorigin="6055,331" coordsize="1350,50">
            <v:line style="position:absolute" from="6060,336" to="7400,336" stroked="true" strokeweight=".5pt" strokecolor="#231f20">
              <v:stroke dashstyle="solid"/>
            </v:line>
            <v:line style="position:absolute" from="6060,376" to="7400,376" stroked="true" strokeweight=".5pt" strokecolor="#231f20">
              <v:stroke dashstyle="solid"/>
            </v:line>
            <w10:wrap type="none"/>
          </v:group>
        </w:pict>
      </w:r>
      <w:r>
        <w:rPr/>
        <w:pict>
          <v:group style="position:absolute;margin-left:377.75pt;margin-top:16.552359pt;width:67.5pt;height:2.5pt;mso-position-horizontal-relative:page;mso-position-vertical-relative:paragraph;z-index:9832" coordorigin="7555,331" coordsize="1350,50">
            <v:line style="position:absolute" from="7560,336" to="8900,336" stroked="true" strokeweight=".5pt" strokecolor="#231f20">
              <v:stroke dashstyle="solid"/>
            </v:line>
            <v:line style="position:absolute" from="7560,376" to="8900,376" stroked="true" strokeweight=".5pt" strokecolor="#231f20">
              <v:stroke dashstyle="solid"/>
            </v:line>
            <w10:wrap type="none"/>
          </v:group>
        </w:pict>
      </w:r>
      <w:r>
        <w:rPr>
          <w:color w:val="231F20"/>
          <w:sz w:val="18"/>
        </w:rPr>
        <w:t>Cost recognized on Consolidated Balance Sheet   . . . . . . . . . .</w:t>
      </w:r>
      <w:r>
        <w:rPr>
          <w:color w:val="231F20"/>
          <w:spacing w:val="-16"/>
          <w:sz w:val="18"/>
        </w:rPr>
        <w:t> </w:t>
      </w:r>
      <w:r>
        <w:rPr>
          <w:color w:val="231F20"/>
          <w:sz w:val="18"/>
        </w:rPr>
        <w:t>.  </w:t>
      </w:r>
      <w:r>
        <w:rPr>
          <w:color w:val="231F20"/>
          <w:spacing w:val="25"/>
          <w:sz w:val="18"/>
        </w:rPr>
        <w:t> </w:t>
      </w:r>
      <w:r>
        <w:rPr>
          <w:color w:val="231F20"/>
          <w:sz w:val="18"/>
        </w:rPr>
        <w:t>$</w:t>
        <w:tab/>
        <w:t>(138) </w:t>
      </w:r>
      <w:r>
        <w:rPr>
          <w:color w:val="231F20"/>
          <w:spacing w:val="10"/>
          <w:sz w:val="18"/>
        </w:rPr>
        <w:t> </w:t>
      </w:r>
      <w:r>
        <w:rPr>
          <w:color w:val="231F20"/>
          <w:sz w:val="18"/>
        </w:rPr>
        <w:t>$</w:t>
        <w:tab/>
        <w:t>(148)</w:t>
      </w:r>
    </w:p>
    <w:p>
      <w:pPr>
        <w:pStyle w:val="BodyText"/>
        <w:spacing w:line="249" w:lineRule="auto" w:before="365"/>
        <w:ind w:left="160" w:right="342" w:firstLine="490"/>
      </w:pPr>
      <w:r>
        <w:rPr>
          <w:color w:val="231F20"/>
        </w:rPr>
        <w:t>The consolidated periodic postretirement benefit cost for the years ended December 31, 2013, 2012, and 2011, included the following:</w:t>
      </w:r>
    </w:p>
    <w:p>
      <w:pPr>
        <w:pStyle w:val="BodyText"/>
        <w:spacing w:after="1"/>
        <w:rPr>
          <w:sz w:val="17"/>
        </w:rPr>
      </w:pP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15"/>
        <w:gridCol w:w="155"/>
        <w:gridCol w:w="1060"/>
        <w:gridCol w:w="140"/>
        <w:gridCol w:w="1060"/>
        <w:gridCol w:w="140"/>
        <w:gridCol w:w="1060"/>
      </w:tblGrid>
      <w:tr>
        <w:trPr>
          <w:trHeight w:val="212" w:hRule="exact"/>
        </w:trPr>
        <w:tc>
          <w:tcPr>
            <w:tcW w:w="5215" w:type="dxa"/>
            <w:tcBorders>
              <w:bottom w:val="single" w:sz="8" w:space="0" w:color="231F20"/>
            </w:tcBorders>
          </w:tcPr>
          <w:p>
            <w:pPr>
              <w:pStyle w:val="TableParagraph"/>
              <w:spacing w:line="177" w:lineRule="exact"/>
              <w:ind w:left="50"/>
              <w:jc w:val="left"/>
              <w:rPr>
                <w:b/>
                <w:sz w:val="16"/>
              </w:rPr>
            </w:pPr>
            <w:r>
              <w:rPr>
                <w:b/>
                <w:color w:val="231F20"/>
                <w:sz w:val="16"/>
              </w:rPr>
              <w:t>(in millions)</w:t>
            </w:r>
          </w:p>
        </w:tc>
        <w:tc>
          <w:tcPr>
            <w:tcW w:w="155" w:type="dxa"/>
          </w:tcPr>
          <w:p>
            <w:pPr/>
          </w:p>
        </w:tc>
        <w:tc>
          <w:tcPr>
            <w:tcW w:w="1060" w:type="dxa"/>
            <w:tcBorders>
              <w:bottom w:val="single" w:sz="8" w:space="0" w:color="231F20"/>
            </w:tcBorders>
          </w:tcPr>
          <w:p>
            <w:pPr>
              <w:pStyle w:val="TableParagraph"/>
              <w:spacing w:line="177" w:lineRule="exact"/>
              <w:ind w:left="340"/>
              <w:jc w:val="left"/>
              <w:rPr>
                <w:b/>
                <w:sz w:val="16"/>
              </w:rPr>
            </w:pPr>
            <w:r>
              <w:rPr>
                <w:b/>
                <w:color w:val="231F20"/>
                <w:sz w:val="16"/>
              </w:rPr>
              <w:t>2013</w:t>
            </w:r>
          </w:p>
        </w:tc>
        <w:tc>
          <w:tcPr>
            <w:tcW w:w="140" w:type="dxa"/>
          </w:tcPr>
          <w:p>
            <w:pPr/>
          </w:p>
        </w:tc>
        <w:tc>
          <w:tcPr>
            <w:tcW w:w="1060" w:type="dxa"/>
            <w:tcBorders>
              <w:bottom w:val="single" w:sz="8" w:space="0" w:color="231F20"/>
            </w:tcBorders>
          </w:tcPr>
          <w:p>
            <w:pPr>
              <w:pStyle w:val="TableParagraph"/>
              <w:spacing w:line="177" w:lineRule="exact"/>
              <w:ind w:left="340"/>
              <w:jc w:val="left"/>
              <w:rPr>
                <w:b/>
                <w:sz w:val="16"/>
              </w:rPr>
            </w:pPr>
            <w:r>
              <w:rPr>
                <w:b/>
                <w:color w:val="231F20"/>
                <w:sz w:val="16"/>
              </w:rPr>
              <w:t>2012</w:t>
            </w:r>
          </w:p>
        </w:tc>
        <w:tc>
          <w:tcPr>
            <w:tcW w:w="140" w:type="dxa"/>
          </w:tcPr>
          <w:p>
            <w:pPr/>
          </w:p>
        </w:tc>
        <w:tc>
          <w:tcPr>
            <w:tcW w:w="1060" w:type="dxa"/>
            <w:tcBorders>
              <w:bottom w:val="single" w:sz="8" w:space="0" w:color="231F20"/>
            </w:tcBorders>
          </w:tcPr>
          <w:p>
            <w:pPr>
              <w:pStyle w:val="TableParagraph"/>
              <w:spacing w:line="177" w:lineRule="exact"/>
              <w:ind w:left="340"/>
              <w:jc w:val="left"/>
              <w:rPr>
                <w:b/>
                <w:sz w:val="16"/>
              </w:rPr>
            </w:pPr>
            <w:r>
              <w:rPr>
                <w:b/>
                <w:color w:val="231F20"/>
                <w:sz w:val="16"/>
              </w:rPr>
              <w:t>2011</w:t>
            </w:r>
          </w:p>
        </w:tc>
      </w:tr>
      <w:tr>
        <w:trPr>
          <w:trHeight w:val="250" w:hRule="exact"/>
        </w:trPr>
        <w:tc>
          <w:tcPr>
            <w:tcW w:w="5215" w:type="dxa"/>
            <w:tcBorders>
              <w:top w:val="single" w:sz="8" w:space="0" w:color="231F20"/>
            </w:tcBorders>
          </w:tcPr>
          <w:p>
            <w:pPr>
              <w:pStyle w:val="TableParagraph"/>
              <w:spacing w:before="32"/>
              <w:ind w:left="50"/>
              <w:jc w:val="left"/>
              <w:rPr>
                <w:sz w:val="18"/>
              </w:rPr>
            </w:pPr>
            <w:r>
              <w:rPr>
                <w:color w:val="231F20"/>
                <w:sz w:val="18"/>
              </w:rPr>
              <w:t>Service cost . . . . . . . . . . . . . . . . . . . . . . . . . . . . . . . . . . . . . . . . . . . . . . . </w:t>
            </w:r>
          </w:p>
        </w:tc>
        <w:tc>
          <w:tcPr>
            <w:tcW w:w="155" w:type="dxa"/>
          </w:tcPr>
          <w:p>
            <w:pPr/>
          </w:p>
        </w:tc>
        <w:tc>
          <w:tcPr>
            <w:tcW w:w="1060" w:type="dxa"/>
            <w:tcBorders>
              <w:top w:val="single" w:sz="8" w:space="0" w:color="231F20"/>
            </w:tcBorders>
          </w:tcPr>
          <w:p>
            <w:pPr>
              <w:pStyle w:val="TableParagraph"/>
              <w:tabs>
                <w:tab w:pos="820" w:val="left" w:leader="none"/>
              </w:tabs>
              <w:spacing w:before="32"/>
              <w:ind w:right="57"/>
              <w:rPr>
                <w:sz w:val="18"/>
              </w:rPr>
            </w:pPr>
            <w:r>
              <w:rPr>
                <w:color w:val="231F20"/>
                <w:sz w:val="18"/>
              </w:rPr>
              <w:t>$</w:t>
              <w:tab/>
              <w:t>30</w:t>
            </w:r>
          </w:p>
        </w:tc>
        <w:tc>
          <w:tcPr>
            <w:tcW w:w="140" w:type="dxa"/>
          </w:tcPr>
          <w:p>
            <w:pPr/>
          </w:p>
        </w:tc>
        <w:tc>
          <w:tcPr>
            <w:tcW w:w="1060" w:type="dxa"/>
            <w:tcBorders>
              <w:top w:val="single" w:sz="8" w:space="0" w:color="231F20"/>
            </w:tcBorders>
          </w:tcPr>
          <w:p>
            <w:pPr>
              <w:pStyle w:val="TableParagraph"/>
              <w:tabs>
                <w:tab w:pos="820" w:val="left" w:leader="none"/>
              </w:tabs>
              <w:spacing w:before="32"/>
              <w:ind w:right="57"/>
              <w:rPr>
                <w:sz w:val="18"/>
              </w:rPr>
            </w:pPr>
            <w:r>
              <w:rPr>
                <w:color w:val="231F20"/>
                <w:sz w:val="18"/>
              </w:rPr>
              <w:t>$</w:t>
              <w:tab/>
              <w:t>20</w:t>
            </w:r>
          </w:p>
        </w:tc>
        <w:tc>
          <w:tcPr>
            <w:tcW w:w="140" w:type="dxa"/>
          </w:tcPr>
          <w:p>
            <w:pPr/>
          </w:p>
        </w:tc>
        <w:tc>
          <w:tcPr>
            <w:tcW w:w="1060" w:type="dxa"/>
            <w:tcBorders>
              <w:top w:val="single" w:sz="8" w:space="0" w:color="231F20"/>
            </w:tcBorders>
          </w:tcPr>
          <w:p>
            <w:pPr>
              <w:pStyle w:val="TableParagraph"/>
              <w:tabs>
                <w:tab w:pos="820" w:val="left" w:leader="none"/>
              </w:tabs>
              <w:spacing w:before="32"/>
              <w:ind w:right="57"/>
              <w:rPr>
                <w:sz w:val="18"/>
              </w:rPr>
            </w:pPr>
            <w:r>
              <w:rPr>
                <w:color w:val="231F20"/>
                <w:sz w:val="18"/>
              </w:rPr>
              <w:t>$</w:t>
              <w:tab/>
              <w:t>17</w:t>
            </w:r>
          </w:p>
        </w:tc>
      </w:tr>
      <w:tr>
        <w:trPr>
          <w:trHeight w:val="200" w:hRule="exact"/>
        </w:trPr>
        <w:tc>
          <w:tcPr>
            <w:tcW w:w="5215" w:type="dxa"/>
          </w:tcPr>
          <w:p>
            <w:pPr>
              <w:pStyle w:val="TableParagraph"/>
              <w:spacing w:line="199" w:lineRule="exact"/>
              <w:ind w:left="50"/>
              <w:jc w:val="left"/>
              <w:rPr>
                <w:sz w:val="18"/>
              </w:rPr>
            </w:pPr>
            <w:r>
              <w:rPr>
                <w:color w:val="231F20"/>
                <w:sz w:val="18"/>
              </w:rPr>
              <w:t>Interest cost . . . . . . . . . . . . . . . . . . . . . . . . . . . . . . . . . . . . . . . . . . . . . . .</w:t>
            </w:r>
          </w:p>
        </w:tc>
        <w:tc>
          <w:tcPr>
            <w:tcW w:w="155" w:type="dxa"/>
          </w:tcPr>
          <w:p>
            <w:pPr/>
          </w:p>
        </w:tc>
        <w:tc>
          <w:tcPr>
            <w:tcW w:w="1060" w:type="dxa"/>
          </w:tcPr>
          <w:p>
            <w:pPr>
              <w:pStyle w:val="TableParagraph"/>
              <w:spacing w:line="199" w:lineRule="exact"/>
              <w:ind w:right="57"/>
              <w:rPr>
                <w:sz w:val="18"/>
              </w:rPr>
            </w:pPr>
            <w:r>
              <w:rPr>
                <w:color w:val="231F20"/>
                <w:sz w:val="18"/>
              </w:rPr>
              <w:t>4</w:t>
            </w:r>
          </w:p>
        </w:tc>
        <w:tc>
          <w:tcPr>
            <w:tcW w:w="140" w:type="dxa"/>
          </w:tcPr>
          <w:p>
            <w:pPr/>
          </w:p>
        </w:tc>
        <w:tc>
          <w:tcPr>
            <w:tcW w:w="1060" w:type="dxa"/>
          </w:tcPr>
          <w:p>
            <w:pPr>
              <w:pStyle w:val="TableParagraph"/>
              <w:spacing w:line="199" w:lineRule="exact"/>
              <w:ind w:right="57"/>
              <w:rPr>
                <w:sz w:val="18"/>
              </w:rPr>
            </w:pPr>
            <w:r>
              <w:rPr>
                <w:color w:val="231F20"/>
                <w:sz w:val="18"/>
              </w:rPr>
              <w:t>4</w:t>
            </w:r>
          </w:p>
        </w:tc>
        <w:tc>
          <w:tcPr>
            <w:tcW w:w="140" w:type="dxa"/>
          </w:tcPr>
          <w:p>
            <w:pPr/>
          </w:p>
        </w:tc>
        <w:tc>
          <w:tcPr>
            <w:tcW w:w="1060" w:type="dxa"/>
          </w:tcPr>
          <w:p>
            <w:pPr>
              <w:pStyle w:val="TableParagraph"/>
              <w:spacing w:line="199" w:lineRule="exact"/>
              <w:ind w:right="57"/>
              <w:rPr>
                <w:sz w:val="18"/>
              </w:rPr>
            </w:pPr>
            <w:r>
              <w:rPr>
                <w:color w:val="231F20"/>
                <w:sz w:val="18"/>
              </w:rPr>
              <w:t>4</w:t>
            </w:r>
          </w:p>
        </w:tc>
      </w:tr>
      <w:tr>
        <w:trPr>
          <w:trHeight w:val="200" w:hRule="exact"/>
        </w:trPr>
        <w:tc>
          <w:tcPr>
            <w:tcW w:w="5215" w:type="dxa"/>
          </w:tcPr>
          <w:p>
            <w:pPr>
              <w:pStyle w:val="TableParagraph"/>
              <w:spacing w:line="199" w:lineRule="exact"/>
              <w:ind w:left="50"/>
              <w:jc w:val="left"/>
              <w:rPr>
                <w:sz w:val="18"/>
              </w:rPr>
            </w:pPr>
            <w:r>
              <w:rPr>
                <w:color w:val="231F20"/>
                <w:sz w:val="18"/>
              </w:rPr>
              <w:t>Amortization of prior service cost   . . . . . . . . . . . . . . . . . . . . . . . . . . . . . </w:t>
            </w:r>
          </w:p>
        </w:tc>
        <w:tc>
          <w:tcPr>
            <w:tcW w:w="155" w:type="dxa"/>
          </w:tcPr>
          <w:p>
            <w:pPr/>
          </w:p>
        </w:tc>
        <w:tc>
          <w:tcPr>
            <w:tcW w:w="1060" w:type="dxa"/>
          </w:tcPr>
          <w:p>
            <w:pPr>
              <w:pStyle w:val="TableParagraph"/>
              <w:spacing w:line="199" w:lineRule="exact"/>
              <w:ind w:right="57"/>
              <w:rPr>
                <w:sz w:val="18"/>
              </w:rPr>
            </w:pPr>
            <w:r>
              <w:rPr>
                <w:color w:val="231F20"/>
                <w:sz w:val="18"/>
              </w:rPr>
              <w:t>3</w:t>
            </w:r>
          </w:p>
        </w:tc>
        <w:tc>
          <w:tcPr>
            <w:tcW w:w="140" w:type="dxa"/>
          </w:tcPr>
          <w:p>
            <w:pPr/>
          </w:p>
        </w:tc>
        <w:tc>
          <w:tcPr>
            <w:tcW w:w="1060" w:type="dxa"/>
          </w:tcPr>
          <w:p>
            <w:pPr>
              <w:pStyle w:val="TableParagraph"/>
              <w:spacing w:line="199" w:lineRule="exact"/>
              <w:ind w:right="147"/>
              <w:rPr>
                <w:sz w:val="18"/>
              </w:rPr>
            </w:pPr>
            <w:r>
              <w:rPr>
                <w:color w:val="231F20"/>
                <w:sz w:val="18"/>
              </w:rPr>
              <w:t>—</w:t>
            </w:r>
          </w:p>
        </w:tc>
        <w:tc>
          <w:tcPr>
            <w:tcW w:w="140" w:type="dxa"/>
          </w:tcPr>
          <w:p>
            <w:pPr/>
          </w:p>
        </w:tc>
        <w:tc>
          <w:tcPr>
            <w:tcW w:w="1060" w:type="dxa"/>
          </w:tcPr>
          <w:p>
            <w:pPr>
              <w:pStyle w:val="TableParagraph"/>
              <w:spacing w:line="199" w:lineRule="exact"/>
              <w:ind w:right="147"/>
              <w:rPr>
                <w:sz w:val="18"/>
              </w:rPr>
            </w:pPr>
            <w:r>
              <w:rPr>
                <w:color w:val="231F20"/>
                <w:sz w:val="18"/>
              </w:rPr>
              <w:t>—</w:t>
            </w:r>
          </w:p>
        </w:tc>
      </w:tr>
      <w:tr>
        <w:trPr>
          <w:trHeight w:val="235" w:hRule="exact"/>
        </w:trPr>
        <w:tc>
          <w:tcPr>
            <w:tcW w:w="5215" w:type="dxa"/>
          </w:tcPr>
          <w:p>
            <w:pPr>
              <w:pStyle w:val="TableParagraph"/>
              <w:spacing w:line="199" w:lineRule="exact"/>
              <w:ind w:left="50"/>
              <w:jc w:val="left"/>
              <w:rPr>
                <w:sz w:val="18"/>
              </w:rPr>
            </w:pPr>
            <w:r>
              <w:rPr>
                <w:color w:val="231F20"/>
                <w:sz w:val="18"/>
              </w:rPr>
              <w:t>Recognized actuarial gain . . . . . . . . . . . . . . . . . . . . . . . . . . . . . . . . . . . . </w:t>
            </w:r>
          </w:p>
        </w:tc>
        <w:tc>
          <w:tcPr>
            <w:tcW w:w="155" w:type="dxa"/>
          </w:tcPr>
          <w:p>
            <w:pPr/>
          </w:p>
        </w:tc>
        <w:tc>
          <w:tcPr>
            <w:tcW w:w="1060" w:type="dxa"/>
            <w:tcBorders>
              <w:bottom w:val="single" w:sz="4" w:space="0" w:color="231F20"/>
            </w:tcBorders>
          </w:tcPr>
          <w:p>
            <w:pPr>
              <w:pStyle w:val="TableParagraph"/>
              <w:spacing w:line="199" w:lineRule="exact"/>
              <w:rPr>
                <w:sz w:val="18"/>
              </w:rPr>
            </w:pPr>
            <w:r>
              <w:rPr>
                <w:color w:val="231F20"/>
                <w:sz w:val="18"/>
              </w:rPr>
              <w:t>(4)</w:t>
            </w:r>
          </w:p>
        </w:tc>
        <w:tc>
          <w:tcPr>
            <w:tcW w:w="140" w:type="dxa"/>
          </w:tcPr>
          <w:p>
            <w:pPr/>
          </w:p>
        </w:tc>
        <w:tc>
          <w:tcPr>
            <w:tcW w:w="1060" w:type="dxa"/>
            <w:tcBorders>
              <w:bottom w:val="single" w:sz="4" w:space="0" w:color="231F20"/>
            </w:tcBorders>
          </w:tcPr>
          <w:p>
            <w:pPr>
              <w:pStyle w:val="TableParagraph"/>
              <w:spacing w:line="199" w:lineRule="exact"/>
              <w:rPr>
                <w:sz w:val="18"/>
              </w:rPr>
            </w:pPr>
            <w:r>
              <w:rPr>
                <w:color w:val="231F20"/>
                <w:sz w:val="18"/>
              </w:rPr>
              <w:t>(5)</w:t>
            </w:r>
          </w:p>
        </w:tc>
        <w:tc>
          <w:tcPr>
            <w:tcW w:w="140" w:type="dxa"/>
          </w:tcPr>
          <w:p>
            <w:pPr/>
          </w:p>
        </w:tc>
        <w:tc>
          <w:tcPr>
            <w:tcW w:w="1060" w:type="dxa"/>
            <w:tcBorders>
              <w:bottom w:val="single" w:sz="4" w:space="0" w:color="231F20"/>
            </w:tcBorders>
          </w:tcPr>
          <w:p>
            <w:pPr>
              <w:pStyle w:val="TableParagraph"/>
              <w:spacing w:line="199" w:lineRule="exact"/>
              <w:rPr>
                <w:sz w:val="18"/>
              </w:rPr>
            </w:pPr>
            <w:r>
              <w:rPr>
                <w:color w:val="231F20"/>
                <w:sz w:val="18"/>
              </w:rPr>
              <w:t>(6)</w:t>
            </w:r>
          </w:p>
        </w:tc>
      </w:tr>
      <w:tr>
        <w:trPr>
          <w:trHeight w:val="320" w:hRule="exact"/>
        </w:trPr>
        <w:tc>
          <w:tcPr>
            <w:tcW w:w="5215" w:type="dxa"/>
          </w:tcPr>
          <w:p>
            <w:pPr>
              <w:pStyle w:val="TableParagraph"/>
              <w:spacing w:before="37"/>
              <w:ind w:left="50"/>
              <w:jc w:val="left"/>
              <w:rPr>
                <w:sz w:val="18"/>
              </w:rPr>
            </w:pPr>
            <w:r>
              <w:rPr>
                <w:color w:val="231F20"/>
                <w:sz w:val="18"/>
              </w:rPr>
              <w:t>Net periodic postretirement benefit cost . . . . . . . . . . . . . . . . . . . . . . . . . </w:t>
            </w:r>
          </w:p>
        </w:tc>
        <w:tc>
          <w:tcPr>
            <w:tcW w:w="155" w:type="dxa"/>
          </w:tcPr>
          <w:p>
            <w:pPr/>
          </w:p>
        </w:tc>
        <w:tc>
          <w:tcPr>
            <w:tcW w:w="1060" w:type="dxa"/>
            <w:tcBorders>
              <w:top w:val="single" w:sz="4" w:space="0" w:color="231F20"/>
              <w:bottom w:val="single" w:sz="4" w:space="0" w:color="231F20"/>
            </w:tcBorders>
          </w:tcPr>
          <w:p>
            <w:pPr>
              <w:pStyle w:val="TableParagraph"/>
              <w:tabs>
                <w:tab w:pos="820" w:val="left" w:leader="none"/>
              </w:tabs>
              <w:spacing w:before="32"/>
              <w:ind w:right="57"/>
              <w:rPr>
                <w:sz w:val="18"/>
              </w:rPr>
            </w:pPr>
            <w:r>
              <w:rPr>
                <w:color w:val="231F20"/>
                <w:sz w:val="18"/>
              </w:rPr>
              <w:t>$</w:t>
              <w:tab/>
              <w:t>33</w:t>
            </w:r>
          </w:p>
        </w:tc>
        <w:tc>
          <w:tcPr>
            <w:tcW w:w="140" w:type="dxa"/>
          </w:tcPr>
          <w:p>
            <w:pPr/>
          </w:p>
        </w:tc>
        <w:tc>
          <w:tcPr>
            <w:tcW w:w="1060" w:type="dxa"/>
            <w:tcBorders>
              <w:top w:val="single" w:sz="4" w:space="0" w:color="231F20"/>
              <w:bottom w:val="single" w:sz="4" w:space="0" w:color="231F20"/>
            </w:tcBorders>
          </w:tcPr>
          <w:p>
            <w:pPr>
              <w:pStyle w:val="TableParagraph"/>
              <w:tabs>
                <w:tab w:pos="820" w:val="left" w:leader="none"/>
              </w:tabs>
              <w:spacing w:before="32"/>
              <w:ind w:right="57"/>
              <w:rPr>
                <w:sz w:val="18"/>
              </w:rPr>
            </w:pPr>
            <w:r>
              <w:rPr>
                <w:color w:val="231F20"/>
                <w:sz w:val="18"/>
              </w:rPr>
              <w:t>$</w:t>
              <w:tab/>
              <w:t>19</w:t>
            </w:r>
          </w:p>
        </w:tc>
        <w:tc>
          <w:tcPr>
            <w:tcW w:w="140" w:type="dxa"/>
          </w:tcPr>
          <w:p>
            <w:pPr/>
          </w:p>
        </w:tc>
        <w:tc>
          <w:tcPr>
            <w:tcW w:w="1060" w:type="dxa"/>
            <w:tcBorders>
              <w:top w:val="single" w:sz="4" w:space="0" w:color="231F20"/>
              <w:bottom w:val="single" w:sz="4" w:space="0" w:color="231F20"/>
            </w:tcBorders>
          </w:tcPr>
          <w:p>
            <w:pPr>
              <w:pStyle w:val="TableParagraph"/>
              <w:tabs>
                <w:tab w:pos="820" w:val="left" w:leader="none"/>
              </w:tabs>
              <w:spacing w:before="32"/>
              <w:ind w:right="57"/>
              <w:rPr>
                <w:sz w:val="18"/>
              </w:rPr>
            </w:pPr>
            <w:r>
              <w:rPr>
                <w:color w:val="231F20"/>
                <w:sz w:val="18"/>
              </w:rPr>
              <w:t>$</w:t>
              <w:tab/>
              <w:t>15</w:t>
            </w:r>
          </w:p>
        </w:tc>
      </w:tr>
    </w:tbl>
    <w:p>
      <w:pPr>
        <w:pStyle w:val="BodyText"/>
        <w:spacing w:before="3"/>
        <w:rPr>
          <w:sz w:val="24"/>
        </w:rPr>
      </w:pPr>
    </w:p>
    <w:p>
      <w:pPr>
        <w:pStyle w:val="BodyText"/>
        <w:spacing w:line="249" w:lineRule="auto"/>
        <w:ind w:left="160" w:right="98" w:firstLine="490"/>
      </w:pPr>
      <w:r>
        <w:rPr/>
        <w:pict>
          <v:line style="position:absolute;mso-position-horizontal-relative:page;mso-position-vertical-relative:paragraph;z-index:-326992" from="335pt,-16.464066pt" to="385pt,-16.464066pt" stroked="true" strokeweight=".5pt" strokecolor="#231f20">
            <v:stroke dashstyle="solid"/>
            <w10:wrap type="none"/>
          </v:line>
        </w:pict>
      </w:r>
      <w:r>
        <w:rPr/>
        <w:pict>
          <v:line style="position:absolute;mso-position-horizontal-relative:page;mso-position-vertical-relative:paragraph;z-index:-326968" from="395pt,-16.464066pt" to="445pt,-16.464066pt" stroked="true" strokeweight=".5pt" strokecolor="#231f20">
            <v:stroke dashstyle="solid"/>
            <w10:wrap type="none"/>
          </v:line>
        </w:pict>
      </w:r>
      <w:r>
        <w:rPr/>
        <w:pict>
          <v:line style="position:absolute;mso-position-horizontal-relative:page;mso-position-vertical-relative:paragraph;z-index:-326944" from="455pt,-16.464066pt" to="505pt,-16.464066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2013, 2012, and 2011:</w:t>
      </w:r>
    </w:p>
    <w:p>
      <w:pPr>
        <w:spacing w:after="0" w:line="249" w:lineRule="auto"/>
        <w:sectPr>
          <w:pgSz w:w="11880" w:h="15480"/>
          <w:pgMar w:header="0" w:footer="1253" w:top="1240" w:bottom="1440" w:left="1220" w:right="1300"/>
        </w:sect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1040"/>
        <w:gridCol w:w="160"/>
        <w:gridCol w:w="1040"/>
        <w:gridCol w:w="160"/>
        <w:gridCol w:w="1040"/>
      </w:tblGrid>
      <w:tr>
        <w:trPr>
          <w:trHeight w:val="230" w:hRule="exact"/>
        </w:trPr>
        <w:tc>
          <w:tcPr>
            <w:tcW w:w="5280" w:type="dxa"/>
          </w:tcPr>
          <w:p>
            <w:pPr/>
          </w:p>
        </w:tc>
        <w:tc>
          <w:tcPr>
            <w:tcW w:w="1040" w:type="dxa"/>
            <w:tcBorders>
              <w:bottom w:val="single" w:sz="8" w:space="0" w:color="231F20"/>
            </w:tcBorders>
          </w:tcPr>
          <w:p>
            <w:pPr>
              <w:pStyle w:val="TableParagraph"/>
              <w:spacing w:line="199" w:lineRule="exact"/>
              <w:ind w:right="211"/>
              <w:rPr>
                <w:b/>
                <w:sz w:val="18"/>
              </w:rPr>
            </w:pPr>
            <w:r>
              <w:rPr>
                <w:b/>
                <w:color w:val="231F20"/>
                <w:sz w:val="18"/>
              </w:rPr>
              <w:t>2013 (2)</w:t>
            </w:r>
          </w:p>
        </w:tc>
        <w:tc>
          <w:tcPr>
            <w:tcW w:w="160" w:type="dxa"/>
          </w:tcPr>
          <w:p>
            <w:pPr/>
          </w:p>
        </w:tc>
        <w:tc>
          <w:tcPr>
            <w:tcW w:w="1040" w:type="dxa"/>
            <w:tcBorders>
              <w:bottom w:val="single" w:sz="8" w:space="0" w:color="231F20"/>
            </w:tcBorders>
          </w:tcPr>
          <w:p>
            <w:pPr>
              <w:pStyle w:val="TableParagraph"/>
              <w:spacing w:line="199" w:lineRule="exact"/>
              <w:ind w:right="211"/>
              <w:rPr>
                <w:b/>
                <w:sz w:val="18"/>
              </w:rPr>
            </w:pPr>
            <w:r>
              <w:rPr>
                <w:b/>
                <w:color w:val="231F20"/>
                <w:sz w:val="18"/>
              </w:rPr>
              <w:t>2012 (2)</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2011</w:t>
            </w:r>
          </w:p>
        </w:tc>
      </w:tr>
      <w:tr>
        <w:trPr>
          <w:trHeight w:val="250" w:hRule="exact"/>
        </w:trPr>
        <w:tc>
          <w:tcPr>
            <w:tcW w:w="5280" w:type="dxa"/>
          </w:tcPr>
          <w:p>
            <w:pPr>
              <w:pStyle w:val="TableParagraph"/>
              <w:spacing w:before="42"/>
              <w:ind w:right="113"/>
              <w:rPr>
                <w:sz w:val="18"/>
              </w:rPr>
            </w:pPr>
            <w:r>
              <w:rPr>
                <w:color w:val="231F20"/>
                <w:sz w:val="18"/>
              </w:rPr>
              <w:t>Wtd-average discount rate  . . . . . . . . . . . . . . . . . . . . . . . . . . . . . . . </w:t>
            </w:r>
          </w:p>
        </w:tc>
        <w:tc>
          <w:tcPr>
            <w:tcW w:w="1040" w:type="dxa"/>
            <w:tcBorders>
              <w:top w:val="single" w:sz="8" w:space="0" w:color="231F20"/>
            </w:tcBorders>
          </w:tcPr>
          <w:p>
            <w:pPr>
              <w:pStyle w:val="TableParagraph"/>
              <w:spacing w:before="32"/>
              <w:ind w:right="210"/>
              <w:rPr>
                <w:sz w:val="18"/>
              </w:rPr>
            </w:pPr>
            <w:r>
              <w:rPr>
                <w:color w:val="231F20"/>
                <w:sz w:val="18"/>
              </w:rPr>
              <w:t>5.05%</w:t>
            </w:r>
          </w:p>
        </w:tc>
        <w:tc>
          <w:tcPr>
            <w:tcW w:w="160" w:type="dxa"/>
          </w:tcPr>
          <w:p>
            <w:pPr/>
          </w:p>
        </w:tc>
        <w:tc>
          <w:tcPr>
            <w:tcW w:w="1040" w:type="dxa"/>
            <w:tcBorders>
              <w:top w:val="single" w:sz="8" w:space="0" w:color="231F20"/>
            </w:tcBorders>
          </w:tcPr>
          <w:p>
            <w:pPr>
              <w:pStyle w:val="TableParagraph"/>
              <w:spacing w:before="32"/>
              <w:ind w:right="209"/>
              <w:rPr>
                <w:sz w:val="18"/>
              </w:rPr>
            </w:pPr>
            <w:r>
              <w:rPr>
                <w:color w:val="231F20"/>
                <w:sz w:val="18"/>
              </w:rPr>
              <w:t>2.90%</w:t>
            </w:r>
          </w:p>
        </w:tc>
        <w:tc>
          <w:tcPr>
            <w:tcW w:w="160" w:type="dxa"/>
          </w:tcPr>
          <w:p>
            <w:pPr/>
          </w:p>
        </w:tc>
        <w:tc>
          <w:tcPr>
            <w:tcW w:w="1040" w:type="dxa"/>
            <w:tcBorders>
              <w:top w:val="single" w:sz="8" w:space="0" w:color="231F20"/>
            </w:tcBorders>
          </w:tcPr>
          <w:p>
            <w:pPr>
              <w:pStyle w:val="TableParagraph"/>
              <w:spacing w:before="32"/>
              <w:ind w:left="363"/>
              <w:jc w:val="left"/>
              <w:rPr>
                <w:sz w:val="18"/>
              </w:rPr>
            </w:pPr>
            <w:r>
              <w:rPr>
                <w:color w:val="231F20"/>
                <w:sz w:val="18"/>
              </w:rPr>
              <w:t>4.05%</w:t>
            </w:r>
          </w:p>
        </w:tc>
      </w:tr>
      <w:tr>
        <w:trPr>
          <w:trHeight w:val="315" w:hRule="exact"/>
        </w:trPr>
        <w:tc>
          <w:tcPr>
            <w:tcW w:w="5280" w:type="dxa"/>
          </w:tcPr>
          <w:p>
            <w:pPr>
              <w:pStyle w:val="TableParagraph"/>
              <w:spacing w:line="199" w:lineRule="exact"/>
              <w:ind w:right="113"/>
              <w:rPr>
                <w:sz w:val="18"/>
              </w:rPr>
            </w:pPr>
            <w:r>
              <w:rPr>
                <w:color w:val="231F20"/>
                <w:sz w:val="18"/>
              </w:rPr>
              <w:t>Assumed healthcare cost trend rate (1)  . . . . . . . . . . . . . . . . . . . . . </w:t>
            </w:r>
          </w:p>
        </w:tc>
        <w:tc>
          <w:tcPr>
            <w:tcW w:w="1040" w:type="dxa"/>
          </w:tcPr>
          <w:p>
            <w:pPr>
              <w:pStyle w:val="TableParagraph"/>
              <w:spacing w:line="199" w:lineRule="exact"/>
              <w:ind w:right="210"/>
              <w:rPr>
                <w:sz w:val="18"/>
              </w:rPr>
            </w:pPr>
            <w:r>
              <w:rPr>
                <w:color w:val="231F20"/>
                <w:sz w:val="18"/>
              </w:rPr>
              <w:t>7.50%</w:t>
            </w:r>
          </w:p>
        </w:tc>
        <w:tc>
          <w:tcPr>
            <w:tcW w:w="160" w:type="dxa"/>
          </w:tcPr>
          <w:p>
            <w:pPr/>
          </w:p>
        </w:tc>
        <w:tc>
          <w:tcPr>
            <w:tcW w:w="1040" w:type="dxa"/>
          </w:tcPr>
          <w:p>
            <w:pPr>
              <w:pStyle w:val="TableParagraph"/>
              <w:spacing w:line="199" w:lineRule="exact"/>
              <w:ind w:right="209"/>
              <w:rPr>
                <w:sz w:val="18"/>
              </w:rPr>
            </w:pPr>
            <w:r>
              <w:rPr>
                <w:color w:val="231F20"/>
                <w:sz w:val="18"/>
              </w:rPr>
              <w:t>8.00%</w:t>
            </w:r>
          </w:p>
        </w:tc>
        <w:tc>
          <w:tcPr>
            <w:tcW w:w="160" w:type="dxa"/>
          </w:tcPr>
          <w:p>
            <w:pPr/>
          </w:p>
        </w:tc>
        <w:tc>
          <w:tcPr>
            <w:tcW w:w="1040" w:type="dxa"/>
          </w:tcPr>
          <w:p>
            <w:pPr>
              <w:pStyle w:val="TableParagraph"/>
              <w:spacing w:line="199" w:lineRule="exact"/>
              <w:ind w:left="363"/>
              <w:jc w:val="left"/>
              <w:rPr>
                <w:sz w:val="18"/>
              </w:rPr>
            </w:pPr>
            <w:r>
              <w:rPr>
                <w:color w:val="231F20"/>
                <w:sz w:val="18"/>
              </w:rPr>
              <w:t>7.50%</w:t>
            </w:r>
          </w:p>
        </w:tc>
      </w:tr>
    </w:tbl>
    <w:p>
      <w:pPr>
        <w:pStyle w:val="ListParagraph"/>
        <w:numPr>
          <w:ilvl w:val="0"/>
          <w:numId w:val="20"/>
        </w:numPr>
        <w:tabs>
          <w:tab w:pos="560" w:val="left" w:leader="none"/>
        </w:tabs>
        <w:spacing w:line="249" w:lineRule="auto" w:before="48" w:after="0"/>
        <w:ind w:left="560" w:right="427" w:hanging="400"/>
        <w:jc w:val="left"/>
        <w:rPr>
          <w:sz w:val="20"/>
        </w:rPr>
      </w:pPr>
      <w:r>
        <w:rPr>
          <w:color w:val="231F20"/>
          <w:sz w:val="20"/>
        </w:rPr>
        <w:t>The assumed healthcare cost trend rate is assumed to remain at 7.5% for 2014, then decline gradually to 5.0% by 2024 and remain level</w:t>
      </w:r>
      <w:r>
        <w:rPr>
          <w:color w:val="231F20"/>
          <w:spacing w:val="2"/>
          <w:sz w:val="20"/>
        </w:rPr>
        <w:t> </w:t>
      </w:r>
      <w:r>
        <w:rPr>
          <w:color w:val="231F20"/>
          <w:sz w:val="20"/>
        </w:rPr>
        <w:t>thereafter.</w:t>
      </w:r>
    </w:p>
    <w:p>
      <w:pPr>
        <w:pStyle w:val="ListParagraph"/>
        <w:numPr>
          <w:ilvl w:val="0"/>
          <w:numId w:val="20"/>
        </w:numPr>
        <w:tabs>
          <w:tab w:pos="560" w:val="left" w:leader="none"/>
        </w:tabs>
        <w:spacing w:line="240" w:lineRule="auto" w:before="1" w:after="0"/>
        <w:ind w:left="560" w:right="0" w:hanging="400"/>
        <w:jc w:val="left"/>
        <w:rPr>
          <w:sz w:val="20"/>
        </w:rPr>
      </w:pPr>
      <w:r>
        <w:rPr>
          <w:color w:val="231F20"/>
          <w:sz w:val="20"/>
        </w:rPr>
        <w:t>Includes AirTran</w:t>
      </w:r>
      <w:r>
        <w:rPr>
          <w:color w:val="231F20"/>
          <w:spacing w:val="1"/>
          <w:sz w:val="20"/>
        </w:rPr>
        <w:t> </w:t>
      </w:r>
      <w:r>
        <w:rPr>
          <w:color w:val="231F20"/>
          <w:sz w:val="20"/>
        </w:rPr>
        <w:t>plans.</w:t>
      </w:r>
    </w:p>
    <w:p>
      <w:pPr>
        <w:pStyle w:val="BodyText"/>
        <w:spacing w:before="9"/>
        <w:rPr>
          <w:sz w:val="18"/>
        </w:rPr>
      </w:pPr>
    </w:p>
    <w:p>
      <w:pPr>
        <w:pStyle w:val="BodyText"/>
        <w:spacing w:line="249" w:lineRule="auto"/>
        <w:ind w:left="160" w:right="115" w:firstLine="490"/>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increased during 2013 due to both market conditions and a longer expected participant service period. The assumed healthcare trend rate is also reviewed at least annually and is determined based upon both historical experience with the Company’s healthcare benefits paid and expectations of how those trends may or may not change in future years.</w:t>
      </w:r>
    </w:p>
    <w:p>
      <w:pPr>
        <w:pStyle w:val="BodyText"/>
        <w:spacing w:before="11"/>
        <w:rPr>
          <w:sz w:val="26"/>
        </w:rPr>
      </w:pPr>
    </w:p>
    <w:p>
      <w:pPr>
        <w:pStyle w:val="Heading3"/>
        <w:numPr>
          <w:ilvl w:val="0"/>
          <w:numId w:val="13"/>
        </w:numPr>
        <w:tabs>
          <w:tab w:pos="460" w:val="left" w:leader="none"/>
        </w:tabs>
        <w:spacing w:line="240" w:lineRule="auto" w:before="0" w:after="0"/>
        <w:ind w:left="460" w:right="0" w:hanging="300"/>
        <w:jc w:val="left"/>
      </w:pPr>
      <w:r>
        <w:rPr>
          <w:color w:val="231F20"/>
        </w:rPr>
        <w:t>INCOME</w:t>
      </w:r>
      <w:r>
        <w:rPr>
          <w:color w:val="231F20"/>
          <w:spacing w:val="-2"/>
        </w:rPr>
        <w:t> </w:t>
      </w:r>
      <w:r>
        <w:rPr>
          <w:color w:val="231F20"/>
        </w:rPr>
        <w:t>TAXES</w:t>
      </w:r>
    </w:p>
    <w:p>
      <w:pPr>
        <w:pStyle w:val="BodyText"/>
        <w:spacing w:line="249" w:lineRule="auto" w:before="113"/>
        <w:ind w:left="160" w:firstLine="490"/>
      </w:pP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2013 and 2012, are as follows:</w:t>
      </w:r>
    </w:p>
    <w:p>
      <w:pPr>
        <w:pStyle w:val="BodyText"/>
        <w:spacing w:before="1"/>
        <w:rPr>
          <w:sz w:val="1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5"/>
        <w:gridCol w:w="115"/>
        <w:gridCol w:w="1040"/>
        <w:gridCol w:w="160"/>
        <w:gridCol w:w="1040"/>
      </w:tblGrid>
      <w:tr>
        <w:trPr>
          <w:trHeight w:val="230" w:hRule="exact"/>
        </w:trPr>
        <w:tc>
          <w:tcPr>
            <w:tcW w:w="60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2013</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2012</w:t>
            </w:r>
          </w:p>
        </w:tc>
      </w:tr>
      <w:tr>
        <w:trPr>
          <w:trHeight w:val="450" w:hRule="exact"/>
        </w:trPr>
        <w:tc>
          <w:tcPr>
            <w:tcW w:w="6015" w:type="dxa"/>
            <w:tcBorders>
              <w:top w:val="single" w:sz="8" w:space="0" w:color="231F20"/>
            </w:tcBorders>
          </w:tcPr>
          <w:p>
            <w:pPr>
              <w:pStyle w:val="TableParagraph"/>
              <w:spacing w:line="203" w:lineRule="exact" w:before="32"/>
              <w:ind w:left="50"/>
              <w:jc w:val="left"/>
              <w:rPr>
                <w:b/>
                <w:sz w:val="18"/>
              </w:rPr>
            </w:pPr>
            <w:r>
              <w:rPr>
                <w:b/>
                <w:color w:val="231F20"/>
                <w:sz w:val="18"/>
              </w:rPr>
              <w:t>DEFERRED TAX LIABILITIES:</w:t>
            </w:r>
          </w:p>
          <w:p>
            <w:pPr>
              <w:pStyle w:val="TableParagraph"/>
              <w:spacing w:line="203" w:lineRule="exact"/>
              <w:ind w:left="230"/>
              <w:jc w:val="left"/>
              <w:rPr>
                <w:sz w:val="18"/>
              </w:rPr>
            </w:pPr>
            <w:r>
              <w:rPr>
                <w:color w:val="231F20"/>
                <w:sz w:val="18"/>
              </w:rPr>
              <w:t>Accelerated depreciation   . . . . . . . . . . . . . . . . . . . . . . . . . . . . . . . . . . . . . . . . . . . </w:t>
            </w:r>
          </w:p>
        </w:tc>
        <w:tc>
          <w:tcPr>
            <w:tcW w:w="115" w:type="dxa"/>
          </w:tcPr>
          <w:p>
            <w:pPr/>
          </w:p>
        </w:tc>
        <w:tc>
          <w:tcPr>
            <w:tcW w:w="1040" w:type="dxa"/>
            <w:tcBorders>
              <w:top w:val="single" w:sz="8" w:space="0" w:color="231F20"/>
            </w:tcBorders>
          </w:tcPr>
          <w:p>
            <w:pPr>
              <w:pStyle w:val="TableParagraph"/>
              <w:spacing w:before="1"/>
              <w:jc w:val="left"/>
              <w:rPr>
                <w:sz w:val="20"/>
              </w:rPr>
            </w:pPr>
          </w:p>
          <w:p>
            <w:pPr>
              <w:pStyle w:val="TableParagraph"/>
              <w:tabs>
                <w:tab w:pos="594" w:val="left" w:leader="none"/>
              </w:tabs>
              <w:spacing w:before="1"/>
              <w:ind w:right="38"/>
              <w:rPr>
                <w:sz w:val="18"/>
              </w:rPr>
            </w:pPr>
            <w:r>
              <w:rPr>
                <w:color w:val="231F20"/>
                <w:sz w:val="18"/>
              </w:rPr>
              <w:t>$</w:t>
              <w:tab/>
            </w:r>
            <w:r>
              <w:rPr>
                <w:color w:val="231F20"/>
                <w:spacing w:val="-1"/>
                <w:sz w:val="18"/>
              </w:rPr>
              <w:t>4,069</w:t>
            </w:r>
          </w:p>
        </w:tc>
        <w:tc>
          <w:tcPr>
            <w:tcW w:w="160" w:type="dxa"/>
          </w:tcPr>
          <w:p>
            <w:pPr/>
          </w:p>
        </w:tc>
        <w:tc>
          <w:tcPr>
            <w:tcW w:w="1040" w:type="dxa"/>
            <w:tcBorders>
              <w:top w:val="single" w:sz="8" w:space="0" w:color="231F20"/>
            </w:tcBorders>
          </w:tcPr>
          <w:p>
            <w:pPr>
              <w:pStyle w:val="TableParagraph"/>
              <w:spacing w:before="1"/>
              <w:jc w:val="left"/>
              <w:rPr>
                <w:sz w:val="20"/>
              </w:rPr>
            </w:pPr>
          </w:p>
          <w:p>
            <w:pPr>
              <w:pStyle w:val="TableParagraph"/>
              <w:tabs>
                <w:tab w:pos="595" w:val="left" w:leader="none"/>
              </w:tabs>
              <w:spacing w:before="1"/>
              <w:ind w:right="39"/>
              <w:rPr>
                <w:sz w:val="18"/>
              </w:rPr>
            </w:pPr>
            <w:r>
              <w:rPr>
                <w:color w:val="231F20"/>
                <w:sz w:val="18"/>
              </w:rPr>
              <w:t>$</w:t>
              <w:tab/>
              <w:t>3,939</w:t>
            </w:r>
          </w:p>
        </w:tc>
      </w:tr>
      <w:tr>
        <w:trPr>
          <w:trHeight w:val="200" w:hRule="exact"/>
        </w:trPr>
        <w:tc>
          <w:tcPr>
            <w:tcW w:w="6015" w:type="dxa"/>
          </w:tcPr>
          <w:p>
            <w:pPr>
              <w:pStyle w:val="TableParagraph"/>
              <w:spacing w:line="199" w:lineRule="exact"/>
              <w:rPr>
                <w:sz w:val="18"/>
              </w:rPr>
            </w:pPr>
            <w:r>
              <w:rPr>
                <w:color w:val="231F20"/>
                <w:sz w:val="18"/>
              </w:rPr>
              <w:t>Fuel derivative instruments   . . . . . . . . . . . . . . . . . . . . . . . . . . . . . . . . . . . . . . . . . </w:t>
            </w:r>
          </w:p>
        </w:tc>
        <w:tc>
          <w:tcPr>
            <w:tcW w:w="115" w:type="dxa"/>
          </w:tcPr>
          <w:p>
            <w:pPr/>
          </w:p>
        </w:tc>
        <w:tc>
          <w:tcPr>
            <w:tcW w:w="1040" w:type="dxa"/>
          </w:tcPr>
          <w:p>
            <w:pPr>
              <w:pStyle w:val="TableParagraph"/>
              <w:spacing w:line="199" w:lineRule="exact"/>
              <w:ind w:right="38"/>
              <w:rPr>
                <w:sz w:val="18"/>
              </w:rPr>
            </w:pPr>
            <w:r>
              <w:rPr>
                <w:color w:val="231F20"/>
                <w:sz w:val="18"/>
              </w:rPr>
              <w:t>36</w:t>
            </w:r>
          </w:p>
        </w:tc>
        <w:tc>
          <w:tcPr>
            <w:tcW w:w="160" w:type="dxa"/>
          </w:tcPr>
          <w:p>
            <w:pPr/>
          </w:p>
        </w:tc>
        <w:tc>
          <w:tcPr>
            <w:tcW w:w="1040" w:type="dxa"/>
          </w:tcPr>
          <w:p>
            <w:pPr>
              <w:pStyle w:val="TableParagraph"/>
              <w:spacing w:line="199" w:lineRule="exact"/>
              <w:ind w:right="39"/>
              <w:rPr>
                <w:sz w:val="18"/>
              </w:rPr>
            </w:pPr>
            <w:r>
              <w:rPr>
                <w:color w:val="231F20"/>
                <w:sz w:val="18"/>
              </w:rPr>
              <w:t>33</w:t>
            </w:r>
          </w:p>
        </w:tc>
      </w:tr>
      <w:tr>
        <w:trPr>
          <w:trHeight w:val="235" w:hRule="exact"/>
        </w:trPr>
        <w:tc>
          <w:tcPr>
            <w:tcW w:w="6015" w:type="dxa"/>
          </w:tcPr>
          <w:p>
            <w:pPr>
              <w:pStyle w:val="TableParagraph"/>
              <w:spacing w:line="199" w:lineRule="exact"/>
              <w:rPr>
                <w:sz w:val="18"/>
              </w:rPr>
            </w:pPr>
            <w:r>
              <w:rPr>
                <w:color w:val="231F20"/>
                <w:sz w:val="18"/>
              </w:rPr>
              <w:t>Other . . . . . . . . . . . . . . . . . . . . . . . . . . . . . . . . . . . . . . . . . . . . . . . . . . . . . . . . . . . </w:t>
            </w:r>
          </w:p>
        </w:tc>
        <w:tc>
          <w:tcPr>
            <w:tcW w:w="115" w:type="dxa"/>
          </w:tcPr>
          <w:p>
            <w:pPr/>
          </w:p>
        </w:tc>
        <w:tc>
          <w:tcPr>
            <w:tcW w:w="1040" w:type="dxa"/>
            <w:tcBorders>
              <w:bottom w:val="single" w:sz="4" w:space="0" w:color="231F20"/>
            </w:tcBorders>
          </w:tcPr>
          <w:p>
            <w:pPr>
              <w:pStyle w:val="TableParagraph"/>
              <w:spacing w:line="199" w:lineRule="exact"/>
              <w:ind w:right="38"/>
              <w:rPr>
                <w:sz w:val="18"/>
              </w:rPr>
            </w:pPr>
            <w:r>
              <w:rPr>
                <w:color w:val="231F20"/>
                <w:sz w:val="18"/>
              </w:rPr>
              <w:t>84</w:t>
            </w:r>
          </w:p>
        </w:tc>
        <w:tc>
          <w:tcPr>
            <w:tcW w:w="160" w:type="dxa"/>
          </w:tcPr>
          <w:p>
            <w:pPr/>
          </w:p>
        </w:tc>
        <w:tc>
          <w:tcPr>
            <w:tcW w:w="1040" w:type="dxa"/>
            <w:tcBorders>
              <w:bottom w:val="single" w:sz="4" w:space="0" w:color="231F20"/>
            </w:tcBorders>
          </w:tcPr>
          <w:p>
            <w:pPr>
              <w:pStyle w:val="TableParagraph"/>
              <w:spacing w:line="199" w:lineRule="exact"/>
              <w:ind w:right="39"/>
              <w:rPr>
                <w:sz w:val="18"/>
              </w:rPr>
            </w:pPr>
            <w:r>
              <w:rPr>
                <w:color w:val="231F20"/>
                <w:sz w:val="18"/>
              </w:rPr>
              <w:t>70</w:t>
            </w:r>
          </w:p>
        </w:tc>
      </w:tr>
      <w:tr>
        <w:trPr>
          <w:trHeight w:val="244" w:hRule="exact"/>
        </w:trPr>
        <w:tc>
          <w:tcPr>
            <w:tcW w:w="6015" w:type="dxa"/>
          </w:tcPr>
          <w:p>
            <w:pPr>
              <w:pStyle w:val="TableParagraph"/>
              <w:spacing w:before="37"/>
              <w:rPr>
                <w:sz w:val="18"/>
              </w:rPr>
            </w:pPr>
            <w:r>
              <w:rPr>
                <w:color w:val="231F20"/>
                <w:sz w:val="18"/>
              </w:rPr>
              <w:t>Total deferred tax liabilities  . . . . . . . . . . . . . . . . . . . . . . . . . . . . . . . . . . . . . . . </w:t>
            </w:r>
          </w:p>
        </w:tc>
        <w:tc>
          <w:tcPr>
            <w:tcW w:w="115" w:type="dxa"/>
          </w:tcPr>
          <w:p>
            <w:pPr/>
          </w:p>
        </w:tc>
        <w:tc>
          <w:tcPr>
            <w:tcW w:w="1040" w:type="dxa"/>
            <w:tcBorders>
              <w:top w:val="single" w:sz="4" w:space="0" w:color="231F20"/>
            </w:tcBorders>
          </w:tcPr>
          <w:p>
            <w:pPr>
              <w:pStyle w:val="TableParagraph"/>
              <w:spacing w:before="32"/>
              <w:ind w:right="38"/>
              <w:rPr>
                <w:sz w:val="18"/>
              </w:rPr>
            </w:pPr>
            <w:r>
              <w:rPr>
                <w:color w:val="231F20"/>
                <w:sz w:val="18"/>
              </w:rPr>
              <w:t>4,189</w:t>
            </w:r>
          </w:p>
        </w:tc>
        <w:tc>
          <w:tcPr>
            <w:tcW w:w="160" w:type="dxa"/>
          </w:tcPr>
          <w:p>
            <w:pPr/>
          </w:p>
        </w:tc>
        <w:tc>
          <w:tcPr>
            <w:tcW w:w="1040" w:type="dxa"/>
            <w:tcBorders>
              <w:top w:val="single" w:sz="4" w:space="0" w:color="231F20"/>
            </w:tcBorders>
          </w:tcPr>
          <w:p>
            <w:pPr>
              <w:pStyle w:val="TableParagraph"/>
              <w:spacing w:before="32"/>
              <w:ind w:right="39"/>
              <w:rPr>
                <w:sz w:val="18"/>
              </w:rPr>
            </w:pPr>
            <w:r>
              <w:rPr>
                <w:color w:val="231F20"/>
                <w:sz w:val="18"/>
              </w:rPr>
              <w:t>4,042</w:t>
            </w:r>
          </w:p>
        </w:tc>
      </w:tr>
    </w:tbl>
    <w:p>
      <w:pPr>
        <w:spacing w:line="196" w:lineRule="exact" w:before="0"/>
        <w:ind w:left="160" w:right="0" w:firstLine="0"/>
        <w:jc w:val="left"/>
        <w:rPr>
          <w:b/>
          <w:sz w:val="18"/>
        </w:rPr>
      </w:pPr>
      <w:r>
        <w:rPr>
          <w:b/>
          <w:color w:val="231F20"/>
          <w:sz w:val="18"/>
        </w:rPr>
        <w:t>DEFERRED TAX ASSETS:</w:t>
      </w:r>
    </w:p>
    <w:p>
      <w:pPr>
        <w:tabs>
          <w:tab w:pos="7149" w:val="left" w:leader="none"/>
          <w:tab w:pos="8259" w:val="left" w:leader="none"/>
        </w:tabs>
        <w:spacing w:line="200" w:lineRule="exact" w:before="0"/>
        <w:ind w:left="340" w:right="0" w:firstLine="0"/>
        <w:jc w:val="left"/>
        <w:rPr>
          <w:sz w:val="18"/>
        </w:rPr>
      </w:pPr>
      <w:r>
        <w:rPr>
          <w:color w:val="231F20"/>
          <w:sz w:val="18"/>
        </w:rPr>
        <w:t>Fuel derivative instruments   . . . . . . . . . . . . . . . . . . . . . . . . . . . . . . . . . . . . . . .</w:t>
      </w:r>
      <w:r>
        <w:rPr>
          <w:color w:val="231F20"/>
          <w:spacing w:val="-11"/>
          <w:sz w:val="18"/>
        </w:rPr>
        <w:t> </w:t>
      </w:r>
      <w:r>
        <w:rPr>
          <w:color w:val="231F20"/>
          <w:sz w:val="18"/>
        </w:rPr>
        <w:t>. .</w:t>
        <w:tab/>
        <w:t>8</w:t>
        <w:tab/>
        <w:t>40</w:t>
      </w:r>
    </w:p>
    <w:p>
      <w:pPr>
        <w:tabs>
          <w:tab w:pos="7059" w:val="left" w:leader="none"/>
          <w:tab w:pos="8259" w:val="left" w:leader="none"/>
        </w:tabs>
        <w:spacing w:line="200" w:lineRule="exact" w:before="0"/>
        <w:ind w:left="339" w:right="0" w:firstLine="0"/>
        <w:jc w:val="left"/>
        <w:rPr>
          <w:sz w:val="18"/>
        </w:rPr>
      </w:pPr>
      <w:r>
        <w:rPr>
          <w:color w:val="231F20"/>
          <w:sz w:val="18"/>
        </w:rPr>
        <w:t>Deferred gains from sale and leaseback of aircraft   . . . . . . . . . . . . . . . . . . . . .</w:t>
      </w:r>
      <w:r>
        <w:rPr>
          <w:color w:val="231F20"/>
          <w:spacing w:val="-15"/>
          <w:sz w:val="18"/>
        </w:rPr>
        <w:t> </w:t>
      </w:r>
      <w:r>
        <w:rPr>
          <w:color w:val="231F20"/>
          <w:sz w:val="18"/>
        </w:rPr>
        <w:t>. .</w:t>
        <w:tab/>
        <w:t>24</w:t>
        <w:tab/>
        <w:t>24</w:t>
      </w:r>
    </w:p>
    <w:p>
      <w:pPr>
        <w:tabs>
          <w:tab w:pos="6969" w:val="left" w:leader="none"/>
          <w:tab w:pos="8169" w:val="left" w:leader="none"/>
        </w:tabs>
        <w:spacing w:line="200" w:lineRule="exact" w:before="0"/>
        <w:ind w:left="339" w:right="0" w:firstLine="0"/>
        <w:jc w:val="left"/>
        <w:rPr>
          <w:sz w:val="18"/>
        </w:rPr>
      </w:pPr>
      <w:r>
        <w:rPr>
          <w:color w:val="231F20"/>
          <w:sz w:val="18"/>
        </w:rPr>
        <w:t>Capital and operating leases  . . . . . . . . . . . . . . . . . . . . . . . . . . . . . . . . . . . . . . .</w:t>
      </w:r>
      <w:r>
        <w:rPr>
          <w:color w:val="231F20"/>
          <w:spacing w:val="-20"/>
          <w:sz w:val="18"/>
        </w:rPr>
        <w:t> </w:t>
      </w:r>
      <w:r>
        <w:rPr>
          <w:color w:val="231F20"/>
          <w:sz w:val="18"/>
        </w:rPr>
        <w:t>. .</w:t>
        <w:tab/>
        <w:t>163</w:t>
        <w:tab/>
        <w:t>179</w:t>
      </w:r>
    </w:p>
    <w:p>
      <w:pPr>
        <w:tabs>
          <w:tab w:pos="6969" w:val="left" w:leader="none"/>
          <w:tab w:pos="8169" w:val="left" w:leader="none"/>
        </w:tabs>
        <w:spacing w:line="200" w:lineRule="exact" w:before="0"/>
        <w:ind w:left="339" w:right="0" w:firstLine="0"/>
        <w:jc w:val="left"/>
        <w:rPr>
          <w:sz w:val="18"/>
        </w:rPr>
      </w:pPr>
      <w:r>
        <w:rPr>
          <w:color w:val="231F20"/>
          <w:sz w:val="18"/>
        </w:rPr>
        <w:t>Construction obligation   . . . . . . . . . . . . . . . . . . . . . . . . . . . . . . . . . . . . . . . . . .</w:t>
      </w:r>
      <w:r>
        <w:rPr>
          <w:color w:val="231F20"/>
          <w:spacing w:val="-16"/>
          <w:sz w:val="18"/>
        </w:rPr>
        <w:t> </w:t>
      </w:r>
      <w:r>
        <w:rPr>
          <w:color w:val="231F20"/>
          <w:sz w:val="18"/>
        </w:rPr>
        <w:t>. .</w:t>
        <w:tab/>
        <w:t>168</w:t>
        <w:tab/>
        <w:t>127</w:t>
      </w:r>
    </w:p>
    <w:p>
      <w:pPr>
        <w:tabs>
          <w:tab w:pos="7059" w:val="left" w:leader="none"/>
          <w:tab w:pos="8259" w:val="left" w:leader="none"/>
        </w:tabs>
        <w:spacing w:line="200" w:lineRule="exact" w:before="0"/>
        <w:ind w:left="339" w:right="0" w:firstLine="0"/>
        <w:jc w:val="left"/>
        <w:rPr>
          <w:sz w:val="18"/>
        </w:rPr>
      </w:pPr>
      <w:r>
        <w:rPr>
          <w:color w:val="231F20"/>
          <w:sz w:val="18"/>
        </w:rPr>
        <w:t>Accrued engine maintenance  . . . . . . . . . . . . . . . . . . . . . . . . . . . . . . . . . . . . . .</w:t>
      </w:r>
      <w:r>
        <w:rPr>
          <w:color w:val="231F20"/>
          <w:spacing w:val="5"/>
          <w:sz w:val="18"/>
        </w:rPr>
        <w:t> </w:t>
      </w:r>
      <w:r>
        <w:rPr>
          <w:color w:val="231F20"/>
          <w:sz w:val="18"/>
        </w:rPr>
        <w:t>. .</w:t>
        <w:tab/>
        <w:t>90</w:t>
        <w:tab/>
        <w:t>84</w:t>
      </w:r>
    </w:p>
    <w:p>
      <w:pPr>
        <w:tabs>
          <w:tab w:pos="6969" w:val="left" w:leader="none"/>
          <w:tab w:pos="8169" w:val="left" w:leader="none"/>
        </w:tabs>
        <w:spacing w:line="200" w:lineRule="exact" w:before="0"/>
        <w:ind w:left="339" w:right="0" w:firstLine="0"/>
        <w:jc w:val="left"/>
        <w:rPr>
          <w:sz w:val="18"/>
        </w:rPr>
      </w:pPr>
      <w:r>
        <w:rPr>
          <w:color w:val="231F20"/>
          <w:sz w:val="18"/>
        </w:rPr>
        <w:t>Accrued employee benefits   . . . . . . . . . . . . . . . . . . . . . . . . . . . . . . . . . . . . . . .</w:t>
      </w:r>
      <w:r>
        <w:rPr>
          <w:color w:val="231F20"/>
          <w:spacing w:val="-10"/>
          <w:sz w:val="18"/>
        </w:rPr>
        <w:t> </w:t>
      </w:r>
      <w:r>
        <w:rPr>
          <w:color w:val="231F20"/>
          <w:sz w:val="18"/>
        </w:rPr>
        <w:t>. .</w:t>
        <w:tab/>
        <w:t>307</w:t>
        <w:tab/>
        <w:t>281</w:t>
      </w:r>
    </w:p>
    <w:p>
      <w:pPr>
        <w:tabs>
          <w:tab w:pos="7059" w:val="left" w:leader="none"/>
          <w:tab w:pos="8259" w:val="left" w:leader="none"/>
        </w:tabs>
        <w:spacing w:line="200" w:lineRule="exact" w:before="0"/>
        <w:ind w:left="339" w:right="0" w:firstLine="0"/>
        <w:jc w:val="left"/>
        <w:rPr>
          <w:sz w:val="18"/>
        </w:rPr>
      </w:pPr>
      <w:r>
        <w:rPr>
          <w:color w:val="231F20"/>
          <w:sz w:val="18"/>
        </w:rPr>
        <w:t>State taxes . . . . . . . . . . . . . . . . . . . . . . . . . . . . . . . . . . . . . . . . . . . . . . . . . . . . .</w:t>
      </w:r>
      <w:r>
        <w:rPr>
          <w:color w:val="231F20"/>
          <w:spacing w:val="15"/>
          <w:sz w:val="18"/>
        </w:rPr>
        <w:t> </w:t>
      </w:r>
      <w:r>
        <w:rPr>
          <w:color w:val="231F20"/>
          <w:sz w:val="18"/>
        </w:rPr>
        <w:t>. .</w:t>
        <w:tab/>
        <w:t>74</w:t>
        <w:tab/>
        <w:t>77</w:t>
      </w:r>
    </w:p>
    <w:p>
      <w:pPr>
        <w:tabs>
          <w:tab w:pos="6969" w:val="left" w:leader="none"/>
          <w:tab w:pos="8169" w:val="left" w:leader="none"/>
        </w:tabs>
        <w:spacing w:line="200" w:lineRule="exact" w:before="0"/>
        <w:ind w:left="339" w:right="0" w:firstLine="0"/>
        <w:jc w:val="left"/>
        <w:rPr>
          <w:sz w:val="18"/>
        </w:rPr>
      </w:pPr>
      <w:r>
        <w:rPr>
          <w:color w:val="231F20"/>
          <w:sz w:val="18"/>
        </w:rPr>
        <w:t>Business partner income . . . . . . . . . . . . . . . . . . . . . . . . . . . . . . . . . . . . . . . . . .</w:t>
      </w:r>
      <w:r>
        <w:rPr>
          <w:color w:val="231F20"/>
          <w:spacing w:val="9"/>
          <w:sz w:val="18"/>
        </w:rPr>
        <w:t> </w:t>
      </w:r>
      <w:r>
        <w:rPr>
          <w:color w:val="231F20"/>
          <w:sz w:val="18"/>
        </w:rPr>
        <w:t>. .</w:t>
        <w:tab/>
        <w:t>457</w:t>
        <w:tab/>
        <w:t>339</w:t>
      </w:r>
    </w:p>
    <w:p>
      <w:pPr>
        <w:tabs>
          <w:tab w:pos="7099" w:val="left" w:leader="none"/>
          <w:tab w:pos="8300" w:val="left" w:leader="none"/>
        </w:tabs>
        <w:spacing w:line="200" w:lineRule="exact" w:before="0"/>
        <w:ind w:left="339" w:right="0" w:firstLine="0"/>
        <w:jc w:val="left"/>
        <w:rPr>
          <w:sz w:val="18"/>
        </w:rPr>
      </w:pPr>
      <w:r>
        <w:rPr>
          <w:color w:val="231F20"/>
          <w:sz w:val="18"/>
        </w:rPr>
        <w:t>Net operating losses and credit carryforwards  . . . . . . . . . . . . . . . . . . . . . . . . .</w:t>
      </w:r>
      <w:r>
        <w:rPr>
          <w:color w:val="231F20"/>
          <w:spacing w:val="-10"/>
          <w:sz w:val="18"/>
        </w:rPr>
        <w:t> </w:t>
      </w:r>
      <w:r>
        <w:rPr>
          <w:color w:val="231F20"/>
          <w:sz w:val="18"/>
        </w:rPr>
        <w:t>. .</w:t>
        <w:tab/>
        <w:t>14</w:t>
        <w:tab/>
        <w:t>83</w:t>
      </w:r>
    </w:p>
    <w:p>
      <w:pPr>
        <w:tabs>
          <w:tab w:pos="7010" w:val="left" w:leader="none"/>
          <w:tab w:pos="8210" w:val="left" w:leader="none"/>
        </w:tabs>
        <w:spacing w:line="203" w:lineRule="exact" w:before="0"/>
        <w:ind w:left="340" w:right="0" w:firstLine="0"/>
        <w:jc w:val="left"/>
        <w:rPr>
          <w:sz w:val="18"/>
        </w:rPr>
      </w:pPr>
      <w:r>
        <w:rPr/>
        <w:pict>
          <v:line style="position:absolute;mso-position-horizontal-relative:page;mso-position-vertical-relative:paragraph;z-index:10144" from="373pt,11.988281pt" to="425pt,11.988281pt" stroked="true" strokeweight=".5pt" strokecolor="#231f20">
            <v:stroke dashstyle="solid"/>
            <w10:wrap type="none"/>
          </v:line>
        </w:pict>
      </w:r>
      <w:r>
        <w:rPr/>
        <w:pict>
          <v:line style="position:absolute;mso-position-horizontal-relative:page;mso-position-vertical-relative:paragraph;z-index:10168" from="433pt,11.988281pt" to="485pt,11.988281pt" stroked="true" strokeweight=".5pt" strokecolor="#231f20">
            <v:stroke dashstyle="solid"/>
            <w10:wrap type="none"/>
          </v:line>
        </w:pict>
      </w:r>
      <w:r>
        <w:rPr>
          <w:color w:val="231F20"/>
          <w:sz w:val="18"/>
        </w:rPr>
        <w:t>Other . . . . . . . . . . . . . . . . . . . . . . . . . . . . . . . . . . . . . . . . . . . . . . . . . . . . . . . . .</w:t>
      </w:r>
      <w:r>
        <w:rPr>
          <w:color w:val="231F20"/>
          <w:spacing w:val="20"/>
          <w:sz w:val="18"/>
        </w:rPr>
        <w:t> </w:t>
      </w:r>
      <w:r>
        <w:rPr>
          <w:color w:val="231F20"/>
          <w:sz w:val="18"/>
        </w:rPr>
        <w:t>. .</w:t>
        <w:tab/>
        <w:t>118</w:t>
        <w:tab/>
        <w:t>170</w:t>
      </w:r>
    </w:p>
    <w:p>
      <w:pPr>
        <w:tabs>
          <w:tab w:pos="6314" w:val="left" w:leader="none"/>
          <w:tab w:pos="7514" w:val="left" w:leader="none"/>
        </w:tabs>
        <w:spacing w:before="73"/>
        <w:ind w:left="0" w:right="359" w:firstLine="0"/>
        <w:jc w:val="center"/>
        <w:rPr>
          <w:sz w:val="18"/>
        </w:rPr>
      </w:pPr>
      <w:r>
        <w:rPr/>
        <w:pict>
          <v:line style="position:absolute;mso-position-horizontal-relative:page;mso-position-vertical-relative:paragraph;z-index:10192" from="373pt,15.802328pt" to="425pt,15.802328pt" stroked="true" strokeweight=".5pt" strokecolor="#231f20">
            <v:stroke dashstyle="solid"/>
            <w10:wrap type="none"/>
          </v:line>
        </w:pict>
      </w:r>
      <w:r>
        <w:rPr/>
        <w:pict>
          <v:line style="position:absolute;mso-position-horizontal-relative:page;mso-position-vertical-relative:paragraph;z-index:10216" from="433pt,15.802328pt" to="485pt,15.802328pt" stroked="true" strokeweight=".5pt" strokecolor="#231f20">
            <v:stroke dashstyle="solid"/>
            <w10:wrap type="none"/>
          </v:line>
        </w:pict>
      </w:r>
      <w:r>
        <w:rPr>
          <w:color w:val="231F20"/>
          <w:sz w:val="18"/>
        </w:rPr>
        <w:t>Total deferred tax assets  . . . . . . . . . . . . . . . . . . . . . . . . . . . . . . . . . . . . . . . .</w:t>
      </w:r>
      <w:r>
        <w:rPr>
          <w:color w:val="231F20"/>
          <w:spacing w:val="-20"/>
          <w:sz w:val="18"/>
        </w:rPr>
        <w:t> </w:t>
      </w:r>
      <w:r>
        <w:rPr>
          <w:color w:val="231F20"/>
          <w:sz w:val="18"/>
        </w:rPr>
        <w:t>. .</w:t>
        <w:tab/>
        <w:t>1,423</w:t>
        <w:tab/>
        <w:t>1,404</w:t>
      </w:r>
    </w:p>
    <w:p>
      <w:pPr>
        <w:tabs>
          <w:tab w:pos="6314" w:val="left" w:leader="none"/>
          <w:tab w:pos="7514" w:val="left" w:leader="none"/>
        </w:tabs>
        <w:spacing w:before="72"/>
        <w:ind w:left="0" w:right="359" w:firstLine="0"/>
        <w:jc w:val="center"/>
        <w:rPr>
          <w:sz w:val="18"/>
        </w:rPr>
      </w:pPr>
      <w:r>
        <w:rPr/>
        <w:pict>
          <v:group style="position:absolute;margin-left:372.75pt;margin-top:15.502344pt;width:52.5pt;height:2.5pt;mso-position-horizontal-relative:page;mso-position-vertical-relative:paragraph;z-index:9928;mso-wrap-distance-left:0;mso-wrap-distance-right:0" coordorigin="7455,310" coordsize="1050,50">
            <v:line style="position:absolute" from="7460,315" to="8500,315" stroked="true" strokeweight=".5pt" strokecolor="#231f20">
              <v:stroke dashstyle="solid"/>
            </v:line>
            <v:line style="position:absolute" from="7460,355" to="8500,355" stroked="true" strokeweight=".5pt" strokecolor="#231f20">
              <v:stroke dashstyle="solid"/>
            </v:line>
            <w10:wrap type="topAndBottom"/>
          </v:group>
        </w:pict>
      </w:r>
      <w:r>
        <w:rPr/>
        <w:pict>
          <v:group style="position:absolute;margin-left:432.75pt;margin-top:15.502344pt;width:52.5pt;height:2.5pt;mso-position-horizontal-relative:page;mso-position-vertical-relative:paragraph;z-index:9952;mso-wrap-distance-left:0;mso-wrap-distance-right:0" coordorigin="8655,310" coordsize="1050,50">
            <v:line style="position:absolute" from="8660,315" to="9700,315" stroked="true" strokeweight=".5pt" strokecolor="#231f20">
              <v:stroke dashstyle="solid"/>
            </v:line>
            <v:line style="position:absolute" from="8660,355" to="9700,355" stroked="true" strokeweight=".5pt" strokecolor="#231f20">
              <v:stroke dashstyle="solid"/>
            </v:line>
            <w10:wrap type="topAndBottom"/>
          </v:group>
        </w:pict>
      </w:r>
      <w:r>
        <w:rPr>
          <w:color w:val="231F20"/>
          <w:sz w:val="18"/>
        </w:rPr>
        <w:t>Net deferred tax liability . . . . . . . . . . . . . . . . . . . . . . . . . . . . . . . . . . . . . . . . .</w:t>
      </w:r>
      <w:r>
        <w:rPr>
          <w:color w:val="231F20"/>
          <w:spacing w:val="5"/>
          <w:sz w:val="18"/>
        </w:rPr>
        <w:t> </w:t>
      </w:r>
      <w:r>
        <w:rPr>
          <w:color w:val="231F20"/>
          <w:sz w:val="18"/>
        </w:rPr>
        <w:t>.  </w:t>
      </w:r>
      <w:r>
        <w:rPr>
          <w:color w:val="231F20"/>
          <w:spacing w:val="25"/>
          <w:sz w:val="18"/>
        </w:rPr>
        <w:t> </w:t>
      </w:r>
      <w:r>
        <w:rPr>
          <w:color w:val="231F20"/>
          <w:sz w:val="18"/>
        </w:rPr>
        <w:t>$</w:t>
        <w:tab/>
        <w:t>2,766   </w:t>
      </w:r>
      <w:r>
        <w:rPr>
          <w:color w:val="231F20"/>
          <w:spacing w:val="20"/>
          <w:sz w:val="18"/>
        </w:rPr>
        <w:t> </w:t>
      </w:r>
      <w:r>
        <w:rPr>
          <w:color w:val="231F20"/>
          <w:sz w:val="18"/>
        </w:rPr>
        <w:t>$</w:t>
        <w:tab/>
        <w:t>2,638</w:t>
      </w:r>
    </w:p>
    <w:p>
      <w:pPr>
        <w:pStyle w:val="BodyText"/>
      </w:pPr>
    </w:p>
    <w:p>
      <w:pPr>
        <w:pStyle w:val="BodyText"/>
        <w:ind w:left="650"/>
      </w:pPr>
      <w:r>
        <w:rPr>
          <w:color w:val="231F20"/>
        </w:rPr>
        <w:t>The provision for income taxes is composed of the following:</w:t>
      </w:r>
    </w:p>
    <w:p>
      <w:pPr>
        <w:tabs>
          <w:tab w:pos="5379" w:val="left" w:leader="none"/>
          <w:tab w:pos="6579" w:val="left" w:leader="none"/>
          <w:tab w:pos="7779" w:val="left" w:leader="none"/>
        </w:tabs>
        <w:spacing w:before="174" w:after="19"/>
        <w:ind w:left="160" w:right="0" w:firstLine="0"/>
        <w:jc w:val="left"/>
        <w:rPr>
          <w:b/>
          <w:sz w:val="18"/>
        </w:rPr>
      </w:pPr>
      <w:r>
        <w:rPr>
          <w:b/>
          <w:color w:val="231F20"/>
          <w:sz w:val="18"/>
        </w:rPr>
        <w:t>(in millions)</w:t>
        <w:tab/>
        <w:t>2013</w:t>
        <w:tab/>
        <w:t>2012</w:t>
        <w:tab/>
        <w:t>2011</w:t>
      </w:r>
    </w:p>
    <w:p>
      <w:pPr>
        <w:spacing w:line="20" w:lineRule="exact"/>
        <w:ind w:left="150" w:right="0" w:firstLine="0"/>
        <w:rPr>
          <w:sz w:val="2"/>
        </w:rPr>
      </w:pPr>
      <w:r>
        <w:rPr>
          <w:sz w:val="2"/>
        </w:rPr>
        <w:pict>
          <v:group style="width:237pt;height:1pt;mso-position-horizontal-relative:char;mso-position-vertical-relative:line" coordorigin="0,0" coordsize="4740,20">
            <v:line style="position:absolute" from="10,10" to="4730,10" stroked="true" strokeweight="1pt" strokecolor="#231f20">
              <v:stroke dashstyle="solid"/>
            </v:line>
          </v:group>
        </w:pict>
      </w:r>
      <w:r>
        <w:rPr>
          <w:sz w:val="2"/>
        </w:rPr>
      </w:r>
      <w:r>
        <w:rPr>
          <w:spacing w:val="120"/>
          <w:sz w:val="2"/>
        </w:rPr>
        <w:t> </w:t>
      </w:r>
      <w:r>
        <w:rPr>
          <w:spacing w:val="120"/>
          <w:sz w:val="2"/>
        </w:rPr>
        <w:pict>
          <v:group style="width:53pt;height:1pt;mso-position-horizontal-relative:char;mso-position-vertical-relative:line" coordorigin="0,0" coordsize="1060,20">
            <v:line style="position:absolute" from="10,10" to="1050,10" stroked="true" strokeweight="1pt" strokecolor="#231f20">
              <v:stroke dashstyle="solid"/>
            </v:line>
          </v:group>
        </w:pict>
      </w:r>
      <w:r>
        <w:rPr>
          <w:spacing w:val="120"/>
          <w:sz w:val="2"/>
        </w:rPr>
      </w:r>
      <w:r>
        <w:rPr>
          <w:spacing w:val="130"/>
          <w:sz w:val="2"/>
        </w:rPr>
        <w:t> </w:t>
      </w:r>
      <w:r>
        <w:rPr>
          <w:spacing w:val="130"/>
          <w:sz w:val="2"/>
        </w:rPr>
        <w:pict>
          <v:group style="width:53pt;height:1pt;mso-position-horizontal-relative:char;mso-position-vertical-relative:line" coordorigin="0,0" coordsize="1060,20">
            <v:line style="position:absolute" from="10,10" to="1050,10" stroked="true" strokeweight="1pt" strokecolor="#231f20">
              <v:stroke dashstyle="solid"/>
            </v:line>
          </v:group>
        </w:pict>
      </w:r>
      <w:r>
        <w:rPr>
          <w:spacing w:val="130"/>
          <w:sz w:val="2"/>
        </w:rPr>
      </w:r>
      <w:r>
        <w:rPr>
          <w:spacing w:val="130"/>
          <w:sz w:val="2"/>
        </w:rPr>
        <w:t> </w:t>
      </w:r>
      <w:r>
        <w:rPr>
          <w:spacing w:val="130"/>
          <w:sz w:val="2"/>
        </w:rPr>
        <w:pict>
          <v:group style="width:53pt;height:1pt;mso-position-horizontal-relative:char;mso-position-vertical-relative:line" coordorigin="0,0" coordsize="1060,20">
            <v:line style="position:absolute" from="10,10" to="1050,10" stroked="true" strokeweight="1pt" strokecolor="#231f20">
              <v:stroke dashstyle="solid"/>
            </v:line>
          </v:group>
        </w:pict>
      </w:r>
      <w:r>
        <w:rPr>
          <w:spacing w:val="130"/>
          <w:sz w:val="2"/>
        </w:rPr>
      </w:r>
    </w:p>
    <w:p>
      <w:pPr>
        <w:spacing w:before="52"/>
        <w:ind w:left="160" w:right="0" w:firstLine="0"/>
        <w:jc w:val="left"/>
        <w:rPr>
          <w:b/>
          <w:sz w:val="18"/>
        </w:rPr>
      </w:pPr>
      <w:r>
        <w:rPr>
          <w:b/>
          <w:color w:val="231F20"/>
          <w:sz w:val="18"/>
        </w:rPr>
        <w:t>CURRENT:</w:t>
      </w:r>
    </w:p>
    <w:p>
      <w:pPr>
        <w:tabs>
          <w:tab w:pos="5749" w:val="left" w:leader="none"/>
          <w:tab w:pos="6239" w:val="left" w:leader="none"/>
          <w:tab w:pos="6979" w:val="left" w:leader="none"/>
          <w:tab w:pos="8329" w:val="left" w:leader="none"/>
        </w:tabs>
        <w:spacing w:before="13"/>
        <w:ind w:left="340" w:right="0" w:firstLine="0"/>
        <w:jc w:val="left"/>
        <w:rPr>
          <w:sz w:val="18"/>
        </w:rPr>
      </w:pPr>
      <w:r>
        <w:rPr>
          <w:color w:val="231F20"/>
          <w:sz w:val="18"/>
        </w:rPr>
        <w:t>Federal  . . . . . . . . . . . . . . . . . . . . . . . . . . . . . . . . . . . . . . . . . . .</w:t>
      </w:r>
      <w:r>
        <w:rPr>
          <w:color w:val="231F20"/>
          <w:spacing w:val="-5"/>
          <w:sz w:val="18"/>
        </w:rPr>
        <w:t> </w:t>
      </w:r>
      <w:r>
        <w:rPr>
          <w:color w:val="231F20"/>
          <w:sz w:val="18"/>
        </w:rPr>
        <w:t>.  </w:t>
      </w:r>
      <w:r>
        <w:rPr>
          <w:color w:val="231F20"/>
          <w:spacing w:val="25"/>
          <w:sz w:val="18"/>
        </w:rPr>
        <w:t> </w:t>
      </w:r>
      <w:r>
        <w:rPr>
          <w:color w:val="231F20"/>
          <w:sz w:val="18"/>
        </w:rPr>
        <w:t>$</w:t>
        <w:tab/>
        <w:t>355</w:t>
        <w:tab/>
        <w:t>$</w:t>
        <w:tab/>
        <w:t>(45)  </w:t>
      </w:r>
      <w:r>
        <w:rPr>
          <w:color w:val="231F20"/>
          <w:spacing w:val="25"/>
          <w:sz w:val="18"/>
        </w:rPr>
        <w:t> </w:t>
      </w:r>
      <w:r>
        <w:rPr>
          <w:color w:val="231F20"/>
          <w:sz w:val="18"/>
        </w:rPr>
        <w:t>$</w:t>
        <w:tab/>
        <w:t>4</w:t>
      </w:r>
    </w:p>
    <w:p>
      <w:pPr>
        <w:tabs>
          <w:tab w:pos="5839" w:val="left" w:leader="none"/>
          <w:tab w:pos="7039" w:val="left" w:leader="none"/>
          <w:tab w:pos="8239" w:val="left" w:leader="none"/>
        </w:tabs>
        <w:spacing w:before="13"/>
        <w:ind w:left="340" w:right="0" w:firstLine="0"/>
        <w:jc w:val="left"/>
        <w:rPr>
          <w:sz w:val="18"/>
        </w:rPr>
      </w:pPr>
      <w:r>
        <w:rPr/>
        <w:pict>
          <v:line style="position:absolute;mso-position-horizontal-relative:page;mso-position-vertical-relative:paragraph;z-index:10072;mso-wrap-distance-left:0;mso-wrap-distance-right:0" from="313pt,12.806448pt" to="365pt,12.806448pt" stroked="true" strokeweight=".5pt" strokecolor="#231f20">
            <v:stroke dashstyle="solid"/>
            <w10:wrap type="topAndBottom"/>
          </v:line>
        </w:pict>
      </w:r>
      <w:r>
        <w:rPr/>
        <w:pict>
          <v:line style="position:absolute;mso-position-horizontal-relative:page;mso-position-vertical-relative:paragraph;z-index:10096;mso-wrap-distance-left:0;mso-wrap-distance-right:0" from="373pt,12.806448pt" to="425pt,12.806448pt" stroked="true" strokeweight=".5pt" strokecolor="#231f20">
            <v:stroke dashstyle="solid"/>
            <w10:wrap type="topAndBottom"/>
          </v:line>
        </w:pict>
      </w:r>
      <w:r>
        <w:rPr/>
        <w:pict>
          <v:line style="position:absolute;mso-position-horizontal-relative:page;mso-position-vertical-relative:paragraph;z-index:10120;mso-wrap-distance-left:0;mso-wrap-distance-right:0" from="433pt,12.806448pt" to="485pt,12.806448pt" stroked="true" strokeweight=".5pt" strokecolor="#231f20">
            <v:stroke dashstyle="solid"/>
            <w10:wrap type="topAndBottom"/>
          </v:line>
        </w:pict>
      </w:r>
      <w:r>
        <w:rPr>
          <w:color w:val="231F20"/>
          <w:sz w:val="18"/>
        </w:rPr>
        <w:t>State  . . . . . . . . . . . . . . . . . . . . . . . . . . . . . . . . . . . . . . . . . . . .</w:t>
      </w:r>
      <w:r>
        <w:rPr>
          <w:color w:val="231F20"/>
          <w:spacing w:val="-6"/>
          <w:sz w:val="18"/>
        </w:rPr>
        <w:t> </w:t>
      </w:r>
      <w:r>
        <w:rPr>
          <w:color w:val="231F20"/>
          <w:sz w:val="18"/>
        </w:rPr>
        <w:t>. .</w:t>
        <w:tab/>
        <w:t>44</w:t>
        <w:tab/>
        <w:t>12</w:t>
        <w:tab/>
        <w:t>13</w:t>
      </w:r>
    </w:p>
    <w:p>
      <w:pPr>
        <w:tabs>
          <w:tab w:pos="5749" w:val="left" w:leader="none"/>
          <w:tab w:pos="6979" w:val="left" w:leader="none"/>
          <w:tab w:pos="8239" w:val="left" w:leader="none"/>
        </w:tabs>
        <w:spacing w:before="23"/>
        <w:ind w:left="520" w:right="0" w:firstLine="0"/>
        <w:jc w:val="left"/>
        <w:rPr>
          <w:sz w:val="18"/>
        </w:rPr>
      </w:pPr>
      <w:r>
        <w:rPr>
          <w:color w:val="231F20"/>
          <w:sz w:val="18"/>
        </w:rPr>
        <w:t>Total current . . . . . . . . . . . . . . . . . . . . . . . . . . . . . . . . . . . .</w:t>
      </w:r>
      <w:r>
        <w:rPr>
          <w:color w:val="231F20"/>
          <w:spacing w:val="5"/>
          <w:sz w:val="18"/>
        </w:rPr>
        <w:t> </w:t>
      </w:r>
      <w:r>
        <w:rPr>
          <w:color w:val="231F20"/>
          <w:sz w:val="18"/>
        </w:rPr>
        <w:t>. .</w:t>
        <w:tab/>
        <w:t>399</w:t>
        <w:tab/>
        <w:t>(33)</w:t>
        <w:tab/>
        <w:t>17</w:t>
      </w:r>
    </w:p>
    <w:p>
      <w:pPr>
        <w:spacing w:before="13" w:after="23"/>
        <w:ind w:left="160" w:right="0" w:firstLine="0"/>
        <w:jc w:val="left"/>
        <w:rPr>
          <w:b/>
          <w:sz w:val="18"/>
        </w:rPr>
      </w:pPr>
      <w:r>
        <w:rPr/>
        <w:pict>
          <v:line style="position:absolute;mso-position-horizontal-relative:page;mso-position-vertical-relative:paragraph;z-index:-326608" from="313pt,64.804344pt" to="365pt,64.804344pt" stroked="true" strokeweight=".5pt" strokecolor="#231f20">
            <v:stroke dashstyle="solid"/>
            <w10:wrap type="none"/>
          </v:line>
        </w:pict>
      </w:r>
      <w:r>
        <w:rPr/>
        <w:pict>
          <v:line style="position:absolute;mso-position-horizontal-relative:page;mso-position-vertical-relative:paragraph;z-index:-326584" from="373pt,64.804344pt" to="425pt,64.804344pt" stroked="true" strokeweight=".5pt" strokecolor="#231f20">
            <v:stroke dashstyle="solid"/>
            <w10:wrap type="none"/>
          </v:line>
        </w:pict>
      </w:r>
      <w:r>
        <w:rPr/>
        <w:pict>
          <v:line style="position:absolute;mso-position-horizontal-relative:page;mso-position-vertical-relative:paragraph;z-index:-326560" from="433pt,64.804344pt" to="485pt,64.804344pt" stroked="true" strokeweight=".5pt" strokecolor="#231f20">
            <v:stroke dashstyle="solid"/>
            <w10:wrap type="none"/>
          </v:line>
        </w:pict>
      </w:r>
      <w:r>
        <w:rPr>
          <w:b/>
          <w:color w:val="231F20"/>
          <w:sz w:val="18"/>
        </w:rPr>
        <w:t>DEFERRED:</w:t>
      </w:r>
    </w:p>
    <w:tbl>
      <w:tblPr>
        <w:tblW w:w="0" w:type="auto"/>
        <w:jc w:val="left"/>
        <w:tblInd w:w="29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92"/>
        <w:gridCol w:w="1177"/>
        <w:gridCol w:w="1120"/>
        <w:gridCol w:w="160"/>
        <w:gridCol w:w="1040"/>
      </w:tblGrid>
      <w:tr>
        <w:trPr>
          <w:trHeight w:val="208" w:hRule="exact"/>
        </w:trPr>
        <w:tc>
          <w:tcPr>
            <w:tcW w:w="4692" w:type="dxa"/>
          </w:tcPr>
          <w:p>
            <w:pPr>
              <w:pStyle w:val="TableParagraph"/>
              <w:spacing w:line="197" w:lineRule="exact"/>
              <w:ind w:right="55"/>
              <w:rPr>
                <w:sz w:val="18"/>
              </w:rPr>
            </w:pPr>
            <w:r>
              <w:rPr>
                <w:color w:val="231F20"/>
                <w:sz w:val="18"/>
              </w:rPr>
              <w:t>Federal  . . . . . . . . . . . . . . . . . . . . . . . . . . . . . . . . . . . . . . . . . . . . </w:t>
            </w:r>
          </w:p>
        </w:tc>
        <w:tc>
          <w:tcPr>
            <w:tcW w:w="1177" w:type="dxa"/>
          </w:tcPr>
          <w:p>
            <w:pPr>
              <w:pStyle w:val="TableParagraph"/>
              <w:spacing w:line="197" w:lineRule="exact"/>
              <w:ind w:right="137"/>
              <w:rPr>
                <w:sz w:val="18"/>
              </w:rPr>
            </w:pPr>
            <w:r>
              <w:rPr>
                <w:color w:val="231F20"/>
                <w:sz w:val="18"/>
              </w:rPr>
              <w:t>62</w:t>
            </w:r>
          </w:p>
        </w:tc>
        <w:tc>
          <w:tcPr>
            <w:tcW w:w="1120" w:type="dxa"/>
          </w:tcPr>
          <w:p>
            <w:pPr>
              <w:pStyle w:val="TableParagraph"/>
              <w:spacing w:line="197" w:lineRule="exact"/>
              <w:ind w:right="58"/>
              <w:rPr>
                <w:sz w:val="18"/>
              </w:rPr>
            </w:pPr>
            <w:r>
              <w:rPr>
                <w:color w:val="231F20"/>
                <w:sz w:val="18"/>
              </w:rPr>
              <w:t>287</w:t>
            </w:r>
          </w:p>
        </w:tc>
        <w:tc>
          <w:tcPr>
            <w:tcW w:w="160" w:type="dxa"/>
          </w:tcPr>
          <w:p>
            <w:pPr/>
          </w:p>
        </w:tc>
        <w:tc>
          <w:tcPr>
            <w:tcW w:w="1040" w:type="dxa"/>
          </w:tcPr>
          <w:p>
            <w:pPr>
              <w:pStyle w:val="TableParagraph"/>
              <w:spacing w:line="197" w:lineRule="exact"/>
              <w:ind w:right="57"/>
              <w:rPr>
                <w:sz w:val="18"/>
              </w:rPr>
            </w:pPr>
            <w:r>
              <w:rPr>
                <w:color w:val="231F20"/>
                <w:sz w:val="18"/>
              </w:rPr>
              <w:t>122</w:t>
            </w:r>
          </w:p>
        </w:tc>
      </w:tr>
      <w:tr>
        <w:trPr>
          <w:trHeight w:val="245" w:hRule="exact"/>
        </w:trPr>
        <w:tc>
          <w:tcPr>
            <w:tcW w:w="4692" w:type="dxa"/>
          </w:tcPr>
          <w:p>
            <w:pPr>
              <w:pStyle w:val="TableParagraph"/>
              <w:spacing w:before="1"/>
              <w:ind w:right="55"/>
              <w:rPr>
                <w:sz w:val="18"/>
              </w:rPr>
            </w:pPr>
            <w:r>
              <w:rPr>
                <w:color w:val="231F20"/>
                <w:sz w:val="18"/>
              </w:rPr>
              <w:t>State  . . . . . . . . . . . . . . . . . . . . . . . . . . . . . . . . . . . . . . . . . . . . . . </w:t>
            </w:r>
          </w:p>
        </w:tc>
        <w:tc>
          <w:tcPr>
            <w:tcW w:w="1177" w:type="dxa"/>
            <w:tcBorders>
              <w:bottom w:val="single" w:sz="4" w:space="0" w:color="231F20"/>
            </w:tcBorders>
          </w:tcPr>
          <w:p>
            <w:pPr>
              <w:pStyle w:val="TableParagraph"/>
              <w:spacing w:before="1"/>
              <w:ind w:right="78"/>
              <w:rPr>
                <w:sz w:val="18"/>
              </w:rPr>
            </w:pPr>
            <w:r>
              <w:rPr>
                <w:color w:val="231F20"/>
                <w:sz w:val="18"/>
              </w:rPr>
              <w:t>(6)</w:t>
            </w:r>
          </w:p>
        </w:tc>
        <w:tc>
          <w:tcPr>
            <w:tcW w:w="1120" w:type="dxa"/>
            <w:tcBorders>
              <w:bottom w:val="single" w:sz="4" w:space="0" w:color="231F20"/>
            </w:tcBorders>
          </w:tcPr>
          <w:p>
            <w:pPr>
              <w:pStyle w:val="TableParagraph"/>
              <w:spacing w:before="1"/>
              <w:ind w:right="58"/>
              <w:rPr>
                <w:sz w:val="18"/>
              </w:rPr>
            </w:pPr>
            <w:r>
              <w:rPr>
                <w:color w:val="231F20"/>
                <w:sz w:val="18"/>
              </w:rPr>
              <w:t>10</w:t>
            </w:r>
          </w:p>
        </w:tc>
        <w:tc>
          <w:tcPr>
            <w:tcW w:w="160" w:type="dxa"/>
          </w:tcPr>
          <w:p>
            <w:pPr/>
          </w:p>
        </w:tc>
        <w:tc>
          <w:tcPr>
            <w:tcW w:w="1040" w:type="dxa"/>
            <w:tcBorders>
              <w:bottom w:val="single" w:sz="4" w:space="0" w:color="231F20"/>
            </w:tcBorders>
          </w:tcPr>
          <w:p>
            <w:pPr>
              <w:pStyle w:val="TableParagraph"/>
              <w:spacing w:before="1"/>
              <w:ind w:right="57"/>
              <w:rPr>
                <w:sz w:val="18"/>
              </w:rPr>
            </w:pPr>
            <w:r>
              <w:rPr>
                <w:color w:val="231F20"/>
                <w:sz w:val="18"/>
              </w:rPr>
              <w:t>6</w:t>
            </w:r>
          </w:p>
        </w:tc>
      </w:tr>
      <w:tr>
        <w:trPr>
          <w:trHeight w:val="300" w:hRule="exact"/>
        </w:trPr>
        <w:tc>
          <w:tcPr>
            <w:tcW w:w="4692" w:type="dxa"/>
          </w:tcPr>
          <w:p>
            <w:pPr>
              <w:pStyle w:val="TableParagraph"/>
              <w:spacing w:before="57"/>
              <w:ind w:right="55"/>
              <w:rPr>
                <w:sz w:val="18"/>
              </w:rPr>
            </w:pPr>
            <w:r>
              <w:rPr>
                <w:color w:val="231F20"/>
                <w:sz w:val="18"/>
              </w:rPr>
              <w:t>Total deferred . . . . . . . . . . . . . . . . . . . . . . . . . . . . . . . . . . . . . </w:t>
            </w:r>
          </w:p>
        </w:tc>
        <w:tc>
          <w:tcPr>
            <w:tcW w:w="1177" w:type="dxa"/>
            <w:tcBorders>
              <w:top w:val="single" w:sz="4" w:space="0" w:color="231F20"/>
              <w:bottom w:val="single" w:sz="4" w:space="0" w:color="231F20"/>
            </w:tcBorders>
          </w:tcPr>
          <w:p>
            <w:pPr>
              <w:pStyle w:val="TableParagraph"/>
              <w:spacing w:before="52"/>
              <w:ind w:right="137"/>
              <w:rPr>
                <w:sz w:val="18"/>
              </w:rPr>
            </w:pPr>
            <w:r>
              <w:rPr>
                <w:color w:val="231F20"/>
                <w:sz w:val="18"/>
              </w:rPr>
              <w:t>56</w:t>
            </w:r>
          </w:p>
        </w:tc>
        <w:tc>
          <w:tcPr>
            <w:tcW w:w="1120" w:type="dxa"/>
            <w:tcBorders>
              <w:top w:val="single" w:sz="4" w:space="0" w:color="231F20"/>
              <w:bottom w:val="single" w:sz="4" w:space="0" w:color="231F20"/>
            </w:tcBorders>
          </w:tcPr>
          <w:p>
            <w:pPr>
              <w:pStyle w:val="TableParagraph"/>
              <w:spacing w:before="52"/>
              <w:ind w:right="58"/>
              <w:rPr>
                <w:sz w:val="18"/>
              </w:rPr>
            </w:pPr>
            <w:r>
              <w:rPr>
                <w:color w:val="231F20"/>
                <w:sz w:val="18"/>
              </w:rPr>
              <w:t>297</w:t>
            </w:r>
          </w:p>
        </w:tc>
        <w:tc>
          <w:tcPr>
            <w:tcW w:w="160" w:type="dxa"/>
          </w:tcPr>
          <w:p>
            <w:pPr/>
          </w:p>
        </w:tc>
        <w:tc>
          <w:tcPr>
            <w:tcW w:w="1040" w:type="dxa"/>
            <w:tcBorders>
              <w:top w:val="single" w:sz="4" w:space="0" w:color="231F20"/>
              <w:bottom w:val="single" w:sz="4" w:space="0" w:color="231F20"/>
            </w:tcBorders>
          </w:tcPr>
          <w:p>
            <w:pPr>
              <w:pStyle w:val="TableParagraph"/>
              <w:spacing w:before="52"/>
              <w:ind w:right="57"/>
              <w:rPr>
                <w:sz w:val="18"/>
              </w:rPr>
            </w:pPr>
            <w:r>
              <w:rPr>
                <w:color w:val="231F20"/>
                <w:sz w:val="18"/>
              </w:rPr>
              <w:t>128</w:t>
            </w:r>
          </w:p>
        </w:tc>
      </w:tr>
      <w:tr>
        <w:trPr>
          <w:trHeight w:val="340" w:hRule="exact"/>
        </w:trPr>
        <w:tc>
          <w:tcPr>
            <w:tcW w:w="4692" w:type="dxa"/>
          </w:tcPr>
          <w:p>
            <w:pPr/>
          </w:p>
        </w:tc>
        <w:tc>
          <w:tcPr>
            <w:tcW w:w="1177" w:type="dxa"/>
            <w:tcBorders>
              <w:top w:val="single" w:sz="4" w:space="0" w:color="231F20"/>
              <w:bottom w:val="single" w:sz="4" w:space="0" w:color="231F20"/>
            </w:tcBorders>
          </w:tcPr>
          <w:p>
            <w:pPr>
              <w:pStyle w:val="TableParagraph"/>
              <w:tabs>
                <w:tab w:pos="767" w:val="left" w:leader="none"/>
              </w:tabs>
              <w:spacing w:before="52"/>
              <w:ind w:left="57"/>
              <w:jc w:val="left"/>
              <w:rPr>
                <w:sz w:val="18"/>
              </w:rPr>
            </w:pPr>
            <w:r>
              <w:rPr>
                <w:color w:val="231F20"/>
                <w:sz w:val="18"/>
              </w:rPr>
              <w:t>$</w:t>
              <w:tab/>
              <w:t>455</w:t>
            </w:r>
          </w:p>
        </w:tc>
        <w:tc>
          <w:tcPr>
            <w:tcW w:w="1120" w:type="dxa"/>
            <w:tcBorders>
              <w:top w:val="single" w:sz="4" w:space="0" w:color="231F20"/>
              <w:bottom w:val="single" w:sz="4" w:space="0" w:color="231F20"/>
            </w:tcBorders>
          </w:tcPr>
          <w:p>
            <w:pPr>
              <w:pStyle w:val="TableParagraph"/>
              <w:tabs>
                <w:tab w:pos="709" w:val="left" w:leader="none"/>
              </w:tabs>
              <w:spacing w:before="52"/>
              <w:ind w:right="58"/>
              <w:rPr>
                <w:sz w:val="18"/>
              </w:rPr>
            </w:pPr>
            <w:r>
              <w:rPr>
                <w:color w:val="231F20"/>
                <w:sz w:val="18"/>
              </w:rPr>
              <w:t>$</w:t>
              <w:tab/>
              <w:t>264</w:t>
            </w:r>
          </w:p>
        </w:tc>
        <w:tc>
          <w:tcPr>
            <w:tcW w:w="160" w:type="dxa"/>
          </w:tcPr>
          <w:p>
            <w:pPr/>
          </w:p>
        </w:tc>
        <w:tc>
          <w:tcPr>
            <w:tcW w:w="1040" w:type="dxa"/>
            <w:tcBorders>
              <w:top w:val="single" w:sz="4" w:space="0" w:color="231F20"/>
              <w:bottom w:val="single" w:sz="4" w:space="0" w:color="231F20"/>
            </w:tcBorders>
          </w:tcPr>
          <w:p>
            <w:pPr>
              <w:pStyle w:val="TableParagraph"/>
              <w:tabs>
                <w:tab w:pos="709" w:val="left" w:leader="none"/>
              </w:tabs>
              <w:spacing w:before="52"/>
              <w:ind w:right="58"/>
              <w:rPr>
                <w:sz w:val="18"/>
              </w:rPr>
            </w:pPr>
            <w:r>
              <w:rPr>
                <w:color w:val="231F20"/>
                <w:sz w:val="18"/>
              </w:rPr>
              <w:t>$</w:t>
              <w:tab/>
              <w:t>145</w:t>
            </w:r>
          </w:p>
        </w:tc>
      </w:tr>
    </w:tbl>
    <w:p>
      <w:pPr>
        <w:spacing w:after="0"/>
        <w:rPr>
          <w:sz w:val="18"/>
        </w:rPr>
        <w:sectPr>
          <w:pgSz w:w="11880" w:h="15480"/>
          <w:pgMar w:header="0" w:footer="1253" w:top="1280" w:bottom="1440" w:left="1220" w:right="1340"/>
        </w:sectPr>
      </w:pPr>
    </w:p>
    <w:p>
      <w:pPr>
        <w:pStyle w:val="BodyText"/>
        <w:spacing w:line="249" w:lineRule="auto" w:before="73"/>
        <w:ind w:left="160" w:firstLine="490"/>
      </w:pPr>
      <w:r>
        <w:rPr>
          <w:color w:val="231F20"/>
        </w:rPr>
        <w:t>The effective tax rate on income before income taxes differed from the federal income tax statutory rate for the following reasons:</w:t>
      </w:r>
    </w:p>
    <w:p>
      <w:pPr>
        <w:pStyle w:val="BodyText"/>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10"/>
        <w:gridCol w:w="1100"/>
        <w:gridCol w:w="100"/>
        <w:gridCol w:w="1120"/>
        <w:gridCol w:w="1170"/>
      </w:tblGrid>
      <w:tr>
        <w:trPr>
          <w:trHeight w:val="230" w:hRule="exact"/>
        </w:trPr>
        <w:tc>
          <w:tcPr>
            <w:tcW w:w="4820"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0" w:type="dxa"/>
          </w:tcPr>
          <w:p>
            <w:pPr/>
          </w:p>
        </w:tc>
        <w:tc>
          <w:tcPr>
            <w:tcW w:w="1100" w:type="dxa"/>
            <w:tcBorders>
              <w:bottom w:val="single" w:sz="8" w:space="0" w:color="231F20"/>
            </w:tcBorders>
          </w:tcPr>
          <w:p>
            <w:pPr>
              <w:pStyle w:val="TableParagraph"/>
              <w:spacing w:line="199" w:lineRule="exact"/>
              <w:ind w:left="340"/>
              <w:jc w:val="left"/>
              <w:rPr>
                <w:b/>
                <w:sz w:val="18"/>
              </w:rPr>
            </w:pPr>
            <w:r>
              <w:rPr>
                <w:b/>
                <w:color w:val="231F20"/>
                <w:sz w:val="18"/>
              </w:rPr>
              <w:t>2013</w:t>
            </w:r>
          </w:p>
        </w:tc>
        <w:tc>
          <w:tcPr>
            <w:tcW w:w="100" w:type="dxa"/>
          </w:tcPr>
          <w:p>
            <w:pPr/>
          </w:p>
        </w:tc>
        <w:tc>
          <w:tcPr>
            <w:tcW w:w="1120" w:type="dxa"/>
            <w:tcBorders>
              <w:bottom w:val="single" w:sz="8" w:space="0" w:color="231F20"/>
            </w:tcBorders>
          </w:tcPr>
          <w:p>
            <w:pPr>
              <w:pStyle w:val="TableParagraph"/>
              <w:spacing w:line="199" w:lineRule="exact"/>
              <w:ind w:left="340"/>
              <w:jc w:val="left"/>
              <w:rPr>
                <w:b/>
                <w:sz w:val="18"/>
              </w:rPr>
            </w:pPr>
            <w:r>
              <w:rPr>
                <w:b/>
                <w:color w:val="231F20"/>
                <w:sz w:val="18"/>
              </w:rPr>
              <w:t>2012</w:t>
            </w:r>
          </w:p>
        </w:tc>
        <w:tc>
          <w:tcPr>
            <w:tcW w:w="1170" w:type="dxa"/>
            <w:tcBorders>
              <w:bottom w:val="single" w:sz="8" w:space="0" w:color="231F20"/>
            </w:tcBorders>
          </w:tcPr>
          <w:p>
            <w:pPr>
              <w:pStyle w:val="TableParagraph"/>
              <w:spacing w:line="199" w:lineRule="exact"/>
              <w:ind w:left="399" w:right="370"/>
              <w:jc w:val="center"/>
              <w:rPr>
                <w:b/>
                <w:sz w:val="18"/>
              </w:rPr>
            </w:pPr>
            <w:r>
              <w:rPr>
                <w:b/>
                <w:color w:val="231F20"/>
                <w:sz w:val="18"/>
              </w:rPr>
              <w:t>2011</w:t>
            </w:r>
          </w:p>
        </w:tc>
      </w:tr>
      <w:tr>
        <w:trPr>
          <w:trHeight w:val="304" w:hRule="exact"/>
        </w:trPr>
        <w:tc>
          <w:tcPr>
            <w:tcW w:w="4820" w:type="dxa"/>
            <w:tcBorders>
              <w:top w:val="single" w:sz="8" w:space="0" w:color="231F20"/>
            </w:tcBorders>
          </w:tcPr>
          <w:p>
            <w:pPr>
              <w:pStyle w:val="TableParagraph"/>
              <w:spacing w:before="53"/>
              <w:rPr>
                <w:sz w:val="20"/>
              </w:rPr>
            </w:pPr>
            <w:r>
              <w:rPr>
                <w:color w:val="231F20"/>
                <w:sz w:val="20"/>
              </w:rPr>
              <w:t>Tax at statutory U.S. tax rates  . . . . . . . . . . . . . . . . . . . . . </w:t>
            </w:r>
          </w:p>
        </w:tc>
        <w:tc>
          <w:tcPr>
            <w:tcW w:w="110" w:type="dxa"/>
          </w:tcPr>
          <w:p>
            <w:pPr/>
          </w:p>
        </w:tc>
        <w:tc>
          <w:tcPr>
            <w:tcW w:w="1100" w:type="dxa"/>
            <w:tcBorders>
              <w:top w:val="single" w:sz="8" w:space="0" w:color="231F20"/>
            </w:tcBorders>
          </w:tcPr>
          <w:p>
            <w:pPr>
              <w:pStyle w:val="TableParagraph"/>
              <w:tabs>
                <w:tab w:pos="739" w:val="left" w:leader="none"/>
              </w:tabs>
              <w:spacing w:before="53"/>
              <w:ind w:right="57"/>
              <w:rPr>
                <w:sz w:val="20"/>
              </w:rPr>
            </w:pPr>
            <w:r>
              <w:rPr>
                <w:color w:val="231F20"/>
                <w:sz w:val="20"/>
              </w:rPr>
              <w:t>$</w:t>
              <w:tab/>
              <w:t>423</w:t>
            </w:r>
          </w:p>
        </w:tc>
        <w:tc>
          <w:tcPr>
            <w:tcW w:w="100" w:type="dxa"/>
          </w:tcPr>
          <w:p>
            <w:pPr/>
          </w:p>
        </w:tc>
        <w:tc>
          <w:tcPr>
            <w:tcW w:w="1120" w:type="dxa"/>
            <w:tcBorders>
              <w:top w:val="single" w:sz="8" w:space="0" w:color="231F20"/>
            </w:tcBorders>
          </w:tcPr>
          <w:p>
            <w:pPr>
              <w:pStyle w:val="TableParagraph"/>
              <w:tabs>
                <w:tab w:pos="739" w:val="left" w:leader="none"/>
              </w:tabs>
              <w:spacing w:before="53"/>
              <w:ind w:right="78"/>
              <w:rPr>
                <w:sz w:val="20"/>
              </w:rPr>
            </w:pPr>
            <w:r>
              <w:rPr>
                <w:color w:val="231F20"/>
                <w:sz w:val="20"/>
              </w:rPr>
              <w:t>$</w:t>
              <w:tab/>
              <w:t>240</w:t>
            </w:r>
          </w:p>
        </w:tc>
        <w:tc>
          <w:tcPr>
            <w:tcW w:w="1170" w:type="dxa"/>
            <w:tcBorders>
              <w:top w:val="single" w:sz="8" w:space="0" w:color="231F20"/>
            </w:tcBorders>
          </w:tcPr>
          <w:p>
            <w:pPr>
              <w:pStyle w:val="TableParagraph"/>
              <w:tabs>
                <w:tab w:pos="739" w:val="left" w:leader="none"/>
              </w:tabs>
              <w:spacing w:before="53"/>
              <w:ind w:right="48"/>
              <w:rPr>
                <w:sz w:val="20"/>
              </w:rPr>
            </w:pPr>
            <w:r>
              <w:rPr>
                <w:color w:val="231F20"/>
                <w:sz w:val="20"/>
              </w:rPr>
              <w:t>$</w:t>
              <w:tab/>
              <w:t>114</w:t>
            </w:r>
          </w:p>
        </w:tc>
      </w:tr>
      <w:tr>
        <w:trPr>
          <w:trHeight w:val="239" w:hRule="exact"/>
        </w:trPr>
        <w:tc>
          <w:tcPr>
            <w:tcW w:w="4820" w:type="dxa"/>
          </w:tcPr>
          <w:p>
            <w:pPr>
              <w:pStyle w:val="TableParagraph"/>
              <w:spacing w:line="229" w:lineRule="exact"/>
              <w:ind w:left="50"/>
              <w:jc w:val="left"/>
              <w:rPr>
                <w:sz w:val="20"/>
              </w:rPr>
            </w:pPr>
            <w:r>
              <w:rPr>
                <w:color w:val="231F20"/>
                <w:sz w:val="20"/>
              </w:rPr>
              <w:t>Nondeductible items  . . . . . . . . . . . . . . . . . . . . . . . . . . . . . . </w:t>
            </w:r>
          </w:p>
        </w:tc>
        <w:tc>
          <w:tcPr>
            <w:tcW w:w="110" w:type="dxa"/>
          </w:tcPr>
          <w:p>
            <w:pPr/>
          </w:p>
        </w:tc>
        <w:tc>
          <w:tcPr>
            <w:tcW w:w="1100" w:type="dxa"/>
          </w:tcPr>
          <w:p>
            <w:pPr>
              <w:pStyle w:val="TableParagraph"/>
              <w:spacing w:line="229" w:lineRule="exact"/>
              <w:ind w:right="57"/>
              <w:rPr>
                <w:sz w:val="20"/>
              </w:rPr>
            </w:pPr>
            <w:r>
              <w:rPr>
                <w:color w:val="231F20"/>
                <w:sz w:val="20"/>
              </w:rPr>
              <w:t>10</w:t>
            </w:r>
          </w:p>
        </w:tc>
        <w:tc>
          <w:tcPr>
            <w:tcW w:w="100" w:type="dxa"/>
          </w:tcPr>
          <w:p>
            <w:pPr/>
          </w:p>
        </w:tc>
        <w:tc>
          <w:tcPr>
            <w:tcW w:w="1120" w:type="dxa"/>
          </w:tcPr>
          <w:p>
            <w:pPr>
              <w:pStyle w:val="TableParagraph"/>
              <w:spacing w:line="229" w:lineRule="exact"/>
              <w:ind w:right="78"/>
              <w:rPr>
                <w:sz w:val="20"/>
              </w:rPr>
            </w:pPr>
            <w:r>
              <w:rPr>
                <w:color w:val="231F20"/>
                <w:sz w:val="20"/>
              </w:rPr>
              <w:t>10</w:t>
            </w:r>
          </w:p>
        </w:tc>
        <w:tc>
          <w:tcPr>
            <w:tcW w:w="1170" w:type="dxa"/>
          </w:tcPr>
          <w:p>
            <w:pPr>
              <w:pStyle w:val="TableParagraph"/>
              <w:spacing w:line="229" w:lineRule="exact"/>
              <w:ind w:right="48"/>
              <w:rPr>
                <w:sz w:val="20"/>
              </w:rPr>
            </w:pPr>
            <w:r>
              <w:rPr>
                <w:color w:val="231F20"/>
                <w:sz w:val="20"/>
              </w:rPr>
              <w:t>13</w:t>
            </w:r>
          </w:p>
        </w:tc>
      </w:tr>
      <w:tr>
        <w:trPr>
          <w:trHeight w:val="218" w:hRule="exact"/>
        </w:trPr>
        <w:tc>
          <w:tcPr>
            <w:tcW w:w="4820" w:type="dxa"/>
          </w:tcPr>
          <w:p>
            <w:pPr>
              <w:pStyle w:val="TableParagraph"/>
              <w:spacing w:line="206" w:lineRule="exact"/>
              <w:ind w:left="50"/>
              <w:jc w:val="left"/>
              <w:rPr>
                <w:sz w:val="18"/>
              </w:rPr>
            </w:pPr>
            <w:r>
              <w:rPr>
                <w:color w:val="231F20"/>
                <w:sz w:val="18"/>
              </w:rPr>
              <w:t>State income taxes, net of federal benefit  . . . . . . . . . . . . . . . . . . . </w:t>
            </w:r>
          </w:p>
        </w:tc>
        <w:tc>
          <w:tcPr>
            <w:tcW w:w="110" w:type="dxa"/>
          </w:tcPr>
          <w:p>
            <w:pPr/>
          </w:p>
        </w:tc>
        <w:tc>
          <w:tcPr>
            <w:tcW w:w="1100" w:type="dxa"/>
          </w:tcPr>
          <w:p>
            <w:pPr>
              <w:pStyle w:val="TableParagraph"/>
              <w:spacing w:line="206" w:lineRule="exact"/>
              <w:ind w:right="57"/>
              <w:rPr>
                <w:sz w:val="18"/>
              </w:rPr>
            </w:pPr>
            <w:r>
              <w:rPr>
                <w:color w:val="231F20"/>
                <w:sz w:val="18"/>
              </w:rPr>
              <w:t>25</w:t>
            </w:r>
          </w:p>
        </w:tc>
        <w:tc>
          <w:tcPr>
            <w:tcW w:w="100" w:type="dxa"/>
          </w:tcPr>
          <w:p>
            <w:pPr/>
          </w:p>
        </w:tc>
        <w:tc>
          <w:tcPr>
            <w:tcW w:w="1120" w:type="dxa"/>
          </w:tcPr>
          <w:p>
            <w:pPr>
              <w:pStyle w:val="TableParagraph"/>
              <w:spacing w:line="206" w:lineRule="exact"/>
              <w:ind w:right="77"/>
              <w:rPr>
                <w:sz w:val="18"/>
              </w:rPr>
            </w:pPr>
            <w:r>
              <w:rPr>
                <w:color w:val="231F20"/>
                <w:sz w:val="18"/>
              </w:rPr>
              <w:t>14</w:t>
            </w:r>
          </w:p>
        </w:tc>
        <w:tc>
          <w:tcPr>
            <w:tcW w:w="1170" w:type="dxa"/>
          </w:tcPr>
          <w:p>
            <w:pPr>
              <w:pStyle w:val="TableParagraph"/>
              <w:spacing w:line="206" w:lineRule="exact"/>
              <w:ind w:right="48"/>
              <w:rPr>
                <w:sz w:val="18"/>
              </w:rPr>
            </w:pPr>
            <w:r>
              <w:rPr>
                <w:color w:val="231F20"/>
                <w:sz w:val="18"/>
              </w:rPr>
              <w:t>13</w:t>
            </w:r>
          </w:p>
        </w:tc>
      </w:tr>
      <w:tr>
        <w:trPr>
          <w:trHeight w:val="245" w:hRule="exact"/>
        </w:trPr>
        <w:tc>
          <w:tcPr>
            <w:tcW w:w="4820" w:type="dxa"/>
          </w:tcPr>
          <w:p>
            <w:pPr>
              <w:pStyle w:val="TableParagraph"/>
              <w:spacing w:before="1"/>
              <w:ind w:left="50"/>
              <w:jc w:val="left"/>
              <w:rPr>
                <w:sz w:val="18"/>
              </w:rPr>
            </w:pPr>
            <w:r>
              <w:rPr>
                <w:color w:val="231F20"/>
                <w:sz w:val="18"/>
              </w:rPr>
              <w:t>Other, net  . . . . . . . . . . . . . . . . . . . . . . . . . . . . . . . . . . . . . . . . . . . . </w:t>
            </w:r>
          </w:p>
        </w:tc>
        <w:tc>
          <w:tcPr>
            <w:tcW w:w="110" w:type="dxa"/>
          </w:tcPr>
          <w:p>
            <w:pPr/>
          </w:p>
        </w:tc>
        <w:tc>
          <w:tcPr>
            <w:tcW w:w="1100" w:type="dxa"/>
            <w:tcBorders>
              <w:bottom w:val="single" w:sz="4" w:space="0" w:color="231F20"/>
            </w:tcBorders>
          </w:tcPr>
          <w:p>
            <w:pPr>
              <w:pStyle w:val="TableParagraph"/>
              <w:spacing w:before="1"/>
              <w:rPr>
                <w:sz w:val="18"/>
              </w:rPr>
            </w:pPr>
            <w:r>
              <w:rPr>
                <w:color w:val="231F20"/>
                <w:sz w:val="18"/>
              </w:rPr>
              <w:t>(3)</w:t>
            </w:r>
          </w:p>
        </w:tc>
        <w:tc>
          <w:tcPr>
            <w:tcW w:w="100" w:type="dxa"/>
          </w:tcPr>
          <w:p>
            <w:pPr/>
          </w:p>
        </w:tc>
        <w:tc>
          <w:tcPr>
            <w:tcW w:w="1120" w:type="dxa"/>
            <w:tcBorders>
              <w:bottom w:val="single" w:sz="4" w:space="0" w:color="231F20"/>
            </w:tcBorders>
          </w:tcPr>
          <w:p>
            <w:pPr>
              <w:pStyle w:val="TableParagraph"/>
              <w:spacing w:before="1"/>
              <w:ind w:right="167"/>
              <w:rPr>
                <w:sz w:val="18"/>
              </w:rPr>
            </w:pPr>
            <w:r>
              <w:rPr>
                <w:color w:val="231F20"/>
                <w:sz w:val="18"/>
              </w:rPr>
              <w:t>—</w:t>
            </w:r>
          </w:p>
        </w:tc>
        <w:tc>
          <w:tcPr>
            <w:tcW w:w="1170" w:type="dxa"/>
            <w:tcBorders>
              <w:bottom w:val="single" w:sz="4" w:space="0" w:color="231F20"/>
            </w:tcBorders>
          </w:tcPr>
          <w:p>
            <w:pPr>
              <w:pStyle w:val="TableParagraph"/>
              <w:spacing w:before="1"/>
              <w:ind w:right="48"/>
              <w:rPr>
                <w:sz w:val="18"/>
              </w:rPr>
            </w:pPr>
            <w:r>
              <w:rPr>
                <w:color w:val="231F20"/>
                <w:sz w:val="18"/>
              </w:rPr>
              <w:t>5</w:t>
            </w:r>
          </w:p>
        </w:tc>
      </w:tr>
      <w:tr>
        <w:trPr>
          <w:trHeight w:val="360" w:hRule="exact"/>
        </w:trPr>
        <w:tc>
          <w:tcPr>
            <w:tcW w:w="4820" w:type="dxa"/>
          </w:tcPr>
          <w:p>
            <w:pPr>
              <w:pStyle w:val="TableParagraph"/>
              <w:spacing w:before="58"/>
              <w:rPr>
                <w:sz w:val="20"/>
              </w:rPr>
            </w:pPr>
            <w:r>
              <w:rPr>
                <w:color w:val="231F20"/>
                <w:sz w:val="20"/>
              </w:rPr>
              <w:t>Total income tax provision  . . . . . . . . . . . . . . . . . . . . . . . </w:t>
            </w:r>
          </w:p>
        </w:tc>
        <w:tc>
          <w:tcPr>
            <w:tcW w:w="110" w:type="dxa"/>
          </w:tcPr>
          <w:p>
            <w:pPr/>
          </w:p>
        </w:tc>
        <w:tc>
          <w:tcPr>
            <w:tcW w:w="1100" w:type="dxa"/>
            <w:tcBorders>
              <w:top w:val="single" w:sz="4" w:space="0" w:color="231F20"/>
              <w:bottom w:val="single" w:sz="4" w:space="0" w:color="231F20"/>
            </w:tcBorders>
          </w:tcPr>
          <w:p>
            <w:pPr>
              <w:pStyle w:val="TableParagraph"/>
              <w:tabs>
                <w:tab w:pos="739" w:val="left" w:leader="none"/>
              </w:tabs>
              <w:spacing w:before="53"/>
              <w:ind w:right="57"/>
              <w:rPr>
                <w:sz w:val="20"/>
              </w:rPr>
            </w:pPr>
            <w:r>
              <w:rPr>
                <w:color w:val="231F20"/>
                <w:sz w:val="20"/>
              </w:rPr>
              <w:t>$</w:t>
              <w:tab/>
              <w:t>455</w:t>
            </w:r>
          </w:p>
        </w:tc>
        <w:tc>
          <w:tcPr>
            <w:tcW w:w="100" w:type="dxa"/>
          </w:tcPr>
          <w:p>
            <w:pPr/>
          </w:p>
        </w:tc>
        <w:tc>
          <w:tcPr>
            <w:tcW w:w="1120" w:type="dxa"/>
            <w:tcBorders>
              <w:top w:val="single" w:sz="4" w:space="0" w:color="231F20"/>
              <w:bottom w:val="single" w:sz="4" w:space="0" w:color="231F20"/>
            </w:tcBorders>
          </w:tcPr>
          <w:p>
            <w:pPr>
              <w:pStyle w:val="TableParagraph"/>
              <w:tabs>
                <w:tab w:pos="739" w:val="left" w:leader="none"/>
              </w:tabs>
              <w:spacing w:before="53"/>
              <w:ind w:right="78"/>
              <w:rPr>
                <w:sz w:val="20"/>
              </w:rPr>
            </w:pPr>
            <w:r>
              <w:rPr>
                <w:color w:val="231F20"/>
                <w:sz w:val="20"/>
              </w:rPr>
              <w:t>$</w:t>
              <w:tab/>
              <w:t>264</w:t>
            </w:r>
          </w:p>
        </w:tc>
        <w:tc>
          <w:tcPr>
            <w:tcW w:w="1170" w:type="dxa"/>
            <w:tcBorders>
              <w:top w:val="single" w:sz="4" w:space="0" w:color="231F20"/>
              <w:bottom w:val="single" w:sz="4" w:space="0" w:color="231F20"/>
            </w:tcBorders>
          </w:tcPr>
          <w:p>
            <w:pPr>
              <w:pStyle w:val="TableParagraph"/>
              <w:tabs>
                <w:tab w:pos="739" w:val="left" w:leader="none"/>
              </w:tabs>
              <w:spacing w:before="53"/>
              <w:ind w:right="48"/>
              <w:rPr>
                <w:sz w:val="20"/>
              </w:rPr>
            </w:pPr>
            <w:r>
              <w:rPr>
                <w:color w:val="231F20"/>
                <w:sz w:val="20"/>
              </w:rPr>
              <w:t>$</w:t>
              <w:tab/>
              <w:t>145</w:t>
            </w:r>
          </w:p>
        </w:tc>
      </w:tr>
    </w:tbl>
    <w:p>
      <w:pPr>
        <w:pStyle w:val="BodyText"/>
        <w:rPr>
          <w:sz w:val="25"/>
        </w:rPr>
      </w:pPr>
    </w:p>
    <w:p>
      <w:pPr>
        <w:pStyle w:val="BodyText"/>
        <w:spacing w:line="249" w:lineRule="auto" w:before="1"/>
        <w:ind w:left="160" w:right="122" w:firstLine="490"/>
      </w:pPr>
      <w:r>
        <w:rPr/>
        <w:pict>
          <v:line style="position:absolute;mso-position-horizontal-relative:page;mso-position-vertical-relative:paragraph;z-index:-326536" from="313pt,-16.864063pt" to="365pt,-16.864063pt" stroked="true" strokeweight=".5pt" strokecolor="#231f20">
            <v:stroke dashstyle="solid"/>
            <w10:wrap type="none"/>
          </v:line>
        </w:pict>
      </w:r>
      <w:r>
        <w:rPr/>
        <w:pict>
          <v:line style="position:absolute;mso-position-horizontal-relative:page;mso-position-vertical-relative:paragraph;z-index:-326512" from="373pt,-16.864063pt" to="425pt,-16.864063pt" stroked="true" strokeweight=".5pt" strokecolor="#231f20">
            <v:stroke dashstyle="solid"/>
            <w10:wrap type="none"/>
          </v:line>
        </w:pict>
      </w:r>
      <w:r>
        <w:rPr/>
        <w:pict>
          <v:line style="position:absolute;mso-position-horizontal-relative:page;mso-position-vertical-relative:paragraph;z-index:-326488" from="433pt,-16.864063pt" to="485pt,-16.864063pt" stroked="true" strokeweight=".5pt" strokecolor="#231f20">
            <v:stroke dashstyle="solid"/>
            <w10:wrap type="none"/>
          </v:line>
        </w:pict>
      </w:r>
      <w:r>
        <w:rPr>
          <w:color w:val="231F20"/>
        </w:rPr>
        <w:t>During 2013, the Company continues to maintain and did not adjust, a $5 million liability for unrecognized tax benefits, the majority of which related to AirTran’s tax positions in prior years.</w:t>
      </w:r>
    </w:p>
    <w:p>
      <w:pPr>
        <w:pStyle w:val="BodyText"/>
        <w:spacing w:before="11"/>
      </w:pPr>
    </w:p>
    <w:p>
      <w:pPr>
        <w:pStyle w:val="BodyText"/>
        <w:ind w:left="650"/>
      </w:pPr>
      <w:r>
        <w:rPr>
          <w:color w:val="231F20"/>
        </w:rPr>
        <w:t>As of December 31, 2013, the Company had net operating loss (“NOL”) carryforwards of approximately</w:t>
      </w:r>
    </w:p>
    <w:p>
      <w:pPr>
        <w:pStyle w:val="BodyText"/>
        <w:spacing w:line="249" w:lineRule="auto" w:before="9"/>
        <w:ind w:left="160" w:right="144"/>
      </w:pPr>
      <w:r>
        <w:rPr>
          <w:color w:val="231F20"/>
        </w:rPr>
        <w:t>$34 million from its federal tax return. These NOL’s are available to offset future taxable income. At a 35 percent federal statutory tax rate, these NOL’s result in a deferred tax asset of $12 million, as of December 31, 2013, which represents the expected future tax benefit of the NOL’s, and which is netted against the Company’s Deferred income tax liability in the Consolidated Balance Sheet. These NOL’s will expire from 2017 to 2031 if not utilized. No valuation allowance was necessary. See Note 2 for further information on the acquisition of AirTran. The only periods subject to examination for the Company’s federal tax return are the 2012 and 2013 tax years.</w:t>
      </w:r>
    </w:p>
    <w:p>
      <w:pPr>
        <w:spacing w:after="0" w:line="249" w:lineRule="auto"/>
        <w:sectPr>
          <w:pgSz w:w="11880" w:h="15480"/>
          <w:pgMar w:header="0" w:footer="1253" w:top="1240" w:bottom="1440" w:left="1220" w:right="1280"/>
        </w:sectPr>
      </w:pPr>
    </w:p>
    <w:p>
      <w:pPr>
        <w:pStyle w:val="Heading3"/>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0"/>
        <w:rPr>
          <w:b/>
        </w:rPr>
      </w:pPr>
    </w:p>
    <w:p>
      <w:pPr>
        <w:pStyle w:val="BodyText"/>
        <w:spacing w:line="249" w:lineRule="auto" w:before="1"/>
        <w:ind w:left="100" w:right="384" w:firstLine="490"/>
      </w:pPr>
      <w:r>
        <w:rPr>
          <w:color w:val="231F20"/>
        </w:rPr>
        <w:t>We have audited the accompanying consolidated balance sheet of Southwest Airlines Co. as of December 31, 2013 and 2012, and the related consolidated statements of income, comprehensive income, stockholders’ equity, and cash flows for each of the three years in the period ended December 31, 2013. These financial statements are the responsibility of the Company’s management. Our responsibility is to express an opinion on these financial statements based on our audits.</w:t>
      </w:r>
    </w:p>
    <w:p>
      <w:pPr>
        <w:pStyle w:val="BodyText"/>
        <w:spacing w:before="11"/>
      </w:pPr>
    </w:p>
    <w:p>
      <w:pPr>
        <w:pStyle w:val="BodyText"/>
        <w:spacing w:line="249" w:lineRule="auto"/>
        <w:ind w:left="100" w:right="175" w:firstLine="490"/>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10"/>
      </w:pPr>
    </w:p>
    <w:p>
      <w:pPr>
        <w:pStyle w:val="BodyText"/>
        <w:spacing w:line="249" w:lineRule="auto" w:before="1"/>
        <w:ind w:left="100" w:right="283" w:firstLine="490"/>
      </w:pPr>
      <w:r>
        <w:rPr>
          <w:color w:val="231F20"/>
        </w:rPr>
        <w:t>In our opinion, the financial statements referred to above present fairly, in all material respects, the consolidated financial position of Southwest Airlines Co. at December 31, 2013 and 2012, and the consolidated results of its operations and its cash flows for each of the three years in the period ended December 31, 2013, in conformity with U.S. generally accepted accounting principles.</w:t>
      </w:r>
    </w:p>
    <w:p>
      <w:pPr>
        <w:pStyle w:val="BodyText"/>
        <w:spacing w:before="11"/>
      </w:pPr>
    </w:p>
    <w:p>
      <w:pPr>
        <w:pStyle w:val="BodyText"/>
        <w:spacing w:line="249" w:lineRule="auto"/>
        <w:ind w:left="100" w:right="521" w:firstLine="490"/>
      </w:pPr>
      <w:r>
        <w:rPr>
          <w:color w:val="231F20"/>
        </w:rPr>
        <w:t>We also have audited, in accordance with the standards of the Public Company Accounting Oversight Board (United States), Southwest Airlines Co.’s internal control over financial reporting as of December 31, 2013, based on criteria established in Internal Control-Integrated Framework issued by the Committee of Sponsoring Organizations of the Treadway Commission (1992 Framework) and our report dated February 3, 2014 expressed an unqualified opinion thereon.</w:t>
      </w:r>
    </w:p>
    <w:p>
      <w:pPr>
        <w:pStyle w:val="BodyText"/>
        <w:spacing w:before="10"/>
      </w:pPr>
    </w:p>
    <w:p>
      <w:pPr>
        <w:pStyle w:val="BodyText"/>
        <w:spacing w:before="1"/>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3, 2014</w:t>
      </w:r>
    </w:p>
    <w:p>
      <w:pPr>
        <w:spacing w:after="0" w:line="249" w:lineRule="auto"/>
        <w:sectPr>
          <w:pgSz w:w="11880" w:h="15480"/>
          <w:pgMar w:header="0" w:footer="1253" w:top="1240" w:bottom="1440" w:left="1280" w:right="1260"/>
        </w:sectPr>
      </w:pPr>
    </w:p>
    <w:p>
      <w:pPr>
        <w:pStyle w:val="Heading3"/>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0"/>
        <w:rPr>
          <w:b/>
        </w:rPr>
      </w:pPr>
    </w:p>
    <w:p>
      <w:pPr>
        <w:pStyle w:val="BodyText"/>
        <w:spacing w:line="249" w:lineRule="auto" w:before="1"/>
        <w:ind w:left="100" w:right="116" w:firstLine="490"/>
      </w:pPr>
      <w:r>
        <w:rPr>
          <w:color w:val="231F20"/>
        </w:rPr>
        <w:t>We have audited Southwest Airlines Co.’s internal control over financial reporting as of December 31, 2013, based on criteria established in Internal Control — Integrated Framework issued by the Committee of Sponsoring Organizations of the Treadway Commission (1992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pPr>
        <w:pStyle w:val="BodyText"/>
        <w:spacing w:before="11"/>
      </w:pPr>
    </w:p>
    <w:p>
      <w:pPr>
        <w:pStyle w:val="BodyText"/>
        <w:spacing w:line="249" w:lineRule="auto"/>
        <w:ind w:left="100" w:right="173" w:firstLine="490"/>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10"/>
      </w:pPr>
    </w:p>
    <w:p>
      <w:pPr>
        <w:pStyle w:val="BodyText"/>
        <w:spacing w:line="249" w:lineRule="auto" w:before="1"/>
        <w:ind w:left="100" w:right="291" w:firstLine="490"/>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w:t>
      </w:r>
    </w:p>
    <w:p>
      <w:pPr>
        <w:pStyle w:val="ListParagraph"/>
        <w:numPr>
          <w:ilvl w:val="0"/>
          <w:numId w:val="21"/>
        </w:numPr>
        <w:tabs>
          <w:tab w:pos="384" w:val="left" w:leader="none"/>
        </w:tabs>
        <w:spacing w:line="249" w:lineRule="auto" w:before="1" w:after="0"/>
        <w:ind w:left="100" w:right="150" w:firstLine="0"/>
        <w:jc w:val="left"/>
        <w:rPr>
          <w:sz w:val="20"/>
        </w:rPr>
      </w:pPr>
      <w:r>
        <w:rPr>
          <w:color w:val="231F20"/>
          <w:sz w:val="20"/>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w:t>
      </w:r>
      <w:r>
        <w:rPr>
          <w:color w:val="231F20"/>
          <w:spacing w:val="11"/>
          <w:sz w:val="20"/>
        </w:rPr>
        <w:t> </w:t>
      </w:r>
      <w:r>
        <w:rPr>
          <w:color w:val="231F20"/>
          <w:sz w:val="20"/>
        </w:rPr>
        <w:t>statements.</w:t>
      </w:r>
    </w:p>
    <w:p>
      <w:pPr>
        <w:pStyle w:val="BodyText"/>
        <w:spacing w:before="10"/>
      </w:pPr>
    </w:p>
    <w:p>
      <w:pPr>
        <w:pStyle w:val="BodyText"/>
        <w:spacing w:line="249" w:lineRule="auto" w:before="1"/>
        <w:ind w:left="100" w:firstLine="490"/>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1"/>
      </w:pPr>
    </w:p>
    <w:p>
      <w:pPr>
        <w:pStyle w:val="BodyText"/>
        <w:spacing w:line="249" w:lineRule="auto"/>
        <w:ind w:left="100" w:firstLine="490"/>
      </w:pPr>
      <w:r>
        <w:rPr>
          <w:color w:val="231F20"/>
        </w:rPr>
        <w:t>In our opinion, Southwest Airlines Co. maintained, in all material respects, effective internal control over financial reporting as of December 31, 2013, based on the COSO criteria.</w:t>
      </w:r>
    </w:p>
    <w:p>
      <w:pPr>
        <w:pStyle w:val="BodyText"/>
        <w:spacing w:before="10"/>
      </w:pPr>
    </w:p>
    <w:p>
      <w:pPr>
        <w:pStyle w:val="BodyText"/>
        <w:spacing w:line="249" w:lineRule="auto" w:before="1"/>
        <w:ind w:left="100" w:right="261" w:firstLine="490"/>
      </w:pPr>
      <w:r>
        <w:rPr>
          <w:color w:val="231F20"/>
        </w:rPr>
        <w:t>We also have audited, in accordance with the standards of the Public Company Accounting Oversight Board (United States), the consolidated balance sheet of Southwest Airlines Co. as of December 31, 2013 and 2012, and the related consolidated statements of income, comprehensive income, stockholders’ equity, and cash flows for each of the three years in the period ended December 31, 2013 and our report dated February 3, 2014 expressed an unqualified opinion thereon.</w:t>
      </w:r>
    </w:p>
    <w:p>
      <w:pPr>
        <w:pStyle w:val="BodyText"/>
        <w:spacing w:before="11"/>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3, 2014</w:t>
      </w:r>
    </w:p>
    <w:p>
      <w:pPr>
        <w:spacing w:after="0" w:line="249" w:lineRule="auto"/>
        <w:sectPr>
          <w:pgSz w:w="11880" w:h="15480"/>
          <w:pgMar w:header="0" w:footer="1253" w:top="1240" w:bottom="1440" w:left="1280" w:right="1260"/>
        </w:sectPr>
      </w:pPr>
    </w:p>
    <w:p>
      <w:pPr>
        <w:pStyle w:val="Heading3"/>
        <w:spacing w:before="73"/>
        <w:ind w:left="2382" w:right="2382"/>
        <w:jc w:val="center"/>
      </w:pPr>
      <w:r>
        <w:rPr>
          <w:color w:val="231F20"/>
        </w:rPr>
        <w:t>QUARTERLY FINANCIAL DATA</w:t>
      </w:r>
    </w:p>
    <w:p>
      <w:pPr>
        <w:spacing w:before="9"/>
        <w:ind w:left="2381" w:right="2382" w:firstLine="0"/>
        <w:jc w:val="center"/>
        <w:rPr>
          <w:b/>
          <w:sz w:val="20"/>
        </w:rPr>
      </w:pPr>
      <w:r>
        <w:rPr>
          <w:b/>
          <w:color w:val="231F20"/>
          <w:sz w:val="20"/>
        </w:rPr>
        <w:t>(unaudited)</w:t>
      </w:r>
    </w:p>
    <w:p>
      <w:pPr>
        <w:pStyle w:val="BodyText"/>
        <w:spacing w:before="1"/>
        <w:rPr>
          <w:b/>
          <w:sz w:val="10"/>
        </w:rPr>
      </w:pPr>
    </w:p>
    <w:p>
      <w:pPr>
        <w:spacing w:before="92" w:after="31"/>
        <w:ind w:left="5885" w:right="0" w:firstLine="0"/>
        <w:jc w:val="left"/>
        <w:rPr>
          <w:b/>
          <w:sz w:val="18"/>
        </w:rPr>
      </w:pPr>
      <w:r>
        <w:rPr>
          <w:b/>
          <w:color w:val="231F20"/>
          <w:sz w:val="18"/>
        </w:rPr>
        <w:t>THREE MONTHS ENDED</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15"/>
        <w:gridCol w:w="58"/>
        <w:gridCol w:w="1097"/>
        <w:gridCol w:w="80"/>
        <w:gridCol w:w="80"/>
        <w:gridCol w:w="1040"/>
        <w:gridCol w:w="80"/>
        <w:gridCol w:w="80"/>
        <w:gridCol w:w="1040"/>
        <w:gridCol w:w="160"/>
        <w:gridCol w:w="1090"/>
      </w:tblGrid>
      <w:tr>
        <w:trPr>
          <w:trHeight w:val="260" w:hRule="exact"/>
        </w:trPr>
        <w:tc>
          <w:tcPr>
            <w:tcW w:w="4415" w:type="dxa"/>
            <w:tcBorders>
              <w:bottom w:val="single" w:sz="8" w:space="0" w:color="231F20"/>
            </w:tcBorders>
          </w:tcPr>
          <w:p>
            <w:pPr>
              <w:pStyle w:val="TableParagraph"/>
              <w:spacing w:before="22"/>
              <w:ind w:left="50"/>
              <w:jc w:val="left"/>
              <w:rPr>
                <w:b/>
                <w:sz w:val="18"/>
              </w:rPr>
            </w:pPr>
            <w:r>
              <w:rPr>
                <w:b/>
                <w:color w:val="231F20"/>
                <w:sz w:val="18"/>
              </w:rPr>
              <w:t>(in millions except per share amounts)</w:t>
            </w:r>
          </w:p>
        </w:tc>
        <w:tc>
          <w:tcPr>
            <w:tcW w:w="58" w:type="dxa"/>
          </w:tcPr>
          <w:p>
            <w:pPr/>
          </w:p>
        </w:tc>
        <w:tc>
          <w:tcPr>
            <w:tcW w:w="1178" w:type="dxa"/>
            <w:gridSpan w:val="2"/>
            <w:tcBorders>
              <w:top w:val="single" w:sz="8" w:space="0" w:color="231F20"/>
              <w:bottom w:val="single" w:sz="8" w:space="0" w:color="231F20"/>
            </w:tcBorders>
          </w:tcPr>
          <w:p>
            <w:pPr>
              <w:pStyle w:val="TableParagraph"/>
              <w:spacing w:before="12"/>
              <w:ind w:left="204"/>
              <w:jc w:val="left"/>
              <w:rPr>
                <w:b/>
                <w:sz w:val="18"/>
              </w:rPr>
            </w:pPr>
            <w:r>
              <w:rPr>
                <w:b/>
                <w:color w:val="231F20"/>
                <w:sz w:val="18"/>
              </w:rPr>
              <w:t>March 31</w:t>
            </w:r>
          </w:p>
        </w:tc>
        <w:tc>
          <w:tcPr>
            <w:tcW w:w="1200" w:type="dxa"/>
            <w:gridSpan w:val="3"/>
            <w:tcBorders>
              <w:top w:val="single" w:sz="8" w:space="0" w:color="231F20"/>
              <w:bottom w:val="single" w:sz="8" w:space="0" w:color="231F20"/>
            </w:tcBorders>
          </w:tcPr>
          <w:p>
            <w:pPr>
              <w:pStyle w:val="TableParagraph"/>
              <w:spacing w:before="12"/>
              <w:ind w:left="301"/>
              <w:jc w:val="left"/>
              <w:rPr>
                <w:b/>
                <w:sz w:val="18"/>
              </w:rPr>
            </w:pPr>
            <w:r>
              <w:rPr>
                <w:b/>
                <w:color w:val="231F20"/>
                <w:sz w:val="18"/>
              </w:rPr>
              <w:t>June 30</w:t>
            </w:r>
          </w:p>
        </w:tc>
        <w:tc>
          <w:tcPr>
            <w:tcW w:w="1120" w:type="dxa"/>
            <w:gridSpan w:val="2"/>
            <w:tcBorders>
              <w:top w:val="single" w:sz="8" w:space="0" w:color="231F20"/>
              <w:bottom w:val="single" w:sz="8" w:space="0" w:color="231F20"/>
            </w:tcBorders>
          </w:tcPr>
          <w:p>
            <w:pPr>
              <w:pStyle w:val="TableParagraph"/>
              <w:spacing w:before="12"/>
              <w:ind w:left="294"/>
              <w:jc w:val="left"/>
              <w:rPr>
                <w:b/>
                <w:sz w:val="18"/>
              </w:rPr>
            </w:pPr>
            <w:r>
              <w:rPr>
                <w:b/>
                <w:color w:val="231F20"/>
                <w:sz w:val="18"/>
              </w:rPr>
              <w:t>Sept. 30</w:t>
            </w:r>
          </w:p>
        </w:tc>
        <w:tc>
          <w:tcPr>
            <w:tcW w:w="160" w:type="dxa"/>
            <w:tcBorders>
              <w:top w:val="single" w:sz="8" w:space="0" w:color="231F20"/>
            </w:tcBorders>
          </w:tcPr>
          <w:p>
            <w:pPr/>
          </w:p>
        </w:tc>
        <w:tc>
          <w:tcPr>
            <w:tcW w:w="1090" w:type="dxa"/>
            <w:tcBorders>
              <w:top w:val="single" w:sz="8" w:space="0" w:color="231F20"/>
              <w:bottom w:val="single" w:sz="8" w:space="0" w:color="231F20"/>
            </w:tcBorders>
          </w:tcPr>
          <w:p>
            <w:pPr>
              <w:pStyle w:val="TableParagraph"/>
              <w:spacing w:before="12"/>
              <w:ind w:left="240"/>
              <w:jc w:val="left"/>
              <w:rPr>
                <w:b/>
                <w:sz w:val="18"/>
              </w:rPr>
            </w:pPr>
            <w:r>
              <w:rPr>
                <w:b/>
                <w:color w:val="231F20"/>
                <w:sz w:val="18"/>
              </w:rPr>
              <w:t>Dec. 31</w:t>
            </w:r>
          </w:p>
        </w:tc>
      </w:tr>
      <w:tr>
        <w:trPr>
          <w:trHeight w:val="303" w:hRule="exact"/>
        </w:trPr>
        <w:tc>
          <w:tcPr>
            <w:tcW w:w="4415" w:type="dxa"/>
            <w:tcBorders>
              <w:top w:val="single" w:sz="8" w:space="0" w:color="231F20"/>
            </w:tcBorders>
          </w:tcPr>
          <w:p>
            <w:pPr>
              <w:pStyle w:val="TableParagraph"/>
              <w:spacing w:before="53"/>
              <w:ind w:left="50"/>
              <w:jc w:val="left"/>
              <w:rPr>
                <w:b/>
                <w:sz w:val="20"/>
              </w:rPr>
            </w:pPr>
            <w:r>
              <w:rPr>
                <w:b/>
                <w:color w:val="231F20"/>
                <w:sz w:val="20"/>
              </w:rPr>
              <w:t>2013</w:t>
            </w:r>
          </w:p>
        </w:tc>
        <w:tc>
          <w:tcPr>
            <w:tcW w:w="58" w:type="dxa"/>
          </w:tcPr>
          <w:p>
            <w:pPr/>
          </w:p>
        </w:tc>
        <w:tc>
          <w:tcPr>
            <w:tcW w:w="1178" w:type="dxa"/>
            <w:gridSpan w:val="2"/>
            <w:tcBorders>
              <w:top w:val="single" w:sz="8" w:space="0" w:color="231F20"/>
            </w:tcBorders>
          </w:tcPr>
          <w:p>
            <w:pPr/>
          </w:p>
        </w:tc>
        <w:tc>
          <w:tcPr>
            <w:tcW w:w="1200" w:type="dxa"/>
            <w:gridSpan w:val="3"/>
            <w:tcBorders>
              <w:top w:val="single" w:sz="8" w:space="0" w:color="231F20"/>
            </w:tcBorders>
          </w:tcPr>
          <w:p>
            <w:pPr/>
          </w:p>
        </w:tc>
        <w:tc>
          <w:tcPr>
            <w:tcW w:w="1120" w:type="dxa"/>
            <w:gridSpan w:val="2"/>
            <w:tcBorders>
              <w:top w:val="single" w:sz="8" w:space="0" w:color="231F20"/>
            </w:tcBorders>
          </w:tcPr>
          <w:p>
            <w:pPr/>
          </w:p>
        </w:tc>
        <w:tc>
          <w:tcPr>
            <w:tcW w:w="160" w:type="dxa"/>
          </w:tcPr>
          <w:p>
            <w:pPr/>
          </w:p>
        </w:tc>
        <w:tc>
          <w:tcPr>
            <w:tcW w:w="1090" w:type="dxa"/>
            <w:tcBorders>
              <w:top w:val="single" w:sz="8" w:space="0" w:color="231F20"/>
            </w:tcBorders>
          </w:tcPr>
          <w:p>
            <w:pPr/>
          </w:p>
        </w:tc>
      </w:tr>
      <w:tr>
        <w:trPr>
          <w:trHeight w:val="217" w:hRule="exact"/>
        </w:trPr>
        <w:tc>
          <w:tcPr>
            <w:tcW w:w="4415" w:type="dxa"/>
          </w:tcPr>
          <w:p>
            <w:pPr>
              <w:pStyle w:val="TableParagraph"/>
              <w:spacing w:line="205" w:lineRule="exact"/>
              <w:rPr>
                <w:sz w:val="18"/>
              </w:rPr>
            </w:pPr>
            <w:r>
              <w:rPr>
                <w:color w:val="231F20"/>
                <w:sz w:val="18"/>
              </w:rPr>
              <w:t>Operating revenues  . . . . . . . . . . . . . . . . . . . . . . . . . . . . </w:t>
            </w:r>
          </w:p>
        </w:tc>
        <w:tc>
          <w:tcPr>
            <w:tcW w:w="58" w:type="dxa"/>
          </w:tcPr>
          <w:p>
            <w:pPr/>
          </w:p>
        </w:tc>
        <w:tc>
          <w:tcPr>
            <w:tcW w:w="1178" w:type="dxa"/>
            <w:gridSpan w:val="2"/>
          </w:tcPr>
          <w:p>
            <w:pPr>
              <w:pStyle w:val="TableParagraph"/>
              <w:tabs>
                <w:tab w:pos="692" w:val="left" w:leader="none"/>
              </w:tabs>
              <w:spacing w:line="205" w:lineRule="exact"/>
              <w:ind w:left="57"/>
              <w:jc w:val="left"/>
              <w:rPr>
                <w:sz w:val="18"/>
              </w:rPr>
            </w:pPr>
            <w:r>
              <w:rPr>
                <w:color w:val="231F20"/>
                <w:sz w:val="18"/>
              </w:rPr>
              <w:t>$</w:t>
              <w:tab/>
              <w:t>4,084</w:t>
            </w:r>
          </w:p>
        </w:tc>
        <w:tc>
          <w:tcPr>
            <w:tcW w:w="1200" w:type="dxa"/>
            <w:gridSpan w:val="3"/>
          </w:tcPr>
          <w:p>
            <w:pPr>
              <w:pStyle w:val="TableParagraph"/>
              <w:tabs>
                <w:tab w:pos="714" w:val="left" w:leader="none"/>
              </w:tabs>
              <w:spacing w:line="205" w:lineRule="exact"/>
              <w:ind w:left="80"/>
              <w:jc w:val="left"/>
              <w:rPr>
                <w:sz w:val="18"/>
              </w:rPr>
            </w:pPr>
            <w:r>
              <w:rPr>
                <w:color w:val="231F20"/>
                <w:sz w:val="18"/>
              </w:rPr>
              <w:t>$</w:t>
              <w:tab/>
              <w:t>4,643</w:t>
            </w:r>
          </w:p>
        </w:tc>
        <w:tc>
          <w:tcPr>
            <w:tcW w:w="1120" w:type="dxa"/>
            <w:gridSpan w:val="2"/>
          </w:tcPr>
          <w:p>
            <w:pPr>
              <w:pStyle w:val="TableParagraph"/>
              <w:tabs>
                <w:tab w:pos="714" w:val="left" w:leader="none"/>
              </w:tabs>
              <w:spacing w:line="205" w:lineRule="exact"/>
              <w:ind w:left="80"/>
              <w:jc w:val="left"/>
              <w:rPr>
                <w:sz w:val="18"/>
              </w:rPr>
            </w:pPr>
            <w:r>
              <w:rPr>
                <w:color w:val="231F20"/>
                <w:sz w:val="18"/>
              </w:rPr>
              <w:t>$</w:t>
              <w:tab/>
              <w:t>4,545</w:t>
            </w:r>
          </w:p>
        </w:tc>
        <w:tc>
          <w:tcPr>
            <w:tcW w:w="160" w:type="dxa"/>
          </w:tcPr>
          <w:p>
            <w:pPr/>
          </w:p>
        </w:tc>
        <w:tc>
          <w:tcPr>
            <w:tcW w:w="1090" w:type="dxa"/>
          </w:tcPr>
          <w:p>
            <w:pPr>
              <w:pStyle w:val="TableParagraph"/>
              <w:tabs>
                <w:tab w:pos="634" w:val="left" w:leader="none"/>
              </w:tabs>
              <w:spacing w:line="205" w:lineRule="exact"/>
              <w:ind w:right="48"/>
              <w:rPr>
                <w:sz w:val="18"/>
              </w:rPr>
            </w:pPr>
            <w:r>
              <w:rPr>
                <w:color w:val="231F20"/>
                <w:sz w:val="18"/>
              </w:rPr>
              <w:t>$</w:t>
              <w:tab/>
            </w:r>
            <w:r>
              <w:rPr>
                <w:color w:val="231F20"/>
                <w:spacing w:val="-1"/>
                <w:sz w:val="18"/>
              </w:rPr>
              <w:t>4,428</w:t>
            </w:r>
          </w:p>
        </w:tc>
      </w:tr>
      <w:tr>
        <w:trPr>
          <w:trHeight w:val="220" w:hRule="exact"/>
        </w:trPr>
        <w:tc>
          <w:tcPr>
            <w:tcW w:w="4415" w:type="dxa"/>
          </w:tcPr>
          <w:p>
            <w:pPr>
              <w:pStyle w:val="TableParagraph"/>
              <w:spacing w:before="1"/>
              <w:rPr>
                <w:sz w:val="18"/>
              </w:rPr>
            </w:pPr>
            <w:r>
              <w:rPr>
                <w:color w:val="231F20"/>
                <w:sz w:val="18"/>
              </w:rPr>
              <w:t>Operating income  . . . . . . . . . . . . . . . . . . . . . . . . . . . . . </w:t>
            </w:r>
          </w:p>
        </w:tc>
        <w:tc>
          <w:tcPr>
            <w:tcW w:w="58" w:type="dxa"/>
          </w:tcPr>
          <w:p>
            <w:pPr/>
          </w:p>
        </w:tc>
        <w:tc>
          <w:tcPr>
            <w:tcW w:w="1178" w:type="dxa"/>
            <w:gridSpan w:val="2"/>
          </w:tcPr>
          <w:p>
            <w:pPr>
              <w:pStyle w:val="TableParagraph"/>
              <w:spacing w:before="1"/>
              <w:ind w:right="78"/>
              <w:rPr>
                <w:sz w:val="18"/>
              </w:rPr>
            </w:pPr>
            <w:r>
              <w:rPr>
                <w:color w:val="231F20"/>
                <w:sz w:val="18"/>
              </w:rPr>
              <w:t>70</w:t>
            </w:r>
          </w:p>
        </w:tc>
        <w:tc>
          <w:tcPr>
            <w:tcW w:w="1200" w:type="dxa"/>
            <w:gridSpan w:val="3"/>
          </w:tcPr>
          <w:p>
            <w:pPr>
              <w:pStyle w:val="TableParagraph"/>
              <w:spacing w:before="1"/>
              <w:ind w:right="78"/>
              <w:rPr>
                <w:sz w:val="18"/>
              </w:rPr>
            </w:pPr>
            <w:r>
              <w:rPr>
                <w:color w:val="231F20"/>
                <w:sz w:val="18"/>
              </w:rPr>
              <w:t>433</w:t>
            </w:r>
          </w:p>
        </w:tc>
        <w:tc>
          <w:tcPr>
            <w:tcW w:w="1120" w:type="dxa"/>
            <w:gridSpan w:val="2"/>
          </w:tcPr>
          <w:p>
            <w:pPr>
              <w:pStyle w:val="TableParagraph"/>
              <w:spacing w:before="1"/>
              <w:rPr>
                <w:sz w:val="18"/>
              </w:rPr>
            </w:pPr>
            <w:r>
              <w:rPr>
                <w:color w:val="231F20"/>
                <w:sz w:val="18"/>
              </w:rPr>
              <w:t>390</w:t>
            </w:r>
          </w:p>
        </w:tc>
        <w:tc>
          <w:tcPr>
            <w:tcW w:w="160" w:type="dxa"/>
          </w:tcPr>
          <w:p>
            <w:pPr/>
          </w:p>
        </w:tc>
        <w:tc>
          <w:tcPr>
            <w:tcW w:w="1090" w:type="dxa"/>
          </w:tcPr>
          <w:p>
            <w:pPr>
              <w:pStyle w:val="TableParagraph"/>
              <w:spacing w:before="1"/>
              <w:ind w:right="48"/>
              <w:rPr>
                <w:sz w:val="18"/>
              </w:rPr>
            </w:pPr>
            <w:r>
              <w:rPr>
                <w:color w:val="231F20"/>
                <w:sz w:val="18"/>
              </w:rPr>
              <w:t>386</w:t>
            </w:r>
          </w:p>
        </w:tc>
      </w:tr>
      <w:tr>
        <w:trPr>
          <w:trHeight w:val="220" w:hRule="exact"/>
        </w:trPr>
        <w:tc>
          <w:tcPr>
            <w:tcW w:w="4415" w:type="dxa"/>
          </w:tcPr>
          <w:p>
            <w:pPr>
              <w:pStyle w:val="TableParagraph"/>
              <w:spacing w:before="1"/>
              <w:rPr>
                <w:sz w:val="18"/>
              </w:rPr>
            </w:pPr>
            <w:r>
              <w:rPr>
                <w:color w:val="231F20"/>
                <w:sz w:val="18"/>
              </w:rPr>
              <w:t>Income before income taxes  . . . . . . . . . . . . . . . . . . . . . </w:t>
            </w:r>
          </w:p>
        </w:tc>
        <w:tc>
          <w:tcPr>
            <w:tcW w:w="58" w:type="dxa"/>
          </w:tcPr>
          <w:p>
            <w:pPr/>
          </w:p>
        </w:tc>
        <w:tc>
          <w:tcPr>
            <w:tcW w:w="1178" w:type="dxa"/>
            <w:gridSpan w:val="2"/>
          </w:tcPr>
          <w:p>
            <w:pPr>
              <w:pStyle w:val="TableParagraph"/>
              <w:spacing w:before="1"/>
              <w:ind w:right="78"/>
              <w:rPr>
                <w:sz w:val="18"/>
              </w:rPr>
            </w:pPr>
            <w:r>
              <w:rPr>
                <w:color w:val="231F20"/>
                <w:sz w:val="18"/>
              </w:rPr>
              <w:t>94</w:t>
            </w:r>
          </w:p>
        </w:tc>
        <w:tc>
          <w:tcPr>
            <w:tcW w:w="1200" w:type="dxa"/>
            <w:gridSpan w:val="3"/>
          </w:tcPr>
          <w:p>
            <w:pPr>
              <w:pStyle w:val="TableParagraph"/>
              <w:spacing w:before="1"/>
              <w:ind w:right="78"/>
              <w:rPr>
                <w:sz w:val="18"/>
              </w:rPr>
            </w:pPr>
            <w:r>
              <w:rPr>
                <w:color w:val="231F20"/>
                <w:sz w:val="18"/>
              </w:rPr>
              <w:t>363</w:t>
            </w:r>
          </w:p>
        </w:tc>
        <w:tc>
          <w:tcPr>
            <w:tcW w:w="1120" w:type="dxa"/>
            <w:gridSpan w:val="2"/>
          </w:tcPr>
          <w:p>
            <w:pPr>
              <w:pStyle w:val="TableParagraph"/>
              <w:spacing w:before="1"/>
              <w:rPr>
                <w:sz w:val="18"/>
              </w:rPr>
            </w:pPr>
            <w:r>
              <w:rPr>
                <w:color w:val="231F20"/>
                <w:sz w:val="18"/>
              </w:rPr>
              <w:t>419</w:t>
            </w:r>
          </w:p>
        </w:tc>
        <w:tc>
          <w:tcPr>
            <w:tcW w:w="160" w:type="dxa"/>
          </w:tcPr>
          <w:p>
            <w:pPr/>
          </w:p>
        </w:tc>
        <w:tc>
          <w:tcPr>
            <w:tcW w:w="1090" w:type="dxa"/>
          </w:tcPr>
          <w:p>
            <w:pPr>
              <w:pStyle w:val="TableParagraph"/>
              <w:spacing w:before="1"/>
              <w:ind w:right="48"/>
              <w:rPr>
                <w:sz w:val="18"/>
              </w:rPr>
            </w:pPr>
            <w:r>
              <w:rPr>
                <w:color w:val="231F20"/>
                <w:sz w:val="18"/>
              </w:rPr>
              <w:t>334</w:t>
            </w:r>
          </w:p>
        </w:tc>
      </w:tr>
      <w:tr>
        <w:trPr>
          <w:trHeight w:val="220" w:hRule="exact"/>
        </w:trPr>
        <w:tc>
          <w:tcPr>
            <w:tcW w:w="4415" w:type="dxa"/>
          </w:tcPr>
          <w:p>
            <w:pPr>
              <w:pStyle w:val="TableParagraph"/>
              <w:spacing w:before="1"/>
              <w:rPr>
                <w:sz w:val="18"/>
              </w:rPr>
            </w:pPr>
            <w:r>
              <w:rPr>
                <w:color w:val="231F20"/>
                <w:sz w:val="18"/>
              </w:rPr>
              <w:t>Net income  . . . . . . . . . . . . . . . . . . . . . . . . . . . . . . . . . . </w:t>
            </w:r>
          </w:p>
        </w:tc>
        <w:tc>
          <w:tcPr>
            <w:tcW w:w="58" w:type="dxa"/>
          </w:tcPr>
          <w:p>
            <w:pPr/>
          </w:p>
        </w:tc>
        <w:tc>
          <w:tcPr>
            <w:tcW w:w="1178" w:type="dxa"/>
            <w:gridSpan w:val="2"/>
          </w:tcPr>
          <w:p>
            <w:pPr>
              <w:pStyle w:val="TableParagraph"/>
              <w:spacing w:before="1"/>
              <w:ind w:right="78"/>
              <w:rPr>
                <w:sz w:val="18"/>
              </w:rPr>
            </w:pPr>
            <w:r>
              <w:rPr>
                <w:color w:val="231F20"/>
                <w:sz w:val="18"/>
              </w:rPr>
              <w:t>59</w:t>
            </w:r>
          </w:p>
        </w:tc>
        <w:tc>
          <w:tcPr>
            <w:tcW w:w="1200" w:type="dxa"/>
            <w:gridSpan w:val="3"/>
          </w:tcPr>
          <w:p>
            <w:pPr>
              <w:pStyle w:val="TableParagraph"/>
              <w:spacing w:before="1"/>
              <w:ind w:right="78"/>
              <w:rPr>
                <w:sz w:val="18"/>
              </w:rPr>
            </w:pPr>
            <w:r>
              <w:rPr>
                <w:color w:val="231F20"/>
                <w:sz w:val="18"/>
              </w:rPr>
              <w:t>224</w:t>
            </w:r>
          </w:p>
        </w:tc>
        <w:tc>
          <w:tcPr>
            <w:tcW w:w="1120" w:type="dxa"/>
            <w:gridSpan w:val="2"/>
          </w:tcPr>
          <w:p>
            <w:pPr>
              <w:pStyle w:val="TableParagraph"/>
              <w:spacing w:before="1"/>
              <w:rPr>
                <w:sz w:val="18"/>
              </w:rPr>
            </w:pPr>
            <w:r>
              <w:rPr>
                <w:color w:val="231F20"/>
                <w:sz w:val="18"/>
              </w:rPr>
              <w:t>259</w:t>
            </w:r>
          </w:p>
        </w:tc>
        <w:tc>
          <w:tcPr>
            <w:tcW w:w="160" w:type="dxa"/>
          </w:tcPr>
          <w:p>
            <w:pPr/>
          </w:p>
        </w:tc>
        <w:tc>
          <w:tcPr>
            <w:tcW w:w="1090" w:type="dxa"/>
          </w:tcPr>
          <w:p>
            <w:pPr>
              <w:pStyle w:val="TableParagraph"/>
              <w:spacing w:before="1"/>
              <w:ind w:right="48"/>
              <w:rPr>
                <w:sz w:val="18"/>
              </w:rPr>
            </w:pPr>
            <w:r>
              <w:rPr>
                <w:color w:val="231F20"/>
                <w:sz w:val="18"/>
              </w:rPr>
              <w:t>212</w:t>
            </w:r>
          </w:p>
        </w:tc>
      </w:tr>
      <w:tr>
        <w:trPr>
          <w:trHeight w:val="220" w:hRule="exact"/>
        </w:trPr>
        <w:tc>
          <w:tcPr>
            <w:tcW w:w="4415" w:type="dxa"/>
          </w:tcPr>
          <w:p>
            <w:pPr>
              <w:pStyle w:val="TableParagraph"/>
              <w:spacing w:before="1"/>
              <w:rPr>
                <w:sz w:val="18"/>
              </w:rPr>
            </w:pPr>
            <w:r>
              <w:rPr>
                <w:color w:val="231F20"/>
                <w:sz w:val="18"/>
              </w:rPr>
              <w:t>Net income per share, basic   . . . . . . . . . . . . . . . . . . . . . </w:t>
            </w:r>
          </w:p>
        </w:tc>
        <w:tc>
          <w:tcPr>
            <w:tcW w:w="58" w:type="dxa"/>
          </w:tcPr>
          <w:p>
            <w:pPr/>
          </w:p>
        </w:tc>
        <w:tc>
          <w:tcPr>
            <w:tcW w:w="1178" w:type="dxa"/>
            <w:gridSpan w:val="2"/>
          </w:tcPr>
          <w:p>
            <w:pPr>
              <w:pStyle w:val="TableParagraph"/>
              <w:spacing w:before="1"/>
              <w:ind w:left="782"/>
              <w:jc w:val="left"/>
              <w:rPr>
                <w:sz w:val="18"/>
              </w:rPr>
            </w:pPr>
            <w:r>
              <w:rPr>
                <w:color w:val="231F20"/>
                <w:sz w:val="18"/>
              </w:rPr>
              <w:t>0.08</w:t>
            </w:r>
          </w:p>
        </w:tc>
        <w:tc>
          <w:tcPr>
            <w:tcW w:w="1200" w:type="dxa"/>
            <w:gridSpan w:val="3"/>
          </w:tcPr>
          <w:p>
            <w:pPr>
              <w:pStyle w:val="TableParagraph"/>
              <w:spacing w:before="1"/>
              <w:ind w:right="78"/>
              <w:rPr>
                <w:sz w:val="18"/>
              </w:rPr>
            </w:pPr>
            <w:r>
              <w:rPr>
                <w:color w:val="231F20"/>
                <w:sz w:val="18"/>
              </w:rPr>
              <w:t>0.31</w:t>
            </w:r>
          </w:p>
        </w:tc>
        <w:tc>
          <w:tcPr>
            <w:tcW w:w="1120" w:type="dxa"/>
            <w:gridSpan w:val="2"/>
          </w:tcPr>
          <w:p>
            <w:pPr>
              <w:pStyle w:val="TableParagraph"/>
              <w:spacing w:before="1"/>
              <w:rPr>
                <w:sz w:val="18"/>
              </w:rPr>
            </w:pPr>
            <w:r>
              <w:rPr>
                <w:color w:val="231F20"/>
                <w:sz w:val="18"/>
              </w:rPr>
              <w:t>0.37</w:t>
            </w:r>
          </w:p>
        </w:tc>
        <w:tc>
          <w:tcPr>
            <w:tcW w:w="160" w:type="dxa"/>
          </w:tcPr>
          <w:p>
            <w:pPr/>
          </w:p>
        </w:tc>
        <w:tc>
          <w:tcPr>
            <w:tcW w:w="1090" w:type="dxa"/>
          </w:tcPr>
          <w:p>
            <w:pPr>
              <w:pStyle w:val="TableParagraph"/>
              <w:spacing w:before="1"/>
              <w:ind w:right="48"/>
              <w:rPr>
                <w:sz w:val="18"/>
              </w:rPr>
            </w:pPr>
            <w:r>
              <w:rPr>
                <w:color w:val="231F20"/>
                <w:sz w:val="18"/>
              </w:rPr>
              <w:t>0.30</w:t>
            </w:r>
          </w:p>
        </w:tc>
      </w:tr>
      <w:tr>
        <w:trPr>
          <w:trHeight w:val="318" w:hRule="exact"/>
        </w:trPr>
        <w:tc>
          <w:tcPr>
            <w:tcW w:w="4415" w:type="dxa"/>
          </w:tcPr>
          <w:p>
            <w:pPr>
              <w:pStyle w:val="TableParagraph"/>
              <w:spacing w:before="1"/>
              <w:rPr>
                <w:sz w:val="18"/>
              </w:rPr>
            </w:pPr>
            <w:r>
              <w:rPr>
                <w:color w:val="231F20"/>
                <w:sz w:val="18"/>
              </w:rPr>
              <w:t>Net income per share, diluted  . . . . . . . . . . . . . . . . . . . . </w:t>
            </w:r>
          </w:p>
        </w:tc>
        <w:tc>
          <w:tcPr>
            <w:tcW w:w="58" w:type="dxa"/>
          </w:tcPr>
          <w:p>
            <w:pPr/>
          </w:p>
        </w:tc>
        <w:tc>
          <w:tcPr>
            <w:tcW w:w="1178" w:type="dxa"/>
            <w:gridSpan w:val="2"/>
          </w:tcPr>
          <w:p>
            <w:pPr>
              <w:pStyle w:val="TableParagraph"/>
              <w:spacing w:before="1"/>
              <w:ind w:left="782"/>
              <w:jc w:val="left"/>
              <w:rPr>
                <w:sz w:val="18"/>
              </w:rPr>
            </w:pPr>
            <w:r>
              <w:rPr>
                <w:color w:val="231F20"/>
                <w:sz w:val="18"/>
              </w:rPr>
              <w:t>0.08</w:t>
            </w:r>
          </w:p>
        </w:tc>
        <w:tc>
          <w:tcPr>
            <w:tcW w:w="1200" w:type="dxa"/>
            <w:gridSpan w:val="3"/>
          </w:tcPr>
          <w:p>
            <w:pPr>
              <w:pStyle w:val="TableParagraph"/>
              <w:spacing w:before="1"/>
              <w:ind w:right="78"/>
              <w:rPr>
                <w:sz w:val="18"/>
              </w:rPr>
            </w:pPr>
            <w:r>
              <w:rPr>
                <w:color w:val="231F20"/>
                <w:sz w:val="18"/>
              </w:rPr>
              <w:t>0.31</w:t>
            </w:r>
          </w:p>
        </w:tc>
        <w:tc>
          <w:tcPr>
            <w:tcW w:w="1120" w:type="dxa"/>
            <w:gridSpan w:val="2"/>
          </w:tcPr>
          <w:p>
            <w:pPr>
              <w:pStyle w:val="TableParagraph"/>
              <w:spacing w:before="1"/>
              <w:rPr>
                <w:sz w:val="18"/>
              </w:rPr>
            </w:pPr>
            <w:r>
              <w:rPr>
                <w:color w:val="231F20"/>
                <w:sz w:val="18"/>
              </w:rPr>
              <w:t>0.37</w:t>
            </w:r>
          </w:p>
        </w:tc>
        <w:tc>
          <w:tcPr>
            <w:tcW w:w="160" w:type="dxa"/>
          </w:tcPr>
          <w:p>
            <w:pPr/>
          </w:p>
        </w:tc>
        <w:tc>
          <w:tcPr>
            <w:tcW w:w="1090" w:type="dxa"/>
          </w:tcPr>
          <w:p>
            <w:pPr>
              <w:pStyle w:val="TableParagraph"/>
              <w:spacing w:before="1"/>
              <w:ind w:right="48"/>
              <w:rPr>
                <w:sz w:val="18"/>
              </w:rPr>
            </w:pPr>
            <w:r>
              <w:rPr>
                <w:color w:val="231F20"/>
                <w:sz w:val="18"/>
              </w:rPr>
              <w:t>0.30</w:t>
            </w:r>
          </w:p>
        </w:tc>
      </w:tr>
      <w:tr>
        <w:trPr>
          <w:trHeight w:val="322" w:hRule="exact"/>
        </w:trPr>
        <w:tc>
          <w:tcPr>
            <w:tcW w:w="5570" w:type="dxa"/>
            <w:gridSpan w:val="3"/>
          </w:tcPr>
          <w:p>
            <w:pPr>
              <w:pStyle w:val="TableParagraph"/>
              <w:spacing w:before="102"/>
              <w:ind w:right="187"/>
              <w:rPr>
                <w:b/>
                <w:sz w:val="16"/>
              </w:rPr>
            </w:pPr>
            <w:r>
              <w:rPr>
                <w:b/>
                <w:color w:val="231F20"/>
                <w:sz w:val="16"/>
              </w:rPr>
              <w:t>March 31</w:t>
            </w:r>
          </w:p>
        </w:tc>
        <w:tc>
          <w:tcPr>
            <w:tcW w:w="160" w:type="dxa"/>
            <w:gridSpan w:val="2"/>
          </w:tcPr>
          <w:p>
            <w:pPr/>
          </w:p>
        </w:tc>
        <w:tc>
          <w:tcPr>
            <w:tcW w:w="1040" w:type="dxa"/>
            <w:tcBorders>
              <w:bottom w:val="single" w:sz="8" w:space="0" w:color="231F20"/>
            </w:tcBorders>
          </w:tcPr>
          <w:p>
            <w:pPr>
              <w:pStyle w:val="TableParagraph"/>
              <w:spacing w:before="102"/>
              <w:ind w:left="255"/>
              <w:jc w:val="left"/>
              <w:rPr>
                <w:b/>
                <w:sz w:val="16"/>
              </w:rPr>
            </w:pPr>
            <w:r>
              <w:rPr>
                <w:b/>
                <w:color w:val="231F20"/>
                <w:sz w:val="16"/>
              </w:rPr>
              <w:t>June 30</w:t>
            </w:r>
          </w:p>
        </w:tc>
        <w:tc>
          <w:tcPr>
            <w:tcW w:w="160" w:type="dxa"/>
            <w:gridSpan w:val="2"/>
          </w:tcPr>
          <w:p>
            <w:pPr/>
          </w:p>
        </w:tc>
        <w:tc>
          <w:tcPr>
            <w:tcW w:w="1040" w:type="dxa"/>
            <w:tcBorders>
              <w:bottom w:val="single" w:sz="8" w:space="0" w:color="231F20"/>
            </w:tcBorders>
          </w:tcPr>
          <w:p>
            <w:pPr>
              <w:pStyle w:val="TableParagraph"/>
              <w:spacing w:before="102"/>
              <w:ind w:left="248"/>
              <w:jc w:val="left"/>
              <w:rPr>
                <w:b/>
                <w:sz w:val="16"/>
              </w:rPr>
            </w:pPr>
            <w:r>
              <w:rPr>
                <w:b/>
                <w:color w:val="231F20"/>
                <w:sz w:val="16"/>
              </w:rPr>
              <w:t>Sept. 30</w:t>
            </w:r>
          </w:p>
        </w:tc>
        <w:tc>
          <w:tcPr>
            <w:tcW w:w="160" w:type="dxa"/>
          </w:tcPr>
          <w:p>
            <w:pPr/>
          </w:p>
        </w:tc>
        <w:tc>
          <w:tcPr>
            <w:tcW w:w="1090" w:type="dxa"/>
            <w:tcBorders>
              <w:bottom w:val="single" w:sz="8" w:space="0" w:color="231F20"/>
            </w:tcBorders>
          </w:tcPr>
          <w:p>
            <w:pPr>
              <w:pStyle w:val="TableParagraph"/>
              <w:spacing w:before="102"/>
              <w:ind w:left="271"/>
              <w:jc w:val="left"/>
              <w:rPr>
                <w:b/>
                <w:sz w:val="16"/>
              </w:rPr>
            </w:pPr>
            <w:r>
              <w:rPr>
                <w:b/>
                <w:color w:val="231F20"/>
                <w:sz w:val="16"/>
              </w:rPr>
              <w:t>Dec. 31</w:t>
            </w:r>
          </w:p>
        </w:tc>
      </w:tr>
      <w:tr>
        <w:trPr>
          <w:trHeight w:val="295" w:hRule="exact"/>
        </w:trPr>
        <w:tc>
          <w:tcPr>
            <w:tcW w:w="4415" w:type="dxa"/>
          </w:tcPr>
          <w:p>
            <w:pPr>
              <w:pStyle w:val="TableParagraph"/>
              <w:spacing w:before="63"/>
              <w:ind w:left="50"/>
              <w:jc w:val="left"/>
              <w:rPr>
                <w:b/>
                <w:sz w:val="20"/>
              </w:rPr>
            </w:pPr>
            <w:r>
              <w:rPr>
                <w:b/>
                <w:color w:val="231F20"/>
                <w:sz w:val="20"/>
              </w:rPr>
              <w:t>2012</w:t>
            </w:r>
          </w:p>
        </w:tc>
        <w:tc>
          <w:tcPr>
            <w:tcW w:w="58" w:type="dxa"/>
          </w:tcPr>
          <w:p>
            <w:pPr/>
          </w:p>
        </w:tc>
        <w:tc>
          <w:tcPr>
            <w:tcW w:w="1097" w:type="dxa"/>
          </w:tcPr>
          <w:p>
            <w:pPr/>
          </w:p>
        </w:tc>
        <w:tc>
          <w:tcPr>
            <w:tcW w:w="80" w:type="dxa"/>
          </w:tcPr>
          <w:p>
            <w:pPr/>
          </w:p>
        </w:tc>
        <w:tc>
          <w:tcPr>
            <w:tcW w:w="80" w:type="dxa"/>
          </w:tcPr>
          <w:p>
            <w:pPr/>
          </w:p>
        </w:tc>
        <w:tc>
          <w:tcPr>
            <w:tcW w:w="1040" w:type="dxa"/>
          </w:tcPr>
          <w:p>
            <w:pPr/>
          </w:p>
        </w:tc>
        <w:tc>
          <w:tcPr>
            <w:tcW w:w="80" w:type="dxa"/>
          </w:tcPr>
          <w:p>
            <w:pPr/>
          </w:p>
        </w:tc>
        <w:tc>
          <w:tcPr>
            <w:tcW w:w="80" w:type="dxa"/>
          </w:tcPr>
          <w:p>
            <w:pPr/>
          </w:p>
        </w:tc>
        <w:tc>
          <w:tcPr>
            <w:tcW w:w="1040" w:type="dxa"/>
          </w:tcPr>
          <w:p>
            <w:pPr/>
          </w:p>
        </w:tc>
        <w:tc>
          <w:tcPr>
            <w:tcW w:w="160" w:type="dxa"/>
          </w:tcPr>
          <w:p>
            <w:pPr/>
          </w:p>
        </w:tc>
        <w:tc>
          <w:tcPr>
            <w:tcW w:w="1090" w:type="dxa"/>
          </w:tcPr>
          <w:p>
            <w:pPr/>
          </w:p>
        </w:tc>
      </w:tr>
      <w:tr>
        <w:trPr>
          <w:trHeight w:val="225" w:hRule="exact"/>
        </w:trPr>
        <w:tc>
          <w:tcPr>
            <w:tcW w:w="4415" w:type="dxa"/>
          </w:tcPr>
          <w:p>
            <w:pPr>
              <w:pStyle w:val="TableParagraph"/>
              <w:spacing w:line="197" w:lineRule="exact"/>
              <w:rPr>
                <w:sz w:val="18"/>
              </w:rPr>
            </w:pPr>
            <w:r>
              <w:rPr>
                <w:color w:val="231F20"/>
                <w:sz w:val="18"/>
              </w:rPr>
              <w:t>Operating revenues  . . . . . . . . . . . . . . . . . . . . . . . . . . . . </w:t>
            </w:r>
          </w:p>
        </w:tc>
        <w:tc>
          <w:tcPr>
            <w:tcW w:w="1155" w:type="dxa"/>
            <w:gridSpan w:val="2"/>
          </w:tcPr>
          <w:p>
            <w:pPr>
              <w:pStyle w:val="TableParagraph"/>
              <w:tabs>
                <w:tab w:pos="749" w:val="left" w:leader="none"/>
              </w:tabs>
              <w:spacing w:line="197" w:lineRule="exact"/>
              <w:ind w:left="115" w:right="-1"/>
              <w:jc w:val="left"/>
              <w:rPr>
                <w:sz w:val="18"/>
              </w:rPr>
            </w:pPr>
            <w:r>
              <w:rPr>
                <w:color w:val="231F20"/>
                <w:sz w:val="18"/>
              </w:rPr>
              <w:t>$</w:t>
              <w:tab/>
              <w:t>3,991</w:t>
            </w:r>
          </w:p>
        </w:tc>
        <w:tc>
          <w:tcPr>
            <w:tcW w:w="1200" w:type="dxa"/>
            <w:gridSpan w:val="3"/>
          </w:tcPr>
          <w:p>
            <w:pPr>
              <w:pStyle w:val="TableParagraph"/>
              <w:tabs>
                <w:tab w:pos="795" w:val="left" w:leader="none"/>
              </w:tabs>
              <w:spacing w:line="197" w:lineRule="exact"/>
              <w:ind w:left="160" w:right="-1"/>
              <w:jc w:val="left"/>
              <w:rPr>
                <w:sz w:val="18"/>
              </w:rPr>
            </w:pPr>
            <w:r>
              <w:rPr>
                <w:color w:val="231F20"/>
                <w:sz w:val="18"/>
              </w:rPr>
              <w:t>$</w:t>
              <w:tab/>
              <w:t>4,616</w:t>
            </w:r>
          </w:p>
        </w:tc>
        <w:tc>
          <w:tcPr>
            <w:tcW w:w="1200" w:type="dxa"/>
            <w:gridSpan w:val="3"/>
          </w:tcPr>
          <w:p>
            <w:pPr>
              <w:pStyle w:val="TableParagraph"/>
              <w:tabs>
                <w:tab w:pos="795" w:val="left" w:leader="none"/>
              </w:tabs>
              <w:spacing w:line="197" w:lineRule="exact"/>
              <w:ind w:left="160"/>
              <w:jc w:val="left"/>
              <w:rPr>
                <w:sz w:val="18"/>
              </w:rPr>
            </w:pPr>
            <w:r>
              <w:rPr>
                <w:color w:val="231F20"/>
                <w:sz w:val="18"/>
              </w:rPr>
              <w:t>$</w:t>
              <w:tab/>
              <w:t>4,309</w:t>
            </w:r>
          </w:p>
        </w:tc>
        <w:tc>
          <w:tcPr>
            <w:tcW w:w="1250" w:type="dxa"/>
            <w:gridSpan w:val="2"/>
          </w:tcPr>
          <w:p>
            <w:pPr>
              <w:pStyle w:val="TableParagraph"/>
              <w:tabs>
                <w:tab w:pos="794" w:val="left" w:leader="none"/>
              </w:tabs>
              <w:spacing w:line="197" w:lineRule="exact"/>
              <w:ind w:left="160"/>
              <w:jc w:val="left"/>
              <w:rPr>
                <w:sz w:val="18"/>
              </w:rPr>
            </w:pPr>
            <w:r>
              <w:rPr>
                <w:color w:val="231F20"/>
                <w:sz w:val="18"/>
              </w:rPr>
              <w:t>$</w:t>
              <w:tab/>
              <w:t>4,173</w:t>
            </w:r>
          </w:p>
        </w:tc>
      </w:tr>
      <w:tr>
        <w:trPr>
          <w:trHeight w:val="220" w:hRule="exact"/>
        </w:trPr>
        <w:tc>
          <w:tcPr>
            <w:tcW w:w="4415" w:type="dxa"/>
          </w:tcPr>
          <w:p>
            <w:pPr>
              <w:pStyle w:val="TableParagraph"/>
              <w:spacing w:before="1"/>
              <w:rPr>
                <w:sz w:val="18"/>
              </w:rPr>
            </w:pPr>
            <w:r>
              <w:rPr>
                <w:color w:val="231F20"/>
                <w:sz w:val="18"/>
              </w:rPr>
              <w:t>Operating income  . . . . . . . . . . . . . . . . . . . . . . . . . . . . . </w:t>
            </w:r>
          </w:p>
        </w:tc>
        <w:tc>
          <w:tcPr>
            <w:tcW w:w="1155" w:type="dxa"/>
            <w:gridSpan w:val="2"/>
          </w:tcPr>
          <w:p>
            <w:pPr>
              <w:pStyle w:val="TableParagraph"/>
              <w:spacing w:before="1"/>
              <w:ind w:right="-1"/>
              <w:rPr>
                <w:sz w:val="18"/>
              </w:rPr>
            </w:pPr>
            <w:r>
              <w:rPr>
                <w:color w:val="231F20"/>
                <w:sz w:val="18"/>
              </w:rPr>
              <w:t>22</w:t>
            </w:r>
          </w:p>
        </w:tc>
        <w:tc>
          <w:tcPr>
            <w:tcW w:w="1200" w:type="dxa"/>
            <w:gridSpan w:val="3"/>
          </w:tcPr>
          <w:p>
            <w:pPr>
              <w:pStyle w:val="TableParagraph"/>
              <w:spacing w:before="1"/>
              <w:ind w:right="-1"/>
              <w:rPr>
                <w:sz w:val="18"/>
              </w:rPr>
            </w:pPr>
            <w:r>
              <w:rPr>
                <w:color w:val="231F20"/>
                <w:sz w:val="18"/>
              </w:rPr>
              <w:t>460</w:t>
            </w:r>
          </w:p>
        </w:tc>
        <w:tc>
          <w:tcPr>
            <w:tcW w:w="1200" w:type="dxa"/>
            <w:gridSpan w:val="3"/>
          </w:tcPr>
          <w:p>
            <w:pPr>
              <w:pStyle w:val="TableParagraph"/>
              <w:spacing w:before="1"/>
              <w:rPr>
                <w:sz w:val="18"/>
              </w:rPr>
            </w:pPr>
            <w:r>
              <w:rPr>
                <w:color w:val="231F20"/>
                <w:sz w:val="18"/>
              </w:rPr>
              <w:t>51</w:t>
            </w:r>
          </w:p>
        </w:tc>
        <w:tc>
          <w:tcPr>
            <w:tcW w:w="1250" w:type="dxa"/>
            <w:gridSpan w:val="2"/>
          </w:tcPr>
          <w:p>
            <w:pPr>
              <w:pStyle w:val="TableParagraph"/>
              <w:spacing w:before="1"/>
              <w:ind w:right="48"/>
              <w:rPr>
                <w:sz w:val="18"/>
              </w:rPr>
            </w:pPr>
            <w:r>
              <w:rPr>
                <w:color w:val="231F20"/>
                <w:sz w:val="18"/>
              </w:rPr>
              <w:t>91</w:t>
            </w:r>
          </w:p>
        </w:tc>
      </w:tr>
      <w:tr>
        <w:trPr>
          <w:trHeight w:val="220" w:hRule="exact"/>
        </w:trPr>
        <w:tc>
          <w:tcPr>
            <w:tcW w:w="4415" w:type="dxa"/>
          </w:tcPr>
          <w:p>
            <w:pPr>
              <w:pStyle w:val="TableParagraph"/>
              <w:spacing w:before="1"/>
              <w:rPr>
                <w:sz w:val="18"/>
              </w:rPr>
            </w:pPr>
            <w:r>
              <w:rPr>
                <w:color w:val="231F20"/>
                <w:sz w:val="18"/>
              </w:rPr>
              <w:t>Income (loss) before income taxes  . . . . . . . . . . . . . . . . </w:t>
            </w:r>
          </w:p>
        </w:tc>
        <w:tc>
          <w:tcPr>
            <w:tcW w:w="1155" w:type="dxa"/>
            <w:gridSpan w:val="2"/>
          </w:tcPr>
          <w:p>
            <w:pPr>
              <w:pStyle w:val="TableParagraph"/>
              <w:spacing w:before="1"/>
              <w:ind w:right="-1"/>
              <w:rPr>
                <w:sz w:val="18"/>
              </w:rPr>
            </w:pPr>
            <w:r>
              <w:rPr>
                <w:color w:val="231F20"/>
                <w:sz w:val="18"/>
              </w:rPr>
              <w:t>159</w:t>
            </w:r>
          </w:p>
        </w:tc>
        <w:tc>
          <w:tcPr>
            <w:tcW w:w="1200" w:type="dxa"/>
            <w:gridSpan w:val="3"/>
          </w:tcPr>
          <w:p>
            <w:pPr>
              <w:pStyle w:val="TableParagraph"/>
              <w:spacing w:before="1"/>
              <w:ind w:right="-1"/>
              <w:rPr>
                <w:sz w:val="18"/>
              </w:rPr>
            </w:pPr>
            <w:r>
              <w:rPr>
                <w:color w:val="231F20"/>
                <w:sz w:val="18"/>
              </w:rPr>
              <w:t>368</w:t>
            </w:r>
          </w:p>
        </w:tc>
        <w:tc>
          <w:tcPr>
            <w:tcW w:w="1200" w:type="dxa"/>
            <w:gridSpan w:val="3"/>
          </w:tcPr>
          <w:p>
            <w:pPr>
              <w:pStyle w:val="TableParagraph"/>
              <w:spacing w:before="1"/>
              <w:rPr>
                <w:sz w:val="18"/>
              </w:rPr>
            </w:pPr>
            <w:r>
              <w:rPr>
                <w:color w:val="231F20"/>
                <w:sz w:val="18"/>
              </w:rPr>
              <w:t>33</w:t>
            </w:r>
          </w:p>
        </w:tc>
        <w:tc>
          <w:tcPr>
            <w:tcW w:w="1250" w:type="dxa"/>
            <w:gridSpan w:val="2"/>
          </w:tcPr>
          <w:p>
            <w:pPr>
              <w:pStyle w:val="TableParagraph"/>
              <w:spacing w:before="1"/>
              <w:ind w:right="48"/>
              <w:rPr>
                <w:sz w:val="18"/>
              </w:rPr>
            </w:pPr>
            <w:r>
              <w:rPr>
                <w:color w:val="231F20"/>
                <w:sz w:val="18"/>
              </w:rPr>
              <w:t>125</w:t>
            </w:r>
          </w:p>
        </w:tc>
      </w:tr>
      <w:tr>
        <w:trPr>
          <w:trHeight w:val="220" w:hRule="exact"/>
        </w:trPr>
        <w:tc>
          <w:tcPr>
            <w:tcW w:w="4415" w:type="dxa"/>
          </w:tcPr>
          <w:p>
            <w:pPr>
              <w:pStyle w:val="TableParagraph"/>
              <w:spacing w:before="1"/>
              <w:rPr>
                <w:sz w:val="18"/>
              </w:rPr>
            </w:pPr>
            <w:r>
              <w:rPr>
                <w:color w:val="231F20"/>
                <w:sz w:val="18"/>
              </w:rPr>
              <w:t>Net income (loss)   . . . . . . . . . . . . . . . . . . . . . . . . . . . . . </w:t>
            </w:r>
          </w:p>
        </w:tc>
        <w:tc>
          <w:tcPr>
            <w:tcW w:w="1155" w:type="dxa"/>
            <w:gridSpan w:val="2"/>
          </w:tcPr>
          <w:p>
            <w:pPr>
              <w:pStyle w:val="TableParagraph"/>
              <w:spacing w:before="1"/>
              <w:ind w:right="-1"/>
              <w:rPr>
                <w:sz w:val="18"/>
              </w:rPr>
            </w:pPr>
            <w:r>
              <w:rPr>
                <w:color w:val="231F20"/>
                <w:sz w:val="18"/>
              </w:rPr>
              <w:t>98</w:t>
            </w:r>
          </w:p>
        </w:tc>
        <w:tc>
          <w:tcPr>
            <w:tcW w:w="1200" w:type="dxa"/>
            <w:gridSpan w:val="3"/>
          </w:tcPr>
          <w:p>
            <w:pPr>
              <w:pStyle w:val="TableParagraph"/>
              <w:spacing w:before="1"/>
              <w:ind w:right="-1"/>
              <w:rPr>
                <w:sz w:val="18"/>
              </w:rPr>
            </w:pPr>
            <w:r>
              <w:rPr>
                <w:color w:val="231F20"/>
                <w:sz w:val="18"/>
              </w:rPr>
              <w:t>228</w:t>
            </w:r>
          </w:p>
        </w:tc>
        <w:tc>
          <w:tcPr>
            <w:tcW w:w="1200" w:type="dxa"/>
            <w:gridSpan w:val="3"/>
          </w:tcPr>
          <w:p>
            <w:pPr>
              <w:pStyle w:val="TableParagraph"/>
              <w:spacing w:before="1"/>
              <w:rPr>
                <w:sz w:val="18"/>
              </w:rPr>
            </w:pPr>
            <w:r>
              <w:rPr>
                <w:color w:val="231F20"/>
                <w:sz w:val="18"/>
              </w:rPr>
              <w:t>16</w:t>
            </w:r>
          </w:p>
        </w:tc>
        <w:tc>
          <w:tcPr>
            <w:tcW w:w="1250" w:type="dxa"/>
            <w:gridSpan w:val="2"/>
          </w:tcPr>
          <w:p>
            <w:pPr>
              <w:pStyle w:val="TableParagraph"/>
              <w:spacing w:before="1"/>
              <w:ind w:right="48"/>
              <w:rPr>
                <w:sz w:val="18"/>
              </w:rPr>
            </w:pPr>
            <w:r>
              <w:rPr>
                <w:color w:val="231F20"/>
                <w:sz w:val="18"/>
              </w:rPr>
              <w:t>78</w:t>
            </w:r>
          </w:p>
        </w:tc>
      </w:tr>
      <w:tr>
        <w:trPr>
          <w:trHeight w:val="220" w:hRule="exact"/>
        </w:trPr>
        <w:tc>
          <w:tcPr>
            <w:tcW w:w="4415" w:type="dxa"/>
          </w:tcPr>
          <w:p>
            <w:pPr>
              <w:pStyle w:val="TableParagraph"/>
              <w:spacing w:before="1"/>
              <w:rPr>
                <w:sz w:val="18"/>
              </w:rPr>
            </w:pPr>
            <w:r>
              <w:rPr>
                <w:color w:val="231F20"/>
                <w:sz w:val="18"/>
              </w:rPr>
              <w:t>Net income (loss) per share, basic   . . . . . . . . . . . . . . . . </w:t>
            </w:r>
          </w:p>
        </w:tc>
        <w:tc>
          <w:tcPr>
            <w:tcW w:w="1155" w:type="dxa"/>
            <w:gridSpan w:val="2"/>
          </w:tcPr>
          <w:p>
            <w:pPr>
              <w:pStyle w:val="TableParagraph"/>
              <w:spacing w:before="1"/>
              <w:ind w:right="-1"/>
              <w:rPr>
                <w:sz w:val="18"/>
              </w:rPr>
            </w:pPr>
            <w:r>
              <w:rPr>
                <w:color w:val="231F20"/>
                <w:sz w:val="18"/>
              </w:rPr>
              <w:t>0.13</w:t>
            </w:r>
          </w:p>
        </w:tc>
        <w:tc>
          <w:tcPr>
            <w:tcW w:w="1200" w:type="dxa"/>
            <w:gridSpan w:val="3"/>
          </w:tcPr>
          <w:p>
            <w:pPr>
              <w:pStyle w:val="TableParagraph"/>
              <w:spacing w:before="1"/>
              <w:ind w:right="-1"/>
              <w:rPr>
                <w:sz w:val="18"/>
              </w:rPr>
            </w:pPr>
            <w:r>
              <w:rPr>
                <w:color w:val="231F20"/>
                <w:sz w:val="18"/>
              </w:rPr>
              <w:t>0.30</w:t>
            </w:r>
          </w:p>
        </w:tc>
        <w:tc>
          <w:tcPr>
            <w:tcW w:w="1200" w:type="dxa"/>
            <w:gridSpan w:val="3"/>
          </w:tcPr>
          <w:p>
            <w:pPr>
              <w:pStyle w:val="TableParagraph"/>
              <w:spacing w:before="1"/>
              <w:rPr>
                <w:sz w:val="18"/>
              </w:rPr>
            </w:pPr>
            <w:r>
              <w:rPr>
                <w:color w:val="231F20"/>
                <w:sz w:val="18"/>
              </w:rPr>
              <w:t>0.02</w:t>
            </w:r>
          </w:p>
        </w:tc>
        <w:tc>
          <w:tcPr>
            <w:tcW w:w="1250" w:type="dxa"/>
            <w:gridSpan w:val="2"/>
          </w:tcPr>
          <w:p>
            <w:pPr>
              <w:pStyle w:val="TableParagraph"/>
              <w:spacing w:before="1"/>
              <w:ind w:right="48"/>
              <w:rPr>
                <w:sz w:val="18"/>
              </w:rPr>
            </w:pPr>
            <w:r>
              <w:rPr>
                <w:color w:val="231F20"/>
                <w:sz w:val="18"/>
              </w:rPr>
              <w:t>0.11</w:t>
            </w:r>
          </w:p>
        </w:tc>
      </w:tr>
      <w:tr>
        <w:trPr>
          <w:trHeight w:val="208" w:hRule="exact"/>
        </w:trPr>
        <w:tc>
          <w:tcPr>
            <w:tcW w:w="4415" w:type="dxa"/>
          </w:tcPr>
          <w:p>
            <w:pPr>
              <w:pStyle w:val="TableParagraph"/>
              <w:spacing w:before="1"/>
              <w:rPr>
                <w:sz w:val="18"/>
              </w:rPr>
            </w:pPr>
            <w:r>
              <w:rPr>
                <w:color w:val="231F20"/>
                <w:sz w:val="18"/>
              </w:rPr>
              <w:t>Net income (loss) per share, diluted  . . . . . . . . . . . . . . . </w:t>
            </w:r>
          </w:p>
        </w:tc>
        <w:tc>
          <w:tcPr>
            <w:tcW w:w="1155" w:type="dxa"/>
            <w:gridSpan w:val="2"/>
          </w:tcPr>
          <w:p>
            <w:pPr>
              <w:pStyle w:val="TableParagraph"/>
              <w:spacing w:before="1"/>
              <w:ind w:right="-1"/>
              <w:rPr>
                <w:sz w:val="18"/>
              </w:rPr>
            </w:pPr>
            <w:r>
              <w:rPr>
                <w:color w:val="231F20"/>
                <w:sz w:val="18"/>
              </w:rPr>
              <w:t>0.13</w:t>
            </w:r>
          </w:p>
        </w:tc>
        <w:tc>
          <w:tcPr>
            <w:tcW w:w="1200" w:type="dxa"/>
            <w:gridSpan w:val="3"/>
          </w:tcPr>
          <w:p>
            <w:pPr>
              <w:pStyle w:val="TableParagraph"/>
              <w:spacing w:before="1"/>
              <w:ind w:right="-1"/>
              <w:rPr>
                <w:sz w:val="18"/>
              </w:rPr>
            </w:pPr>
            <w:r>
              <w:rPr>
                <w:color w:val="231F20"/>
                <w:sz w:val="18"/>
              </w:rPr>
              <w:t>0.30</w:t>
            </w:r>
          </w:p>
        </w:tc>
        <w:tc>
          <w:tcPr>
            <w:tcW w:w="1200" w:type="dxa"/>
            <w:gridSpan w:val="3"/>
          </w:tcPr>
          <w:p>
            <w:pPr>
              <w:pStyle w:val="TableParagraph"/>
              <w:spacing w:before="1"/>
              <w:rPr>
                <w:sz w:val="18"/>
              </w:rPr>
            </w:pPr>
            <w:r>
              <w:rPr>
                <w:color w:val="231F20"/>
                <w:sz w:val="18"/>
              </w:rPr>
              <w:t>0.02</w:t>
            </w:r>
          </w:p>
        </w:tc>
        <w:tc>
          <w:tcPr>
            <w:tcW w:w="1250" w:type="dxa"/>
            <w:gridSpan w:val="2"/>
          </w:tcPr>
          <w:p>
            <w:pPr>
              <w:pStyle w:val="TableParagraph"/>
              <w:spacing w:before="1"/>
              <w:ind w:right="48"/>
              <w:rPr>
                <w:sz w:val="18"/>
              </w:rPr>
            </w:pPr>
            <w:r>
              <w:rPr>
                <w:color w:val="231F20"/>
                <w:sz w:val="18"/>
              </w:rPr>
              <w:t>0.11</w:t>
            </w:r>
          </w:p>
        </w:tc>
      </w:tr>
    </w:tbl>
    <w:p>
      <w:pPr>
        <w:spacing w:after="0"/>
        <w:rPr>
          <w:sz w:val="18"/>
        </w:rPr>
        <w:sectPr>
          <w:footerReference w:type="default" r:id="rId41"/>
          <w:pgSz w:w="11880" w:h="15480"/>
          <w:pgMar w:footer="1253" w:header="0" w:top="1240" w:bottom="1440" w:left="1220" w:right="1220"/>
        </w:sectPr>
      </w:pPr>
    </w:p>
    <w:p>
      <w:pPr>
        <w:pStyle w:val="Heading4"/>
        <w:tabs>
          <w:tab w:pos="1179" w:val="left" w:leader="none"/>
        </w:tabs>
        <w:spacing w:before="73"/>
        <w:ind w:left="100"/>
        <w:rPr>
          <w:i/>
        </w:rPr>
      </w:pPr>
      <w:bookmarkStart w:name="_TOC_250007" w:id="32"/>
      <w:bookmarkStart w:name="Item 9.   Changes in and Disagreements W" w:id="33"/>
      <w:r>
        <w:rPr>
          <w:b w:val="0"/>
          <w:i w:val="0"/>
        </w:rPr>
      </w:r>
      <w:r>
        <w:rPr>
          <w:i w:val="0"/>
          <w:color w:val="231F20"/>
        </w:rPr>
        <w:t>Item</w:t>
      </w:r>
      <w:r>
        <w:rPr>
          <w:i w:val="0"/>
          <w:color w:val="231F20"/>
          <w:spacing w:val="1"/>
        </w:rPr>
        <w:t> </w:t>
      </w:r>
      <w:r>
        <w:rPr>
          <w:i w:val="0"/>
          <w:color w:val="231F20"/>
        </w:rPr>
        <w:t>9.</w:t>
        <w:tab/>
      </w:r>
      <w:r>
        <w:rPr>
          <w:i/>
          <w:color w:val="231F20"/>
        </w:rPr>
        <w:t>Changes in and Disagreements With Accountants on Accounting and Financial</w:t>
      </w:r>
      <w:r>
        <w:rPr>
          <w:i/>
          <w:color w:val="231F20"/>
          <w:spacing w:val="-4"/>
        </w:rPr>
        <w:t> </w:t>
      </w:r>
      <w:bookmarkEnd w:id="32"/>
      <w:r>
        <w:rPr>
          <w:i/>
          <w:color w:val="231F20"/>
        </w:rPr>
        <w:t>Disclosure</w:t>
      </w:r>
    </w:p>
    <w:p>
      <w:pPr>
        <w:pStyle w:val="BodyText"/>
        <w:spacing w:before="129"/>
        <w:ind w:left="590"/>
      </w:pPr>
      <w:r>
        <w:rPr>
          <w:color w:val="231F20"/>
        </w:rPr>
        <w:t>None.</w:t>
      </w:r>
    </w:p>
    <w:p>
      <w:pPr>
        <w:pStyle w:val="BodyText"/>
        <w:spacing w:before="1"/>
        <w:rPr>
          <w:sz w:val="32"/>
        </w:rPr>
      </w:pPr>
    </w:p>
    <w:p>
      <w:pPr>
        <w:tabs>
          <w:tab w:pos="1179" w:val="left" w:leader="none"/>
        </w:tabs>
        <w:spacing w:before="0"/>
        <w:ind w:left="100" w:right="0" w:firstLine="0"/>
        <w:jc w:val="left"/>
        <w:rPr>
          <w:b/>
          <w:i/>
          <w:sz w:val="20"/>
        </w:rPr>
      </w:pPr>
      <w:bookmarkStart w:name="Item 9A. Controls and Procedures" w:id="34"/>
      <w:bookmarkEnd w:id="34"/>
      <w:r>
        <w:rPr/>
      </w:r>
      <w:r>
        <w:rPr>
          <w:b/>
          <w:color w:val="231F20"/>
          <w:sz w:val="20"/>
        </w:rPr>
        <w:t>Item</w:t>
      </w:r>
      <w:r>
        <w:rPr>
          <w:b/>
          <w:color w:val="231F20"/>
          <w:spacing w:val="1"/>
          <w:sz w:val="20"/>
        </w:rPr>
        <w:t> </w:t>
      </w:r>
      <w:r>
        <w:rPr>
          <w:b/>
          <w:color w:val="231F20"/>
          <w:sz w:val="20"/>
        </w:rPr>
        <w:t>9A.</w:t>
        <w:tab/>
      </w:r>
      <w:r>
        <w:rPr>
          <w:b/>
          <w:i/>
          <w:color w:val="231F20"/>
          <w:sz w:val="20"/>
        </w:rPr>
        <w:t>Controls and</w:t>
      </w:r>
      <w:r>
        <w:rPr>
          <w:b/>
          <w:i/>
          <w:color w:val="231F20"/>
          <w:spacing w:val="-2"/>
          <w:sz w:val="20"/>
        </w:rPr>
        <w:t> </w:t>
      </w:r>
      <w:r>
        <w:rPr>
          <w:b/>
          <w:i/>
          <w:color w:val="231F20"/>
          <w:sz w:val="20"/>
        </w:rPr>
        <w:t>Procedures</w:t>
      </w:r>
    </w:p>
    <w:p>
      <w:pPr>
        <w:pStyle w:val="BodyText"/>
        <w:spacing w:line="249" w:lineRule="auto" w:before="129"/>
        <w:ind w:left="100" w:right="125" w:firstLine="490"/>
      </w:pPr>
      <w:r>
        <w:rPr>
          <w:i/>
          <w:color w:val="231F20"/>
        </w:rPr>
        <w:t>Evaluation of Disclosure Controls and Procedures. </w:t>
      </w:r>
      <w:r>
        <w:rPr>
          <w:color w:val="231F20"/>
        </w:rPr>
        <w:t>The Company maintains disclosure controls and procedures (as defined in Rule 13a-15(e) of the Securities Exchange Act (the “Exchange Act”))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w:t>
      </w:r>
      <w:r>
        <w:rPr>
          <w:color w:val="231F20"/>
          <w:spacing w:val="9"/>
        </w:rPr>
        <w:t> </w:t>
      </w:r>
      <w:r>
        <w:rPr>
          <w:color w:val="231F20"/>
        </w:rPr>
        <w:t>disclosure.</w:t>
      </w:r>
    </w:p>
    <w:p>
      <w:pPr>
        <w:pStyle w:val="BodyText"/>
        <w:spacing w:line="249" w:lineRule="auto"/>
        <w:ind w:left="100" w:right="97"/>
      </w:pPr>
      <w:r>
        <w:rPr>
          <w:color w:val="231F20"/>
        </w:rPr>
        <w:t>Management, with the participation of the Company’s Chief Executive Officer and Chief Financial Officer, evaluated the effectiveness of the Company’s disclosure controls and procedures as of December 31, 2013. Based on this evaluation, the Company’s Chief Executive Officer and Chief Financial Officer have concluded that the Company’s disclosure controls and procedures were effective as of December 31, 2013, at the reasonable assurance level.</w:t>
      </w:r>
    </w:p>
    <w:p>
      <w:pPr>
        <w:pStyle w:val="BodyText"/>
        <w:spacing w:before="10"/>
      </w:pPr>
    </w:p>
    <w:p>
      <w:pPr>
        <w:pStyle w:val="BodyText"/>
        <w:spacing w:line="249" w:lineRule="auto"/>
        <w:ind w:left="100" w:right="124" w:firstLine="490"/>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w:t>
      </w:r>
      <w:r>
        <w:rPr>
          <w:color w:val="231F20"/>
          <w:spacing w:val="9"/>
        </w:rPr>
        <w:t> </w:t>
      </w:r>
      <w:r>
        <w:rPr>
          <w:color w:val="231F20"/>
        </w:rPr>
        <w:t>States.</w:t>
      </w:r>
    </w:p>
    <w:p>
      <w:pPr>
        <w:pStyle w:val="BodyText"/>
        <w:spacing w:before="10"/>
      </w:pPr>
    </w:p>
    <w:p>
      <w:pPr>
        <w:pStyle w:val="BodyText"/>
        <w:spacing w:line="249" w:lineRule="auto"/>
        <w:ind w:left="100" w:right="213" w:firstLine="490"/>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10"/>
      </w:pPr>
    </w:p>
    <w:p>
      <w:pPr>
        <w:pStyle w:val="BodyText"/>
        <w:spacing w:line="249" w:lineRule="auto"/>
        <w:ind w:left="100" w:right="96" w:firstLine="490"/>
      </w:pPr>
      <w:r>
        <w:rPr>
          <w:color w:val="231F20"/>
        </w:rPr>
        <w:t>Management, with the participation of the Company’s Chief Executive Officer and Chief Financial Officer, evaluated the effectiveness of the Company’s internal control over financial reporting as of December 31, 2013. In making this assessment, management used the criteria set forth by the Committee of Sponsoring Organizations of the Treadway Commission (COSO) in Internal Control — Integrated Framework (1992 Framework). Based on this evaluation, management, with the participation of the Company’s Chief Executive Officer and Chief Financial Officer, concluded that, as of December 31, 2013, the Company’s internal control over financial reporting was effective.</w:t>
      </w:r>
    </w:p>
    <w:p>
      <w:pPr>
        <w:pStyle w:val="BodyText"/>
        <w:spacing w:before="10"/>
      </w:pPr>
    </w:p>
    <w:p>
      <w:pPr>
        <w:pStyle w:val="BodyText"/>
        <w:spacing w:line="249" w:lineRule="auto"/>
        <w:ind w:left="100" w:right="434" w:firstLine="490"/>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10"/>
      </w:pPr>
    </w:p>
    <w:p>
      <w:pPr>
        <w:pStyle w:val="BodyText"/>
        <w:spacing w:line="249" w:lineRule="auto"/>
        <w:ind w:left="100" w:right="272" w:firstLine="490"/>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2013, that have materially affected, or are reasonably likely to materially affect, the Company’s internal control over financial reporting.</w:t>
      </w:r>
    </w:p>
    <w:p>
      <w:pPr>
        <w:pStyle w:val="BodyText"/>
        <w:spacing w:before="3"/>
        <w:rPr>
          <w:sz w:val="31"/>
        </w:rPr>
      </w:pPr>
    </w:p>
    <w:p>
      <w:pPr>
        <w:tabs>
          <w:tab w:pos="1179" w:val="left" w:leader="none"/>
        </w:tabs>
        <w:spacing w:before="1"/>
        <w:ind w:left="100" w:right="0" w:firstLine="0"/>
        <w:jc w:val="left"/>
        <w:rPr>
          <w:b/>
          <w:i/>
          <w:sz w:val="20"/>
        </w:rPr>
      </w:pPr>
      <w:bookmarkStart w:name="Item 9B. Other Information" w:id="35"/>
      <w:bookmarkEnd w:id="35"/>
      <w:r>
        <w:rPr/>
      </w:r>
      <w:r>
        <w:rPr>
          <w:b/>
          <w:color w:val="231F20"/>
          <w:sz w:val="20"/>
        </w:rPr>
        <w:t>Item</w:t>
      </w:r>
      <w:r>
        <w:rPr>
          <w:b/>
          <w:color w:val="231F20"/>
          <w:spacing w:val="1"/>
          <w:sz w:val="20"/>
        </w:rPr>
        <w:t> </w:t>
      </w:r>
      <w:r>
        <w:rPr>
          <w:b/>
          <w:color w:val="231F20"/>
          <w:sz w:val="20"/>
        </w:rPr>
        <w:t>9B.</w:t>
        <w:tab/>
      </w:r>
      <w:r>
        <w:rPr>
          <w:b/>
          <w:i/>
          <w:color w:val="231F20"/>
          <w:sz w:val="20"/>
        </w:rPr>
        <w:t>Other</w:t>
      </w:r>
      <w:r>
        <w:rPr>
          <w:b/>
          <w:i/>
          <w:color w:val="231F20"/>
          <w:spacing w:val="-1"/>
          <w:sz w:val="20"/>
        </w:rPr>
        <w:t> </w:t>
      </w:r>
      <w:r>
        <w:rPr>
          <w:b/>
          <w:i/>
          <w:color w:val="231F20"/>
          <w:sz w:val="20"/>
        </w:rPr>
        <w:t>Information</w:t>
      </w:r>
    </w:p>
    <w:p>
      <w:pPr>
        <w:pStyle w:val="BodyText"/>
        <w:spacing w:before="130"/>
        <w:ind w:left="590"/>
      </w:pPr>
      <w:r>
        <w:rPr>
          <w:color w:val="231F20"/>
        </w:rPr>
        <w:t>None.</w:t>
      </w:r>
    </w:p>
    <w:p>
      <w:pPr>
        <w:spacing w:after="0"/>
        <w:sectPr>
          <w:footerReference w:type="default" r:id="rId42"/>
          <w:pgSz w:w="11880" w:h="15480"/>
          <w:pgMar w:footer="1253" w:header="0" w:top="1240" w:bottom="1440" w:left="1280" w:right="1280"/>
          <w:pgNumType w:start="121"/>
        </w:sectPr>
      </w:pPr>
    </w:p>
    <w:p>
      <w:pPr>
        <w:pStyle w:val="Heading3"/>
        <w:spacing w:before="73"/>
        <w:ind w:left="0" w:right="1"/>
        <w:jc w:val="center"/>
      </w:pPr>
      <w:bookmarkStart w:name="_TOC_250006" w:id="36"/>
      <w:bookmarkStart w:name="PART III" w:id="37"/>
      <w:r>
        <w:rPr>
          <w:b w:val="0"/>
        </w:rPr>
      </w:r>
      <w:bookmarkEnd w:id="36"/>
      <w:r>
        <w:rPr>
          <w:color w:val="231F20"/>
        </w:rPr>
        <w:t>PART III</w:t>
      </w:r>
    </w:p>
    <w:p>
      <w:pPr>
        <w:pStyle w:val="BodyText"/>
        <w:spacing w:before="8"/>
        <w:rPr>
          <w:b/>
          <w:sz w:val="21"/>
        </w:rPr>
      </w:pPr>
    </w:p>
    <w:p>
      <w:pPr>
        <w:pStyle w:val="Heading4"/>
        <w:tabs>
          <w:tab w:pos="1179" w:val="left" w:leader="none"/>
        </w:tabs>
        <w:ind w:left="100"/>
        <w:rPr>
          <w:i/>
        </w:rPr>
      </w:pPr>
      <w:bookmarkStart w:name="_TOC_250005" w:id="38"/>
      <w:bookmarkStart w:name="Item 10. Directors, Executive Officers, " w:id="39"/>
      <w:r>
        <w:rPr>
          <w:b w:val="0"/>
          <w:i w:val="0"/>
        </w:rPr>
      </w:r>
      <w:r>
        <w:rPr>
          <w:i w:val="0"/>
          <w:color w:val="231F20"/>
        </w:rPr>
        <w:t>Item</w:t>
      </w:r>
      <w:r>
        <w:rPr>
          <w:i w:val="0"/>
          <w:color w:val="231F20"/>
          <w:spacing w:val="1"/>
        </w:rPr>
        <w:t> </w:t>
      </w:r>
      <w:r>
        <w:rPr>
          <w:i w:val="0"/>
          <w:color w:val="231F20"/>
        </w:rPr>
        <w:t>10.</w:t>
        <w:tab/>
      </w:r>
      <w:r>
        <w:rPr>
          <w:i/>
          <w:color w:val="231F20"/>
        </w:rPr>
        <w:t>Directors, Executive Officers, and Corporate</w:t>
      </w:r>
      <w:r>
        <w:rPr>
          <w:i/>
          <w:color w:val="231F20"/>
          <w:spacing w:val="2"/>
        </w:rPr>
        <w:t> </w:t>
      </w:r>
      <w:bookmarkEnd w:id="38"/>
      <w:r>
        <w:rPr>
          <w:i/>
          <w:color w:val="231F20"/>
        </w:rPr>
        <w:t>Governance</w:t>
      </w:r>
    </w:p>
    <w:p>
      <w:pPr>
        <w:spacing w:before="129"/>
        <w:ind w:left="100" w:right="0" w:firstLine="0"/>
        <w:jc w:val="left"/>
        <w:rPr>
          <w:b/>
          <w:sz w:val="20"/>
        </w:rPr>
      </w:pPr>
      <w:r>
        <w:rPr>
          <w:b/>
          <w:color w:val="231F20"/>
          <w:sz w:val="20"/>
        </w:rPr>
        <w:t>Directors and Executive Officers</w:t>
      </w:r>
    </w:p>
    <w:p>
      <w:pPr>
        <w:pStyle w:val="BodyText"/>
        <w:spacing w:line="249" w:lineRule="auto" w:before="129"/>
        <w:ind w:left="100" w:right="213" w:firstLine="490"/>
      </w:pPr>
      <w:r>
        <w:rPr>
          <w:color w:val="231F20"/>
        </w:rPr>
        <w:t>The information required by this Item 10 regarding the Company’s directors will be set forth under the heading “Proposal 1 — Election of Directors” in the Proxy Statement for the Company’s 2014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spacing w:before="4"/>
        <w:rPr>
          <w:sz w:val="31"/>
        </w:rPr>
      </w:pPr>
    </w:p>
    <w:p>
      <w:pPr>
        <w:pStyle w:val="Heading3"/>
      </w:pPr>
      <w:r>
        <w:rPr>
          <w:color w:val="231F20"/>
        </w:rPr>
        <w:t>Section 16(a) Compliance</w:t>
      </w:r>
    </w:p>
    <w:p>
      <w:pPr>
        <w:pStyle w:val="BodyText"/>
        <w:spacing w:line="249" w:lineRule="auto" w:before="129"/>
        <w:ind w:left="100" w:right="432" w:firstLine="490"/>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2014 Annual Meeting of Shareholders and is incorporated herein by reference.</w:t>
      </w:r>
    </w:p>
    <w:p>
      <w:pPr>
        <w:pStyle w:val="BodyText"/>
        <w:spacing w:before="4"/>
        <w:rPr>
          <w:sz w:val="31"/>
        </w:rPr>
      </w:pPr>
    </w:p>
    <w:p>
      <w:pPr>
        <w:pStyle w:val="Heading3"/>
      </w:pPr>
      <w:r>
        <w:rPr>
          <w:color w:val="231F20"/>
        </w:rPr>
        <w:t>Corporate Governance</w:t>
      </w:r>
    </w:p>
    <w:p>
      <w:pPr>
        <w:pStyle w:val="BodyText"/>
        <w:spacing w:line="249" w:lineRule="auto" w:before="130"/>
        <w:ind w:left="100" w:right="278" w:firstLine="490"/>
      </w:pPr>
      <w:r>
        <w:rPr>
          <w:color w:val="231F20"/>
        </w:rPr>
        <w:t>Except as set forth in the following paragraph, the remaining information required by this Item 10 will be set forth under the heading “Corporate Governance” in the Proxy Statement for the Company’s 2014 Annual Meeting of Shareholders and is incorporated herein by reference.</w:t>
      </w:r>
    </w:p>
    <w:p>
      <w:pPr>
        <w:pStyle w:val="BodyText"/>
        <w:spacing w:before="11"/>
      </w:pPr>
    </w:p>
    <w:p>
      <w:pPr>
        <w:pStyle w:val="BodyText"/>
        <w:spacing w:line="249" w:lineRule="auto"/>
        <w:ind w:left="100" w:right="100" w:firstLine="490"/>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2">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2">
        <w:r>
          <w:rPr>
            <w:color w:val="231F20"/>
          </w:rPr>
          <w:t>www.southwest.com,</w:t>
        </w:r>
      </w:hyperlink>
      <w:r>
        <w:rPr>
          <w:color w:val="231F20"/>
        </w:rPr>
        <w:t> under the “About Southwest” caption, promptly following the date of any such amendment or</w:t>
      </w:r>
      <w:r>
        <w:rPr>
          <w:color w:val="231F20"/>
          <w:spacing w:val="2"/>
        </w:rPr>
        <w:t> </w:t>
      </w:r>
      <w:r>
        <w:rPr>
          <w:color w:val="231F20"/>
        </w:rPr>
        <w:t>waiver.</w:t>
      </w:r>
    </w:p>
    <w:p>
      <w:pPr>
        <w:pStyle w:val="BodyText"/>
        <w:spacing w:before="4"/>
        <w:rPr>
          <w:sz w:val="31"/>
        </w:rPr>
      </w:pPr>
    </w:p>
    <w:p>
      <w:pPr>
        <w:tabs>
          <w:tab w:pos="1179" w:val="left" w:leader="none"/>
        </w:tabs>
        <w:spacing w:before="0"/>
        <w:ind w:left="100" w:right="0" w:firstLine="0"/>
        <w:jc w:val="left"/>
        <w:rPr>
          <w:b/>
          <w:i/>
          <w:sz w:val="20"/>
        </w:rPr>
      </w:pPr>
      <w:bookmarkStart w:name="Item 11. Executive Compensation" w:id="40"/>
      <w:bookmarkEnd w:id="40"/>
      <w:r>
        <w:rPr/>
      </w:r>
      <w:r>
        <w:rPr>
          <w:b/>
          <w:color w:val="231F20"/>
          <w:sz w:val="20"/>
        </w:rPr>
        <w:t>Item</w:t>
      </w:r>
      <w:r>
        <w:rPr>
          <w:b/>
          <w:color w:val="231F20"/>
          <w:spacing w:val="1"/>
          <w:sz w:val="20"/>
        </w:rPr>
        <w:t> </w:t>
      </w:r>
      <w:r>
        <w:rPr>
          <w:b/>
          <w:color w:val="231F20"/>
          <w:sz w:val="20"/>
        </w:rPr>
        <w:t>11.</w:t>
        <w:tab/>
      </w:r>
      <w:r>
        <w:rPr>
          <w:b/>
          <w:i/>
          <w:color w:val="231F20"/>
          <w:sz w:val="20"/>
        </w:rPr>
        <w:t>Executive</w:t>
      </w:r>
      <w:r>
        <w:rPr>
          <w:b/>
          <w:i/>
          <w:color w:val="231F20"/>
          <w:spacing w:val="1"/>
          <w:sz w:val="20"/>
        </w:rPr>
        <w:t> </w:t>
      </w:r>
      <w:r>
        <w:rPr>
          <w:b/>
          <w:i/>
          <w:color w:val="231F20"/>
          <w:sz w:val="20"/>
        </w:rPr>
        <w:t>Compensation</w:t>
      </w:r>
    </w:p>
    <w:p>
      <w:pPr>
        <w:pStyle w:val="BodyText"/>
        <w:spacing w:line="249" w:lineRule="auto" w:before="129"/>
        <w:ind w:left="100" w:right="201" w:firstLine="490"/>
      </w:pPr>
      <w:r>
        <w:rPr>
          <w:color w:val="231F20"/>
        </w:rPr>
        <w:t>The information required by this Item 11 will be set forth under the headings “Compensation of Executive Officers” and “Compensation of Directors” in the Proxy Statement for the Company’s 2014 Annual Meeting of Shareholders and is incorporated herein by reference.</w:t>
      </w:r>
    </w:p>
    <w:p>
      <w:pPr>
        <w:pStyle w:val="BodyText"/>
        <w:spacing w:before="4"/>
        <w:rPr>
          <w:sz w:val="31"/>
        </w:rPr>
      </w:pPr>
    </w:p>
    <w:p>
      <w:pPr>
        <w:pStyle w:val="Heading4"/>
        <w:tabs>
          <w:tab w:pos="1179" w:val="left" w:leader="none"/>
        </w:tabs>
        <w:spacing w:line="249" w:lineRule="auto"/>
        <w:ind w:left="1180" w:right="467" w:hanging="1080"/>
      </w:pPr>
      <w:bookmarkStart w:name="Item 12. Security Ownership of Certain B" w:id="41"/>
      <w:bookmarkEnd w:id="41"/>
      <w:r>
        <w:rPr>
          <w:b w:val="0"/>
          <w:i w:val="0"/>
        </w:rPr>
      </w:r>
      <w:r>
        <w:rPr>
          <w:i w:val="0"/>
          <w:color w:val="231F20"/>
        </w:rPr>
        <w:t>Item</w:t>
      </w:r>
      <w:r>
        <w:rPr>
          <w:i w:val="0"/>
          <w:color w:val="231F20"/>
          <w:spacing w:val="1"/>
        </w:rPr>
        <w:t> </w:t>
      </w:r>
      <w:r>
        <w:rPr>
          <w:i w:val="0"/>
          <w:color w:val="231F20"/>
        </w:rPr>
        <w:t>12.</w:t>
        <w:tab/>
      </w:r>
      <w:r>
        <w:rPr>
          <w:i/>
          <w:color w:val="231F20"/>
        </w:rPr>
        <w:t>Security Ownership of Certain Beneficial Owners and Management and</w:t>
      </w:r>
      <w:r>
        <w:rPr>
          <w:i/>
          <w:color w:val="231F20"/>
          <w:spacing w:val="-1"/>
        </w:rPr>
        <w:t> </w:t>
      </w:r>
      <w:r>
        <w:rPr>
          <w:i/>
          <w:color w:val="231F20"/>
        </w:rPr>
        <w:t>Related Stockholder</w:t>
      </w:r>
      <w:r>
        <w:rPr>
          <w:color w:val="231F20"/>
        </w:rPr>
        <w:t> Matters</w:t>
      </w:r>
    </w:p>
    <w:p>
      <w:pPr>
        <w:pStyle w:val="BodyText"/>
        <w:spacing w:line="249" w:lineRule="auto" w:before="121"/>
        <w:ind w:left="100" w:right="129" w:firstLine="490"/>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2014 Annual Meeting of Shareholders and is incorporated herein by reference.</w:t>
      </w:r>
    </w:p>
    <w:p>
      <w:pPr>
        <w:spacing w:after="0" w:line="249" w:lineRule="auto"/>
        <w:sectPr>
          <w:pgSz w:w="11880" w:h="15480"/>
          <w:pgMar w:header="0" w:footer="1253" w:top="1240" w:bottom="1440" w:left="1280" w:right="1280"/>
        </w:sectPr>
      </w:pPr>
    </w:p>
    <w:p>
      <w:pPr>
        <w:pStyle w:val="Heading3"/>
        <w:spacing w:before="73"/>
        <w:ind w:left="120"/>
      </w:pPr>
      <w:r>
        <w:rPr>
          <w:color w:val="231F20"/>
        </w:rPr>
        <w:t>Securities Authorized for Issuance under Equity Compensation Plans</w:t>
      </w:r>
    </w:p>
    <w:p>
      <w:pPr>
        <w:pStyle w:val="BodyText"/>
        <w:spacing w:line="249" w:lineRule="auto" w:before="117"/>
        <w:ind w:left="120" w:right="256" w:firstLine="490"/>
      </w:pPr>
      <w:r>
        <w:rPr>
          <w:color w:val="231F20"/>
        </w:rPr>
        <w:t>The following table provides information as of December 31, 2013, regarding compensation plans (including individual compensation arrangements) under which equity securities of the Company are authorized for issuance.</w:t>
      </w:r>
    </w:p>
    <w:p>
      <w:pPr>
        <w:pStyle w:val="BodyText"/>
        <w:spacing w:before="9"/>
        <w:rPr>
          <w:sz w:val="18"/>
        </w:rPr>
      </w:pPr>
    </w:p>
    <w:p>
      <w:pPr>
        <w:pStyle w:val="Heading3"/>
        <w:ind w:left="2981"/>
      </w:pPr>
      <w:r>
        <w:rPr>
          <w:color w:val="231F20"/>
        </w:rPr>
        <w:t>Equity Compensation Plan Information</w:t>
      </w:r>
    </w:p>
    <w:p>
      <w:pPr>
        <w:spacing w:after="0"/>
        <w:sectPr>
          <w:pgSz w:w="11880" w:h="15480"/>
          <w:pgMar w:header="0" w:footer="1253" w:top="1240" w:bottom="1440" w:left="1260" w:right="126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3"/>
        <w:rPr>
          <w:b/>
          <w:sz w:val="23"/>
        </w:rPr>
      </w:pPr>
    </w:p>
    <w:p>
      <w:pPr>
        <w:spacing w:before="0"/>
        <w:ind w:left="120" w:right="0" w:firstLine="0"/>
        <w:jc w:val="left"/>
        <w:rPr>
          <w:b/>
          <w:sz w:val="16"/>
        </w:rPr>
      </w:pPr>
      <w:r>
        <w:rPr/>
        <w:pict>
          <v:line style="position:absolute;mso-position-horizontal-relative:page;mso-position-vertical-relative:paragraph;z-index:10408" from="69pt,10.96875pt" to="265.1pt,10.96875pt" stroked="true" strokeweight="1pt" strokecolor="#231f20">
            <v:stroke dashstyle="solid"/>
            <w10:wrap type="none"/>
          </v:line>
        </w:pict>
      </w:r>
      <w:r>
        <w:rPr>
          <w:b/>
          <w:color w:val="231F20"/>
          <w:sz w:val="16"/>
        </w:rPr>
        <w:t>Plan Category</w:t>
      </w:r>
    </w:p>
    <w:p>
      <w:pPr>
        <w:pStyle w:val="BodyText"/>
        <w:spacing w:before="98"/>
        <w:ind w:left="120"/>
      </w:pPr>
      <w:r>
        <w:rPr>
          <w:color w:val="231F20"/>
        </w:rPr>
        <w:t>Equity Compensation Plans Approved by</w:t>
      </w:r>
    </w:p>
    <w:p>
      <w:pPr>
        <w:pStyle w:val="BodyText"/>
        <w:spacing w:before="8"/>
        <w:rPr>
          <w:sz w:val="17"/>
        </w:rPr>
      </w:pPr>
      <w:r>
        <w:rPr/>
        <w:br w:type="column"/>
      </w:r>
      <w:r>
        <w:rPr>
          <w:sz w:val="17"/>
        </w:rPr>
      </w:r>
    </w:p>
    <w:p>
      <w:pPr>
        <w:spacing w:line="160" w:lineRule="exact" w:before="1"/>
        <w:ind w:left="120" w:right="0" w:firstLine="0"/>
        <w:jc w:val="center"/>
        <w:rPr>
          <w:b/>
          <w:sz w:val="16"/>
        </w:rPr>
      </w:pPr>
      <w:r>
        <w:rPr>
          <w:b/>
          <w:color w:val="231F20"/>
          <w:sz w:val="16"/>
        </w:rPr>
        <w:t>Number of</w:t>
      </w:r>
      <w:r>
        <w:rPr>
          <w:b/>
          <w:color w:val="231F20"/>
          <w:spacing w:val="-1"/>
          <w:sz w:val="16"/>
        </w:rPr>
        <w:t> </w:t>
      </w:r>
      <w:r>
        <w:rPr>
          <w:b/>
          <w:color w:val="231F20"/>
          <w:sz w:val="16"/>
        </w:rPr>
        <w:t>Securities</w:t>
      </w:r>
      <w:r>
        <w:rPr>
          <w:b/>
          <w:color w:val="231F20"/>
          <w:w w:val="100"/>
          <w:sz w:val="16"/>
        </w:rPr>
        <w:t> </w:t>
      </w:r>
      <w:r>
        <w:rPr>
          <w:b/>
          <w:color w:val="231F20"/>
          <w:sz w:val="16"/>
        </w:rPr>
        <w:t>to be Issued Upon Exercise of Outstanding Options, Warrants, and</w:t>
      </w:r>
      <w:r>
        <w:rPr>
          <w:b/>
          <w:color w:val="231F20"/>
          <w:spacing w:val="-1"/>
          <w:sz w:val="16"/>
        </w:rPr>
        <w:t> </w:t>
      </w:r>
      <w:r>
        <w:rPr>
          <w:b/>
          <w:color w:val="231F20"/>
          <w:sz w:val="16"/>
        </w:rPr>
        <w:t>Rights</w:t>
      </w:r>
    </w:p>
    <w:p>
      <w:pPr>
        <w:spacing w:line="163" w:lineRule="exact" w:before="0"/>
        <w:ind w:left="729" w:right="612" w:firstLine="0"/>
        <w:jc w:val="center"/>
        <w:rPr>
          <w:b/>
          <w:sz w:val="16"/>
        </w:rPr>
      </w:pPr>
      <w:r>
        <w:rPr/>
        <w:pict>
          <v:line style="position:absolute;mso-position-horizontal-relative:page;mso-position-vertical-relative:paragraph;z-index:10432" from="275.100006pt,9.9pt" to="347.450006pt,9.9pt" stroked="true" strokeweight="1pt" strokecolor="#231f20">
            <v:stroke dashstyle="solid"/>
            <w10:wrap type="none"/>
          </v:line>
        </w:pict>
      </w:r>
      <w:r>
        <w:rPr>
          <w:b/>
          <w:color w:val="231F20"/>
          <w:sz w:val="16"/>
        </w:rPr>
        <w:t>(a)</w:t>
      </w:r>
    </w:p>
    <w:p>
      <w:pPr>
        <w:pStyle w:val="BodyText"/>
        <w:rPr>
          <w:b/>
          <w:sz w:val="18"/>
        </w:rPr>
      </w:pPr>
      <w:r>
        <w:rPr/>
        <w:br w:type="column"/>
      </w:r>
      <w:r>
        <w:rPr>
          <w:b/>
          <w:sz w:val="18"/>
        </w:rPr>
      </w:r>
    </w:p>
    <w:p>
      <w:pPr>
        <w:pStyle w:val="BodyText"/>
        <w:rPr>
          <w:b/>
          <w:sz w:val="18"/>
        </w:rPr>
      </w:pPr>
    </w:p>
    <w:p>
      <w:pPr>
        <w:spacing w:line="160" w:lineRule="exact" w:before="110"/>
        <w:ind w:left="120" w:right="0" w:hanging="1"/>
        <w:jc w:val="center"/>
        <w:rPr>
          <w:b/>
          <w:sz w:val="16"/>
        </w:rPr>
      </w:pPr>
      <w:r>
        <w:rPr>
          <w:b/>
          <w:color w:val="231F20"/>
          <w:sz w:val="16"/>
        </w:rPr>
        <w:t>Weighted-Average Exercise Price of Outstanding</w:t>
      </w:r>
      <w:r>
        <w:rPr>
          <w:b/>
          <w:color w:val="231F20"/>
          <w:spacing w:val="-2"/>
          <w:sz w:val="16"/>
        </w:rPr>
        <w:t> </w:t>
      </w:r>
      <w:r>
        <w:rPr>
          <w:b/>
          <w:color w:val="231F20"/>
          <w:sz w:val="16"/>
        </w:rPr>
        <w:t>Options, Warrants, and Rights*</w:t>
      </w:r>
    </w:p>
    <w:p>
      <w:pPr>
        <w:spacing w:line="163" w:lineRule="exact" w:before="0"/>
        <w:ind w:left="738" w:right="620" w:firstLine="0"/>
        <w:jc w:val="center"/>
        <w:rPr>
          <w:b/>
          <w:sz w:val="16"/>
        </w:rPr>
      </w:pPr>
      <w:r>
        <w:rPr/>
        <w:pict>
          <v:line style="position:absolute;mso-position-horizontal-relative:page;mso-position-vertical-relative:paragraph;z-index:10456" from="357.449982pt,9.9pt" to="431.099982pt,9.9pt" stroked="true" strokeweight="1pt" strokecolor="#231f20">
            <v:stroke dashstyle="solid"/>
            <w10:wrap type="none"/>
          </v:line>
        </w:pict>
      </w:r>
      <w:r>
        <w:rPr>
          <w:b/>
          <w:color w:val="231F20"/>
          <w:sz w:val="16"/>
        </w:rPr>
        <w:t>(b)</w:t>
      </w:r>
    </w:p>
    <w:p>
      <w:pPr>
        <w:pStyle w:val="BodyText"/>
        <w:spacing w:before="8"/>
        <w:rPr>
          <w:b/>
          <w:sz w:val="17"/>
        </w:rPr>
      </w:pPr>
      <w:r>
        <w:rPr/>
        <w:br w:type="column"/>
      </w:r>
      <w:r>
        <w:rPr>
          <w:b/>
          <w:sz w:val="17"/>
        </w:rPr>
      </w:r>
    </w:p>
    <w:p>
      <w:pPr>
        <w:spacing w:line="160" w:lineRule="exact" w:before="1"/>
        <w:ind w:left="119" w:right="117" w:firstLine="0"/>
        <w:jc w:val="center"/>
        <w:rPr>
          <w:b/>
          <w:sz w:val="16"/>
        </w:rPr>
      </w:pPr>
      <w:r>
        <w:rPr>
          <w:b/>
          <w:color w:val="231F20"/>
          <w:sz w:val="16"/>
        </w:rPr>
        <w:t>Number of Securities Remaining Available for Future Issuance Under Equity Compensation Plans (Excluding Securities Reflected in Column (a))</w:t>
      </w:r>
    </w:p>
    <w:p>
      <w:pPr>
        <w:pStyle w:val="ListParagraph"/>
        <w:numPr>
          <w:ilvl w:val="0"/>
          <w:numId w:val="19"/>
        </w:numPr>
        <w:tabs>
          <w:tab w:pos="1049" w:val="left" w:leader="none"/>
        </w:tabs>
        <w:spacing w:line="163" w:lineRule="exact" w:before="0" w:after="0"/>
        <w:ind w:left="1048" w:right="0" w:hanging="179"/>
        <w:jc w:val="left"/>
        <w:rPr>
          <w:color w:val="231F20"/>
          <w:sz w:val="16"/>
        </w:rPr>
      </w:pPr>
    </w:p>
    <w:p>
      <w:pPr>
        <w:pStyle w:val="BodyText"/>
        <w:spacing w:before="2"/>
        <w:rPr>
          <w:b/>
          <w:sz w:val="2"/>
        </w:rPr>
      </w:pPr>
    </w:p>
    <w:p>
      <w:pPr>
        <w:pStyle w:val="BodyText"/>
        <w:spacing w:line="20" w:lineRule="exact"/>
        <w:ind w:left="110"/>
        <w:rPr>
          <w:sz w:val="2"/>
        </w:rPr>
      </w:pPr>
      <w:r>
        <w:rPr>
          <w:sz w:val="2"/>
        </w:rPr>
        <w:pict>
          <v:group style="width:84.9pt;height:1pt;mso-position-horizontal-relative:char;mso-position-vertical-relative:line" coordorigin="0,0" coordsize="1698,20">
            <v:line style="position:absolute" from="10,10" to="1688,10" stroked="true" strokeweight="1pt" strokecolor="#231f20">
              <v:stroke dashstyle="solid"/>
            </v:line>
          </v:group>
        </w:pict>
      </w:r>
      <w:r>
        <w:rPr>
          <w:sz w:val="2"/>
        </w:rPr>
      </w:r>
    </w:p>
    <w:p>
      <w:pPr>
        <w:spacing w:after="0" w:line="20" w:lineRule="exact"/>
        <w:rPr>
          <w:sz w:val="2"/>
        </w:rPr>
        <w:sectPr>
          <w:type w:val="continuous"/>
          <w:pgSz w:w="11880" w:h="15480"/>
          <w:pgMar w:top="1200" w:bottom="280" w:left="1260" w:right="1260"/>
          <w:cols w:num="4" w:equalWidth="0">
            <w:col w:w="3446" w:space="676"/>
            <w:col w:w="1569" w:space="78"/>
            <w:col w:w="1595" w:space="78"/>
            <w:col w:w="1918"/>
          </w:cols>
        </w:sectPr>
      </w:pPr>
    </w:p>
    <w:p>
      <w:pPr>
        <w:pStyle w:val="BodyText"/>
        <w:tabs>
          <w:tab w:pos="4615" w:val="left" w:leader="none"/>
          <w:tab w:pos="5988" w:val="left" w:leader="none"/>
          <w:tab w:pos="6500" w:val="left" w:leader="none"/>
          <w:tab w:pos="7950" w:val="left" w:leader="none"/>
        </w:tabs>
        <w:spacing w:before="10"/>
        <w:ind w:left="320"/>
      </w:pPr>
      <w:r>
        <w:rPr>
          <w:color w:val="231F20"/>
        </w:rPr>
        <w:t>Security Holders  . . . . . . . . . . . . . . . . . . . . .</w:t>
      </w:r>
      <w:r>
        <w:rPr>
          <w:color w:val="231F20"/>
          <w:spacing w:val="21"/>
        </w:rPr>
        <w:t> </w:t>
      </w:r>
      <w:r>
        <w:rPr>
          <w:color w:val="231F20"/>
        </w:rPr>
        <w:t>. .</w:t>
        <w:tab/>
        <w:t>9,611,722(1)</w:t>
        <w:tab/>
        <w:t>$</w:t>
        <w:tab/>
        <w:t>15.02(2)</w:t>
        <w:tab/>
        <w:t>21,506,906(3)</w:t>
      </w:r>
    </w:p>
    <w:p>
      <w:pPr>
        <w:pStyle w:val="BodyText"/>
        <w:spacing w:before="10" w:after="21"/>
        <w:ind w:left="120"/>
      </w:pPr>
      <w:r>
        <w:rPr>
          <w:color w:val="231F20"/>
        </w:rPr>
        <w:t>Equity Compensation Plans not Approved by</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84"/>
        <w:gridCol w:w="1399"/>
        <w:gridCol w:w="1865"/>
        <w:gridCol w:w="1333"/>
      </w:tblGrid>
      <w:tr>
        <w:trPr>
          <w:trHeight w:val="229" w:hRule="exact"/>
        </w:trPr>
        <w:tc>
          <w:tcPr>
            <w:tcW w:w="4184" w:type="dxa"/>
          </w:tcPr>
          <w:p>
            <w:pPr>
              <w:pStyle w:val="TableParagraph"/>
              <w:spacing w:line="219" w:lineRule="exact"/>
              <w:ind w:left="205" w:right="216"/>
              <w:jc w:val="center"/>
              <w:rPr>
                <w:sz w:val="20"/>
              </w:rPr>
            </w:pPr>
            <w:r>
              <w:rPr>
                <w:color w:val="231F20"/>
                <w:sz w:val="20"/>
              </w:rPr>
              <w:t>Security Holders  . . . . . . . . . . . . . . . . . . . . . . . </w:t>
            </w:r>
          </w:p>
        </w:tc>
        <w:tc>
          <w:tcPr>
            <w:tcW w:w="1399" w:type="dxa"/>
          </w:tcPr>
          <w:p>
            <w:pPr>
              <w:pStyle w:val="TableParagraph"/>
              <w:spacing w:line="219" w:lineRule="exact"/>
              <w:ind w:right="284"/>
              <w:rPr>
                <w:sz w:val="20"/>
              </w:rPr>
            </w:pPr>
            <w:r>
              <w:rPr>
                <w:color w:val="231F20"/>
                <w:sz w:val="20"/>
              </w:rPr>
              <w:t>2,134,009</w:t>
            </w:r>
          </w:p>
        </w:tc>
        <w:tc>
          <w:tcPr>
            <w:tcW w:w="1865" w:type="dxa"/>
          </w:tcPr>
          <w:p>
            <w:pPr>
              <w:pStyle w:val="TableParagraph"/>
              <w:tabs>
                <w:tab w:pos="798" w:val="left" w:leader="none"/>
              </w:tabs>
              <w:spacing w:line="219" w:lineRule="exact"/>
              <w:ind w:left="286"/>
              <w:jc w:val="left"/>
              <w:rPr>
                <w:sz w:val="20"/>
              </w:rPr>
            </w:pPr>
            <w:r>
              <w:rPr>
                <w:color w:val="231F20"/>
                <w:sz w:val="20"/>
              </w:rPr>
              <w:t>$</w:t>
              <w:tab/>
              <w:t>13.13</w:t>
            </w:r>
          </w:p>
        </w:tc>
        <w:tc>
          <w:tcPr>
            <w:tcW w:w="1333" w:type="dxa"/>
          </w:tcPr>
          <w:p>
            <w:pPr>
              <w:pStyle w:val="TableParagraph"/>
              <w:spacing w:line="219" w:lineRule="exact"/>
              <w:ind w:right="148"/>
              <w:rPr>
                <w:sz w:val="20"/>
              </w:rPr>
            </w:pPr>
            <w:r>
              <w:rPr>
                <w:color w:val="231F20"/>
                <w:sz w:val="20"/>
              </w:rPr>
              <w:t>—</w:t>
            </w:r>
          </w:p>
        </w:tc>
      </w:tr>
      <w:tr>
        <w:trPr>
          <w:trHeight w:val="341" w:hRule="exact"/>
        </w:trPr>
        <w:tc>
          <w:tcPr>
            <w:tcW w:w="4184" w:type="dxa"/>
            <w:tcBorders>
              <w:bottom w:val="single" w:sz="4" w:space="0" w:color="231F20"/>
            </w:tcBorders>
          </w:tcPr>
          <w:p>
            <w:pPr>
              <w:pStyle w:val="TableParagraph"/>
              <w:spacing w:line="229" w:lineRule="exact"/>
              <w:ind w:left="205" w:right="216"/>
              <w:jc w:val="center"/>
              <w:rPr>
                <w:sz w:val="20"/>
              </w:rPr>
            </w:pPr>
            <w:r>
              <w:rPr>
                <w:color w:val="231F20"/>
                <w:sz w:val="20"/>
              </w:rPr>
              <w:t>Total   . . . . . . . . . . . . . . . . . . . . . . . . . . . . . . . . </w:t>
            </w:r>
          </w:p>
        </w:tc>
        <w:tc>
          <w:tcPr>
            <w:tcW w:w="1399" w:type="dxa"/>
          </w:tcPr>
          <w:p>
            <w:pPr>
              <w:pStyle w:val="TableParagraph"/>
              <w:spacing w:line="229" w:lineRule="exact"/>
              <w:ind w:right="284"/>
              <w:rPr>
                <w:sz w:val="20"/>
              </w:rPr>
            </w:pPr>
            <w:r>
              <w:rPr>
                <w:color w:val="231F20"/>
                <w:sz w:val="20"/>
              </w:rPr>
              <w:t>11,745,731</w:t>
            </w:r>
          </w:p>
        </w:tc>
        <w:tc>
          <w:tcPr>
            <w:tcW w:w="1865" w:type="dxa"/>
          </w:tcPr>
          <w:p>
            <w:pPr>
              <w:pStyle w:val="TableParagraph"/>
              <w:tabs>
                <w:tab w:pos="798" w:val="left" w:leader="none"/>
              </w:tabs>
              <w:spacing w:line="229" w:lineRule="exact"/>
              <w:ind w:left="286"/>
              <w:jc w:val="left"/>
              <w:rPr>
                <w:sz w:val="20"/>
              </w:rPr>
            </w:pPr>
            <w:r>
              <w:rPr>
                <w:color w:val="231F20"/>
                <w:sz w:val="20"/>
              </w:rPr>
              <w:t>$</w:t>
              <w:tab/>
              <w:t>14.58(2)</w:t>
            </w:r>
          </w:p>
        </w:tc>
        <w:tc>
          <w:tcPr>
            <w:tcW w:w="1333" w:type="dxa"/>
          </w:tcPr>
          <w:p>
            <w:pPr>
              <w:pStyle w:val="TableParagraph"/>
              <w:spacing w:line="229" w:lineRule="exact"/>
              <w:ind w:right="48"/>
              <w:rPr>
                <w:sz w:val="20"/>
              </w:rPr>
            </w:pPr>
            <w:r>
              <w:rPr>
                <w:color w:val="231F20"/>
                <w:sz w:val="20"/>
              </w:rPr>
              <w:t>21,506,906</w:t>
            </w:r>
          </w:p>
        </w:tc>
      </w:tr>
    </w:tbl>
    <w:p>
      <w:pPr>
        <w:pStyle w:val="BodyText"/>
        <w:tabs>
          <w:tab w:pos="1099" w:val="left" w:leader="none"/>
        </w:tabs>
        <w:spacing w:before="48"/>
        <w:ind w:left="610"/>
      </w:pPr>
      <w:r>
        <w:rPr>
          <w:color w:val="231F20"/>
        </w:rPr>
        <w:t>*</w:t>
        <w:tab/>
        <w:t>As adjusted for stock splits.</w:t>
      </w:r>
    </w:p>
    <w:p>
      <w:pPr>
        <w:pStyle w:val="BodyText"/>
        <w:spacing w:before="7"/>
        <w:rPr>
          <w:sz w:val="19"/>
        </w:rPr>
      </w:pPr>
    </w:p>
    <w:p>
      <w:pPr>
        <w:pStyle w:val="ListParagraph"/>
        <w:numPr>
          <w:ilvl w:val="1"/>
          <w:numId w:val="21"/>
        </w:numPr>
        <w:tabs>
          <w:tab w:pos="1099" w:val="left" w:leader="none"/>
          <w:tab w:pos="1100" w:val="left" w:leader="none"/>
        </w:tabs>
        <w:spacing w:line="249" w:lineRule="auto" w:before="0" w:after="0"/>
        <w:ind w:left="1100" w:right="230" w:hanging="490"/>
        <w:jc w:val="left"/>
        <w:rPr>
          <w:sz w:val="20"/>
        </w:rPr>
      </w:pPr>
      <w:r>
        <w:rPr>
          <w:color w:val="231F20"/>
          <w:sz w:val="20"/>
        </w:rPr>
        <w:t>Includes 7,027,378 shares of common stock issuable upon exercise of outstanding stock options and 2,584,344 restricted share units settleable in shares of the Company’s common</w:t>
      </w:r>
      <w:r>
        <w:rPr>
          <w:color w:val="231F20"/>
          <w:spacing w:val="8"/>
          <w:sz w:val="20"/>
        </w:rPr>
        <w:t> </w:t>
      </w:r>
      <w:r>
        <w:rPr>
          <w:color w:val="231F20"/>
          <w:sz w:val="20"/>
        </w:rPr>
        <w:t>stock.</w:t>
      </w:r>
    </w:p>
    <w:p>
      <w:pPr>
        <w:pStyle w:val="ListParagraph"/>
        <w:numPr>
          <w:ilvl w:val="1"/>
          <w:numId w:val="21"/>
        </w:numPr>
        <w:tabs>
          <w:tab w:pos="1099" w:val="left" w:leader="none"/>
          <w:tab w:pos="1100" w:val="left" w:leader="none"/>
        </w:tabs>
        <w:spacing w:line="249" w:lineRule="auto" w:before="1" w:after="0"/>
        <w:ind w:left="1100" w:right="144" w:hanging="49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1"/>
        </w:numPr>
        <w:tabs>
          <w:tab w:pos="1099" w:val="left" w:leader="none"/>
          <w:tab w:pos="1100" w:val="left" w:leader="none"/>
        </w:tabs>
        <w:spacing w:line="249" w:lineRule="auto" w:before="1" w:after="0"/>
        <w:ind w:left="1100" w:right="258" w:hanging="490"/>
        <w:jc w:val="left"/>
        <w:rPr>
          <w:sz w:val="20"/>
        </w:rPr>
      </w:pPr>
      <w:r>
        <w:rPr>
          <w:color w:val="231F20"/>
          <w:sz w:val="20"/>
        </w:rPr>
        <w:t>Of these shares, (i) 11,382,155 shares remained available for issuance under the Company’s tax- qualified employee stock purchase plan; and (ii) 10,124,751 shares remained available for 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721,983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w:t>
      </w:r>
      <w:r>
        <w:rPr>
          <w:color w:val="231F20"/>
          <w:spacing w:val="2"/>
          <w:sz w:val="20"/>
        </w:rPr>
        <w:t> </w:t>
      </w:r>
      <w:r>
        <w:rPr>
          <w:color w:val="231F20"/>
          <w:sz w:val="20"/>
        </w:rPr>
        <w:t>(a).</w:t>
      </w:r>
    </w:p>
    <w:p>
      <w:pPr>
        <w:pStyle w:val="BodyText"/>
        <w:spacing w:before="9"/>
        <w:rPr>
          <w:sz w:val="18"/>
        </w:rPr>
      </w:pPr>
    </w:p>
    <w:p>
      <w:pPr>
        <w:pStyle w:val="BodyText"/>
        <w:spacing w:line="249" w:lineRule="auto" w:before="1"/>
        <w:ind w:left="120" w:right="138" w:firstLine="490"/>
      </w:pPr>
      <w:r>
        <w:rPr>
          <w:color w:val="231F20"/>
        </w:rPr>
        <w:t>See Note 14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w:t>
      </w:r>
      <w:r>
        <w:rPr>
          <w:color w:val="231F20"/>
          <w:spacing w:val="2"/>
        </w:rPr>
        <w:t> </w:t>
      </w:r>
      <w:r>
        <w:rPr>
          <w:color w:val="231F20"/>
        </w:rPr>
        <w:t>revised.</w:t>
      </w:r>
    </w:p>
    <w:p>
      <w:pPr>
        <w:pStyle w:val="BodyText"/>
        <w:spacing w:before="3"/>
        <w:rPr>
          <w:sz w:val="28"/>
        </w:rPr>
      </w:pPr>
    </w:p>
    <w:p>
      <w:pPr>
        <w:pStyle w:val="Heading4"/>
        <w:tabs>
          <w:tab w:pos="1199" w:val="left" w:leader="none"/>
        </w:tabs>
        <w:ind w:left="120"/>
        <w:rPr>
          <w:i/>
        </w:rPr>
      </w:pPr>
      <w:bookmarkStart w:name="_TOC_250004" w:id="42"/>
      <w:bookmarkStart w:name="Item 13. Certain Relationships and Relat" w:id="43"/>
      <w:r>
        <w:rPr>
          <w:b w:val="0"/>
          <w:i w:val="0"/>
        </w:rPr>
      </w:r>
      <w:r>
        <w:rPr>
          <w:i w:val="0"/>
          <w:color w:val="231F20"/>
        </w:rPr>
        <w:t>Item</w:t>
      </w:r>
      <w:r>
        <w:rPr>
          <w:i w:val="0"/>
          <w:color w:val="231F20"/>
          <w:spacing w:val="1"/>
        </w:rPr>
        <w:t> </w:t>
      </w:r>
      <w:r>
        <w:rPr>
          <w:i w:val="0"/>
          <w:color w:val="231F20"/>
        </w:rPr>
        <w:t>13.</w:t>
        <w:tab/>
      </w:r>
      <w:r>
        <w:rPr>
          <w:i/>
          <w:color w:val="231F20"/>
        </w:rPr>
        <w:t>Certain Relationships and Related Transactions, and Director</w:t>
      </w:r>
      <w:r>
        <w:rPr>
          <w:i/>
          <w:color w:val="231F20"/>
          <w:spacing w:val="1"/>
        </w:rPr>
        <w:t> </w:t>
      </w:r>
      <w:bookmarkEnd w:id="42"/>
      <w:r>
        <w:rPr>
          <w:i/>
          <w:color w:val="231F20"/>
        </w:rPr>
        <w:t>Independence</w:t>
      </w:r>
    </w:p>
    <w:p>
      <w:pPr>
        <w:pStyle w:val="BodyText"/>
        <w:spacing w:line="249" w:lineRule="auto" w:before="117"/>
        <w:ind w:left="120" w:right="454" w:firstLine="490"/>
      </w:pPr>
      <w:r>
        <w:rPr>
          <w:color w:val="231F20"/>
        </w:rPr>
        <w:t>The information required by this Item 13 will be set forth under the heading “Certain Relationships and Related Transactions, and Director Independence” in the Proxy Statement for the Company’s 2014 Annual Meeting of Shareholders and is incorporated herein by reference.</w:t>
      </w:r>
    </w:p>
    <w:p>
      <w:pPr>
        <w:pStyle w:val="BodyText"/>
        <w:spacing w:before="2"/>
        <w:rPr>
          <w:sz w:val="28"/>
        </w:rPr>
      </w:pPr>
    </w:p>
    <w:p>
      <w:pPr>
        <w:pStyle w:val="Heading4"/>
        <w:tabs>
          <w:tab w:pos="1199" w:val="left" w:leader="none"/>
        </w:tabs>
        <w:ind w:left="120"/>
        <w:rPr>
          <w:i/>
        </w:rPr>
      </w:pPr>
      <w:bookmarkStart w:name="_TOC_250003" w:id="44"/>
      <w:bookmarkStart w:name="Item 14. Principal Accounting Fees and S" w:id="45"/>
      <w:r>
        <w:rPr>
          <w:b w:val="0"/>
          <w:i w:val="0"/>
        </w:rPr>
      </w:r>
      <w:r>
        <w:rPr>
          <w:i w:val="0"/>
          <w:color w:val="231F20"/>
        </w:rPr>
        <w:t>Item</w:t>
      </w:r>
      <w:r>
        <w:rPr>
          <w:i w:val="0"/>
          <w:color w:val="231F20"/>
          <w:spacing w:val="1"/>
        </w:rPr>
        <w:t> </w:t>
      </w:r>
      <w:r>
        <w:rPr>
          <w:i w:val="0"/>
          <w:color w:val="231F20"/>
        </w:rPr>
        <w:t>14.</w:t>
        <w:tab/>
      </w:r>
      <w:bookmarkEnd w:id="44"/>
      <w:r>
        <w:rPr>
          <w:i/>
          <w:color w:val="231F20"/>
        </w:rPr>
        <w:t>Principal Accounting Fees and Services</w:t>
      </w:r>
    </w:p>
    <w:p>
      <w:pPr>
        <w:pStyle w:val="BodyText"/>
        <w:spacing w:line="249" w:lineRule="auto" w:before="117"/>
        <w:ind w:left="120" w:right="327" w:firstLine="490"/>
      </w:pPr>
      <w:r>
        <w:rPr>
          <w:color w:val="231F20"/>
        </w:rPr>
        <w:t>The information required by this Item 14 will be set forth under the heading “Relationship with Independent Auditors” in the Proxy Statement for the Company’s 2014 Annual Meeting of Shareholders and is incorporated herein by reference.</w:t>
      </w:r>
    </w:p>
    <w:p>
      <w:pPr>
        <w:spacing w:after="0" w:line="249" w:lineRule="auto"/>
        <w:sectPr>
          <w:type w:val="continuous"/>
          <w:pgSz w:w="11880" w:h="15480"/>
          <w:pgMar w:top="1200" w:bottom="280" w:left="1260" w:right="1260"/>
        </w:sectPr>
      </w:pPr>
    </w:p>
    <w:p>
      <w:pPr>
        <w:pStyle w:val="Heading3"/>
        <w:spacing w:before="73"/>
        <w:ind w:left="83" w:right="64"/>
        <w:jc w:val="center"/>
      </w:pPr>
      <w:bookmarkStart w:name="_TOC_250002" w:id="46"/>
      <w:bookmarkStart w:name="PART IV" w:id="47"/>
      <w:r>
        <w:rPr>
          <w:b w:val="0"/>
        </w:rPr>
      </w:r>
      <w:bookmarkEnd w:id="46"/>
      <w:r>
        <w:rPr>
          <w:color w:val="231F20"/>
        </w:rPr>
        <w:t>PART IV</w:t>
      </w:r>
    </w:p>
    <w:p>
      <w:pPr>
        <w:pStyle w:val="Heading4"/>
        <w:tabs>
          <w:tab w:pos="1179" w:val="left" w:leader="none"/>
        </w:tabs>
        <w:spacing w:before="173"/>
        <w:ind w:left="100"/>
        <w:rPr>
          <w:i/>
        </w:rPr>
      </w:pPr>
      <w:bookmarkStart w:name="_TOC_250001" w:id="48"/>
      <w:bookmarkStart w:name="Item 15. Exhibits and Financial Statemen" w:id="49"/>
      <w:r>
        <w:rPr>
          <w:b w:val="0"/>
          <w:i w:val="0"/>
        </w:rPr>
      </w:r>
      <w:r>
        <w:rPr>
          <w:i w:val="0"/>
          <w:color w:val="231F20"/>
        </w:rPr>
        <w:t>Item</w:t>
      </w:r>
      <w:r>
        <w:rPr>
          <w:i w:val="0"/>
          <w:color w:val="231F20"/>
          <w:spacing w:val="1"/>
        </w:rPr>
        <w:t> </w:t>
      </w:r>
      <w:r>
        <w:rPr>
          <w:i w:val="0"/>
          <w:color w:val="231F20"/>
        </w:rPr>
        <w:t>15.</w:t>
        <w:tab/>
      </w:r>
      <w:bookmarkEnd w:id="48"/>
      <w:r>
        <w:rPr>
          <w:i/>
          <w:color w:val="231F20"/>
        </w:rPr>
        <w:t>Exhibits and Financial Statement Schedules</w:t>
      </w:r>
    </w:p>
    <w:p>
      <w:pPr>
        <w:spacing w:before="91"/>
        <w:ind w:left="590" w:right="0" w:firstLine="0"/>
        <w:jc w:val="left"/>
        <w:rPr>
          <w:i/>
          <w:sz w:val="20"/>
        </w:rPr>
      </w:pPr>
      <w:r>
        <w:rPr>
          <w:color w:val="231F20"/>
          <w:sz w:val="20"/>
        </w:rPr>
        <w:t>(a) 1. </w:t>
      </w:r>
      <w:r>
        <w:rPr>
          <w:i/>
          <w:color w:val="231F20"/>
          <w:sz w:val="20"/>
        </w:rPr>
        <w:t>Financial Statements:</w:t>
      </w:r>
    </w:p>
    <w:p>
      <w:pPr>
        <w:pStyle w:val="BodyText"/>
        <w:spacing w:line="249" w:lineRule="auto" w:before="91"/>
        <w:ind w:left="590" w:right="113" w:firstLine="490"/>
      </w:pPr>
      <w:r>
        <w:rPr>
          <w:color w:val="231F20"/>
        </w:rPr>
        <w:t>The financial statements included in Item 8. Financial Statements and Supplementary Data above are filed as part of this annual report.</w:t>
      </w:r>
    </w:p>
    <w:p>
      <w:pPr>
        <w:pStyle w:val="ListParagraph"/>
        <w:numPr>
          <w:ilvl w:val="1"/>
          <w:numId w:val="13"/>
        </w:numPr>
        <w:tabs>
          <w:tab w:pos="790" w:val="left" w:leader="none"/>
        </w:tabs>
        <w:spacing w:line="240" w:lineRule="auto" w:before="82" w:after="0"/>
        <w:ind w:left="790" w:right="0" w:hanging="200"/>
        <w:jc w:val="left"/>
        <w:rPr>
          <w:i/>
          <w:sz w:val="20"/>
        </w:rPr>
      </w:pPr>
      <w:r>
        <w:rPr>
          <w:i/>
          <w:color w:val="231F20"/>
          <w:sz w:val="20"/>
        </w:rPr>
        <w:t>Financial Statement</w:t>
      </w:r>
      <w:r>
        <w:rPr>
          <w:i/>
          <w:color w:val="231F20"/>
          <w:spacing w:val="2"/>
          <w:sz w:val="20"/>
        </w:rPr>
        <w:t> </w:t>
      </w:r>
      <w:r>
        <w:rPr>
          <w:i/>
          <w:color w:val="231F20"/>
          <w:sz w:val="20"/>
        </w:rPr>
        <w:t>Schedules:</w:t>
      </w:r>
    </w:p>
    <w:p>
      <w:pPr>
        <w:pStyle w:val="BodyText"/>
        <w:spacing w:line="249" w:lineRule="auto" w:before="91"/>
        <w:ind w:left="590" w:right="614" w:firstLine="490"/>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1"/>
          <w:numId w:val="13"/>
        </w:numPr>
        <w:tabs>
          <w:tab w:pos="790" w:val="left" w:leader="none"/>
        </w:tabs>
        <w:spacing w:line="240" w:lineRule="auto" w:before="82" w:after="0"/>
        <w:ind w:left="790" w:right="0" w:hanging="200"/>
        <w:jc w:val="left"/>
        <w:rPr>
          <w:sz w:val="20"/>
        </w:rPr>
      </w:pPr>
      <w:r>
        <w:rPr>
          <w:color w:val="231F20"/>
          <w:sz w:val="20"/>
        </w:rPr>
        <w:t>Exhibits:</w:t>
      </w:r>
    </w:p>
    <w:p>
      <w:pPr>
        <w:pStyle w:val="BodyText"/>
        <w:spacing w:before="10"/>
        <w:rPr>
          <w:sz w:val="17"/>
        </w:rPr>
      </w:pPr>
    </w:p>
    <w:p>
      <w:pPr>
        <w:pStyle w:val="ListParagraph"/>
        <w:numPr>
          <w:ilvl w:val="1"/>
          <w:numId w:val="22"/>
        </w:numPr>
        <w:tabs>
          <w:tab w:pos="1248" w:val="left" w:leader="none"/>
          <w:tab w:pos="1249" w:val="left" w:leader="none"/>
        </w:tabs>
        <w:spacing w:line="244" w:lineRule="auto" w:before="1" w:after="0"/>
        <w:ind w:left="1249" w:right="350" w:hanging="1149"/>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 1-7259)).</w:t>
      </w:r>
    </w:p>
    <w:p>
      <w:pPr>
        <w:pStyle w:val="ListParagraph"/>
        <w:numPr>
          <w:ilvl w:val="1"/>
          <w:numId w:val="22"/>
        </w:numPr>
        <w:tabs>
          <w:tab w:pos="1248" w:val="left" w:leader="none"/>
          <w:tab w:pos="1249" w:val="left" w:leader="none"/>
        </w:tabs>
        <w:spacing w:line="244" w:lineRule="auto" w:before="120" w:after="0"/>
        <w:ind w:left="1249" w:right="203" w:hanging="1149"/>
        <w:jc w:val="left"/>
        <w:rPr>
          <w:sz w:val="20"/>
        </w:rPr>
      </w:pPr>
      <w:r>
        <w:rPr>
          <w:color w:val="231F20"/>
          <w:sz w:val="20"/>
        </w:rPr>
        <w:t>Amended and Restated Bylaws of the Company, effective November 19, 2009 (incorporated by reference to Exhibit 3.1 to the Company’s Current Report on Form 8-K dated November 19, 2009 (File No. 1-7259)).</w:t>
      </w:r>
    </w:p>
    <w:p>
      <w:pPr>
        <w:pStyle w:val="ListParagraph"/>
        <w:numPr>
          <w:ilvl w:val="1"/>
          <w:numId w:val="23"/>
        </w:numPr>
        <w:tabs>
          <w:tab w:pos="1248" w:val="left" w:leader="none"/>
          <w:tab w:pos="1249" w:val="left" w:leader="none"/>
        </w:tabs>
        <w:spacing w:line="244" w:lineRule="auto" w:before="120" w:after="0"/>
        <w:ind w:left="1249" w:right="132" w:hanging="1149"/>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ListParagraph"/>
        <w:numPr>
          <w:ilvl w:val="1"/>
          <w:numId w:val="23"/>
        </w:numPr>
        <w:tabs>
          <w:tab w:pos="1248" w:val="left" w:leader="none"/>
          <w:tab w:pos="1249" w:val="left" w:leader="none"/>
        </w:tabs>
        <w:spacing w:line="240" w:lineRule="auto" w:before="120" w:after="0"/>
        <w:ind w:left="1249" w:right="0" w:hanging="1149"/>
        <w:jc w:val="left"/>
        <w:rPr>
          <w:sz w:val="20"/>
        </w:rPr>
      </w:pPr>
      <w:r>
        <w:rPr>
          <w:color w:val="231F20"/>
          <w:sz w:val="20"/>
        </w:rPr>
        <w:t>Indenture dated as of February 14, 2005, between the Company and The Bank of New York</w:t>
      </w:r>
    </w:p>
    <w:p>
      <w:pPr>
        <w:pStyle w:val="BodyText"/>
        <w:spacing w:line="244" w:lineRule="auto" w:before="4"/>
        <w:ind w:left="1249" w:right="144"/>
      </w:pPr>
      <w:r>
        <w:rPr>
          <w:color w:val="231F20"/>
        </w:rPr>
        <w:t>Trust Company, N.A., Trustee (incorporated by reference to Exhibit 4.2 to the Company’s Current Report on Form 8-K dated February 14, 2005 (File No. 1-7259)).</w:t>
      </w:r>
    </w:p>
    <w:p>
      <w:pPr>
        <w:pStyle w:val="ListParagraph"/>
        <w:numPr>
          <w:ilvl w:val="1"/>
          <w:numId w:val="23"/>
        </w:numPr>
        <w:tabs>
          <w:tab w:pos="1248" w:val="left" w:leader="none"/>
          <w:tab w:pos="1249" w:val="left" w:leader="none"/>
        </w:tabs>
        <w:spacing w:line="244" w:lineRule="auto" w:before="120" w:after="0"/>
        <w:ind w:left="1249" w:right="431" w:hanging="1149"/>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1"/>
          <w:sz w:val="20"/>
        </w:rPr>
        <w:t> </w:t>
      </w:r>
      <w:r>
        <w:rPr>
          <w:color w:val="231F20"/>
          <w:sz w:val="20"/>
        </w:rPr>
        <w:t>333-100861)).</w:t>
      </w:r>
    </w:p>
    <w:p>
      <w:pPr>
        <w:pStyle w:val="ListParagraph"/>
        <w:numPr>
          <w:ilvl w:val="1"/>
          <w:numId w:val="23"/>
        </w:numPr>
        <w:tabs>
          <w:tab w:pos="1248" w:val="left" w:leader="none"/>
          <w:tab w:pos="1249" w:val="left" w:leader="none"/>
        </w:tabs>
        <w:spacing w:line="240" w:lineRule="auto" w:before="120" w:after="0"/>
        <w:ind w:left="1249" w:right="0" w:hanging="1149"/>
        <w:jc w:val="left"/>
        <w:rPr>
          <w:sz w:val="20"/>
        </w:rPr>
      </w:pPr>
      <w:r>
        <w:rPr>
          <w:color w:val="231F20"/>
          <w:sz w:val="20"/>
        </w:rPr>
        <w:t>Indenture dated as of February 25, 1997, between the Company and U.S. Trust Company of</w:t>
      </w:r>
      <w:r>
        <w:rPr>
          <w:color w:val="231F20"/>
          <w:spacing w:val="1"/>
          <w:sz w:val="20"/>
        </w:rPr>
        <w:t> </w:t>
      </w:r>
      <w:r>
        <w:rPr>
          <w:color w:val="231F20"/>
          <w:sz w:val="20"/>
        </w:rPr>
        <w:t>Texas,</w:t>
      </w:r>
    </w:p>
    <w:p>
      <w:pPr>
        <w:pStyle w:val="BodyText"/>
        <w:spacing w:line="244" w:lineRule="auto" w:before="4"/>
        <w:ind w:left="1249" w:right="327"/>
      </w:pPr>
      <w:r>
        <w:rPr>
          <w:color w:val="231F20"/>
        </w:rPr>
        <w:t>N.A. (incorporated by reference to Exhibit 4.12 to the Company’s Annual Report on Form 10-K for the year ended December 31, 1996 (File No. 1-7259)).</w:t>
      </w:r>
    </w:p>
    <w:p>
      <w:pPr>
        <w:pStyle w:val="BodyText"/>
        <w:spacing w:line="244" w:lineRule="auto" w:before="120"/>
        <w:ind w:left="1249" w:right="149"/>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BodyText"/>
        <w:tabs>
          <w:tab w:pos="1248" w:val="left" w:leader="none"/>
        </w:tabs>
        <w:spacing w:line="244" w:lineRule="auto" w:before="120"/>
        <w:ind w:left="1249" w:right="417" w:hanging="1149"/>
      </w:pPr>
      <w:r>
        <w:rPr>
          <w:color w:val="231F20"/>
        </w:rPr>
        <w:t>10.1</w:t>
        <w:tab/>
        <w:t>Purchase Agreement No. 1810, dated January 19, 1994, between The Boeing Company</w:t>
      </w:r>
      <w:r>
        <w:rPr>
          <w:color w:val="231F20"/>
          <w:spacing w:val="2"/>
        </w:rPr>
        <w:t> </w:t>
      </w:r>
      <w:r>
        <w:rPr>
          <w:color w:val="231F20"/>
        </w:rPr>
        <w:t>and the</w:t>
      </w:r>
      <w:r>
        <w:rPr>
          <w:color w:val="231F20"/>
          <w:w w:val="100"/>
        </w:rPr>
        <w:t> </w:t>
      </w:r>
      <w:r>
        <w:rPr>
          <w:color w:val="231F20"/>
        </w:rPr>
        <w:t>Company (incorporated by reference to Exhibit 10.4 to the Company’s Annual Report</w:t>
      </w:r>
      <w:r>
        <w:rPr>
          <w:color w:val="231F20"/>
          <w:spacing w:val="5"/>
        </w:rPr>
        <w:t> </w:t>
      </w:r>
      <w:r>
        <w:rPr>
          <w:color w:val="231F20"/>
        </w:rPr>
        <w:t>on</w:t>
      </w:r>
    </w:p>
    <w:p>
      <w:pPr>
        <w:pStyle w:val="BodyText"/>
        <w:spacing w:line="244" w:lineRule="auto"/>
        <w:ind w:left="1249" w:right="271"/>
      </w:pPr>
      <w:r>
        <w:rPr>
          <w:color w:val="231F20"/>
        </w:rPr>
        <w:t>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w:t>
      </w:r>
    </w:p>
    <w:p>
      <w:pPr>
        <w:pStyle w:val="BodyText"/>
        <w:spacing w:line="244" w:lineRule="auto"/>
        <w:ind w:left="1249" w:right="188"/>
      </w:pPr>
      <w:r>
        <w:rPr>
          <w:color w:val="231F20"/>
        </w:rPr>
        <w:t>Nos. 5, 6, and 7 (incorporated by reference to Exhibit 10.1 to the Company’s Annual Report on Form 10-K for the year ended December 31, 1998 (File No. 1-7259)); Supplemental Agreements Nos. 8, 9, and 10 (incorporated by reference to Exhibit 10.1 to the Company’s Annual Report on Form 10-K for the year ended December 31, 1999 (File No. 1-7259)); Supplemental Agreements Nos. 11, 12, 13, and 14 (incorporated by reference to Exhibit 10.1 to the Company’s Quarterly Report on Form 10-Q for the quarter ended September 30, 2000 (File No. 1-7259)); Supplemental Agreements Nos. 15,</w:t>
      </w:r>
    </w:p>
    <w:p>
      <w:pPr>
        <w:spacing w:after="0" w:line="244" w:lineRule="auto"/>
        <w:sectPr>
          <w:pgSz w:w="11880" w:h="15480"/>
          <w:pgMar w:header="0" w:footer="1253" w:top="1240" w:bottom="1440" w:left="1280" w:right="1300"/>
        </w:sectPr>
      </w:pPr>
    </w:p>
    <w:p>
      <w:pPr>
        <w:pStyle w:val="BodyText"/>
        <w:spacing w:line="249" w:lineRule="auto" w:before="73"/>
        <w:ind w:left="849" w:right="314"/>
      </w:pPr>
      <w:r>
        <w:rPr>
          <w:color w:val="231F20"/>
        </w:rPr>
        <w:t>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 the quarter ended September 30, 2002</w:t>
      </w:r>
    </w:p>
    <w:p>
      <w:pPr>
        <w:pStyle w:val="BodyText"/>
        <w:spacing w:line="249" w:lineRule="auto" w:before="1"/>
        <w:ind w:left="849" w:right="152"/>
      </w:pPr>
      <w:r>
        <w:rPr>
          <w:color w:val="231F20"/>
        </w:rPr>
        <w:t>(File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 Exhibit 10.1 to the Company’s Quarterly Report on 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w:t>
      </w:r>
    </w:p>
    <w:p>
      <w:pPr>
        <w:pStyle w:val="BodyText"/>
        <w:spacing w:line="249" w:lineRule="auto" w:before="1"/>
        <w:ind w:left="849" w:right="114"/>
      </w:pPr>
      <w:r>
        <w:rPr>
          <w:color w:val="231F20"/>
        </w:rPr>
        <w:t>Form 10-Q for the quarter ended September 30, 2007 (File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 Nos. 62 and 63 (incorporated by reference to Exhibits 10.1 and 10.2, respectively, to the Company’s Quarterly Report on Form 10-Q for the quarter ended March 31, 2009 (File No. 1-7259)); Supplemental Agreement No. 64 (incorporated by reference to</w:t>
      </w:r>
    </w:p>
    <w:p>
      <w:pPr>
        <w:pStyle w:val="BodyText"/>
        <w:spacing w:line="249" w:lineRule="auto" w:before="1"/>
        <w:ind w:left="849" w:right="391"/>
      </w:pPr>
      <w:r>
        <w:rPr>
          <w:color w:val="231F20"/>
        </w:rPr>
        <w:t>Exhibit 10.1 to the Company’s Quarterly Report on Form 10-Q for the quarter ended March 31, 2010 (File No. 1-7259)); Supplemental Agreement No. 65 (incorporated by reference to</w:t>
      </w:r>
    </w:p>
    <w:p>
      <w:pPr>
        <w:pStyle w:val="BodyText"/>
        <w:spacing w:line="249" w:lineRule="auto" w:before="1"/>
        <w:ind w:left="849" w:right="97"/>
      </w:pPr>
      <w:r>
        <w:rPr>
          <w:color w:val="231F20"/>
        </w:rPr>
        <w:t>Exhibit 10.1 to the Company’s Quarterly Report on Form 10-Q for the quarter ended June 30, 2010 (File No. 1-7259)); Supplemental Agreement No. 66 (incorporated by reference to Exhibit 10.1 to the Company’s Quarterly Report on Form 10-Q for the quarter ended September 30, 2010</w:t>
      </w:r>
    </w:p>
    <w:p>
      <w:pPr>
        <w:pStyle w:val="BodyText"/>
        <w:spacing w:line="249" w:lineRule="auto" w:before="1"/>
        <w:ind w:left="849" w:right="203"/>
      </w:pPr>
      <w:r>
        <w:rPr>
          <w:color w:val="231F20"/>
        </w:rPr>
        <w:t>(File No. 1-7259)); Supplemental Agreement No. 67 (incorporated by reference to Exhibit 10.1(a) to the Company’s Annual Report on Form 10-K for the year ended December 31, 2010</w:t>
      </w:r>
    </w:p>
    <w:p>
      <w:pPr>
        <w:pStyle w:val="BodyText"/>
        <w:spacing w:before="1"/>
        <w:ind w:left="849"/>
      </w:pPr>
      <w:r>
        <w:rPr>
          <w:color w:val="231F20"/>
        </w:rPr>
        <w:t>(File No. 1-7259)); Supplemental Agreement No. 68 (incorporated by reference to Exhibit 10.1(b)</w:t>
      </w:r>
    </w:p>
    <w:p>
      <w:pPr>
        <w:spacing w:after="0"/>
        <w:sectPr>
          <w:pgSz w:w="11880" w:h="15480"/>
          <w:pgMar w:header="0" w:footer="1253" w:top="1240" w:bottom="1440" w:left="1680" w:right="1280"/>
        </w:sectPr>
      </w:pPr>
    </w:p>
    <w:p>
      <w:pPr>
        <w:pStyle w:val="BodyText"/>
        <w:spacing w:before="73"/>
        <w:ind w:left="1249"/>
      </w:pPr>
      <w:r>
        <w:rPr>
          <w:color w:val="231F20"/>
        </w:rPr>
        <w:t>to the Company’s Annual Report on Form 10-K for the year ended December 31, 2010</w:t>
      </w:r>
    </w:p>
    <w:p>
      <w:pPr>
        <w:pStyle w:val="BodyText"/>
        <w:spacing w:line="249" w:lineRule="auto" w:before="9"/>
        <w:ind w:left="1249"/>
      </w:pPr>
      <w:r>
        <w:rPr>
          <w:color w:val="231F20"/>
        </w:rPr>
        <w:t>(File</w:t>
      </w:r>
      <w:r>
        <w:rPr>
          <w:color w:val="231F20"/>
          <w:spacing w:val="-14"/>
        </w:rPr>
        <w:t> </w:t>
      </w:r>
      <w:r>
        <w:rPr>
          <w:color w:val="231F20"/>
        </w:rPr>
        <w:t>No.</w:t>
      </w:r>
      <w:r>
        <w:rPr>
          <w:color w:val="231F20"/>
          <w:spacing w:val="-15"/>
        </w:rPr>
        <w:t> </w:t>
      </w:r>
      <w:r>
        <w:rPr>
          <w:color w:val="231F20"/>
        </w:rPr>
        <w:t>1-7259));</w:t>
      </w:r>
      <w:r>
        <w:rPr>
          <w:color w:val="231F20"/>
          <w:spacing w:val="-14"/>
        </w:rPr>
        <w:t> </w:t>
      </w:r>
      <w:r>
        <w:rPr>
          <w:color w:val="231F20"/>
        </w:rPr>
        <w:t>Supplemental</w:t>
      </w:r>
      <w:r>
        <w:rPr>
          <w:color w:val="231F20"/>
          <w:spacing w:val="-14"/>
        </w:rPr>
        <w:t> </w:t>
      </w:r>
      <w:r>
        <w:rPr>
          <w:color w:val="231F20"/>
        </w:rPr>
        <w:t>Agreement</w:t>
      </w:r>
      <w:r>
        <w:rPr>
          <w:color w:val="231F20"/>
          <w:spacing w:val="-14"/>
        </w:rPr>
        <w:t> </w:t>
      </w:r>
      <w:r>
        <w:rPr>
          <w:color w:val="231F20"/>
        </w:rPr>
        <w:t>No.</w:t>
      </w:r>
      <w:r>
        <w:rPr>
          <w:color w:val="231F20"/>
          <w:spacing w:val="-15"/>
        </w:rPr>
        <w:t> </w:t>
      </w:r>
      <w:r>
        <w:rPr>
          <w:color w:val="231F20"/>
        </w:rPr>
        <w:t>69</w:t>
      </w:r>
      <w:r>
        <w:rPr>
          <w:color w:val="231F20"/>
          <w:spacing w:val="-15"/>
        </w:rPr>
        <w:t> </w:t>
      </w:r>
      <w:r>
        <w:rPr>
          <w:color w:val="231F20"/>
        </w:rPr>
        <w:t>(incorporated</w:t>
      </w:r>
      <w:r>
        <w:rPr>
          <w:color w:val="231F20"/>
          <w:spacing w:val="-15"/>
        </w:rPr>
        <w:t> </w:t>
      </w:r>
      <w:r>
        <w:rPr>
          <w:color w:val="231F20"/>
        </w:rPr>
        <w:t>by</w:t>
      </w:r>
      <w:r>
        <w:rPr>
          <w:color w:val="231F20"/>
          <w:spacing w:val="-15"/>
        </w:rPr>
        <w:t> </w:t>
      </w:r>
      <w:r>
        <w:rPr>
          <w:color w:val="231F20"/>
        </w:rPr>
        <w:t>reference</w:t>
      </w:r>
      <w:r>
        <w:rPr>
          <w:color w:val="231F20"/>
          <w:spacing w:val="-14"/>
        </w:rPr>
        <w:t> </w:t>
      </w:r>
      <w:r>
        <w:rPr>
          <w:color w:val="231F20"/>
        </w:rPr>
        <w:t>to</w:t>
      </w:r>
      <w:r>
        <w:rPr>
          <w:color w:val="231F20"/>
          <w:spacing w:val="-15"/>
        </w:rPr>
        <w:t> </w:t>
      </w:r>
      <w:r>
        <w:rPr>
          <w:color w:val="231F20"/>
        </w:rPr>
        <w:t>Exhibit</w:t>
      </w:r>
      <w:r>
        <w:rPr>
          <w:color w:val="231F20"/>
          <w:spacing w:val="-14"/>
        </w:rPr>
        <w:t> </w:t>
      </w:r>
      <w:r>
        <w:rPr>
          <w:color w:val="231F20"/>
        </w:rPr>
        <w:t>10.1(c)</w:t>
      </w:r>
      <w:r>
        <w:rPr>
          <w:color w:val="231F20"/>
          <w:spacing w:val="-14"/>
        </w:rPr>
        <w:t> </w:t>
      </w:r>
      <w:r>
        <w:rPr>
          <w:color w:val="231F20"/>
        </w:rPr>
        <w:t>to the Company’s Annual Report on Form 10-K for the year ended December 31, 2010 (File No. 1- 7259)); Supplemental Agreement No. 70 (incorporated by reference to Exhibit 10.1(d) to </w:t>
      </w:r>
      <w:r>
        <w:rPr>
          <w:color w:val="231F20"/>
          <w:spacing w:val="-2"/>
        </w:rPr>
        <w:t>the </w:t>
      </w:r>
      <w:r>
        <w:rPr>
          <w:color w:val="231F20"/>
        </w:rPr>
        <w:t>Company’s</w:t>
      </w:r>
      <w:r>
        <w:rPr>
          <w:color w:val="231F20"/>
          <w:spacing w:val="-12"/>
        </w:rPr>
        <w:t> </w:t>
      </w:r>
      <w:r>
        <w:rPr>
          <w:color w:val="231F20"/>
        </w:rPr>
        <w:t>Annual</w:t>
      </w:r>
      <w:r>
        <w:rPr>
          <w:color w:val="231F20"/>
          <w:spacing w:val="-12"/>
        </w:rPr>
        <w:t> </w:t>
      </w:r>
      <w:r>
        <w:rPr>
          <w:color w:val="231F20"/>
        </w:rPr>
        <w:t>Report</w:t>
      </w:r>
      <w:r>
        <w:rPr>
          <w:color w:val="231F20"/>
          <w:spacing w:val="-12"/>
        </w:rPr>
        <w:t> </w:t>
      </w:r>
      <w:r>
        <w:rPr>
          <w:color w:val="231F20"/>
        </w:rPr>
        <w:t>on</w:t>
      </w:r>
      <w:r>
        <w:rPr>
          <w:color w:val="231F20"/>
          <w:spacing w:val="-13"/>
        </w:rPr>
        <w:t> </w:t>
      </w:r>
      <w:r>
        <w:rPr>
          <w:color w:val="231F20"/>
        </w:rPr>
        <w:t>Form</w:t>
      </w:r>
      <w:r>
        <w:rPr>
          <w:color w:val="231F20"/>
          <w:spacing w:val="-12"/>
        </w:rPr>
        <w:t> </w:t>
      </w:r>
      <w:r>
        <w:rPr>
          <w:color w:val="231F20"/>
        </w:rPr>
        <w:t>10-K</w:t>
      </w:r>
      <w:r>
        <w:rPr>
          <w:color w:val="231F20"/>
          <w:spacing w:val="-13"/>
        </w:rPr>
        <w:t> </w:t>
      </w:r>
      <w:r>
        <w:rPr>
          <w:color w:val="231F20"/>
        </w:rPr>
        <w:t>for</w:t>
      </w:r>
      <w:r>
        <w:rPr>
          <w:color w:val="231F20"/>
          <w:spacing w:val="-12"/>
        </w:rPr>
        <w:t> </w:t>
      </w:r>
      <w:r>
        <w:rPr>
          <w:color w:val="231F20"/>
        </w:rPr>
        <w:t>the</w:t>
      </w:r>
      <w:r>
        <w:rPr>
          <w:color w:val="231F20"/>
          <w:spacing w:val="-12"/>
        </w:rPr>
        <w:t> </w:t>
      </w:r>
      <w:r>
        <w:rPr>
          <w:color w:val="231F20"/>
        </w:rPr>
        <w:t>year</w:t>
      </w:r>
      <w:r>
        <w:rPr>
          <w:color w:val="231F20"/>
          <w:spacing w:val="-12"/>
        </w:rPr>
        <w:t> </w:t>
      </w:r>
      <w:r>
        <w:rPr>
          <w:color w:val="231F20"/>
        </w:rPr>
        <w:t>ended</w:t>
      </w:r>
      <w:r>
        <w:rPr>
          <w:color w:val="231F20"/>
          <w:spacing w:val="-13"/>
        </w:rPr>
        <w:t> </w:t>
      </w:r>
      <w:r>
        <w:rPr>
          <w:color w:val="231F20"/>
        </w:rPr>
        <w:t>December</w:t>
      </w:r>
      <w:r>
        <w:rPr>
          <w:color w:val="231F20"/>
          <w:spacing w:val="-12"/>
        </w:rPr>
        <w:t> </w:t>
      </w:r>
      <w:r>
        <w:rPr>
          <w:color w:val="231F20"/>
        </w:rPr>
        <w:t>31,</w:t>
      </w:r>
      <w:r>
        <w:rPr>
          <w:color w:val="231F20"/>
          <w:spacing w:val="-13"/>
        </w:rPr>
        <w:t> </w:t>
      </w:r>
      <w:r>
        <w:rPr>
          <w:color w:val="231F20"/>
        </w:rPr>
        <w:t>2010</w:t>
      </w:r>
      <w:r>
        <w:rPr>
          <w:color w:val="231F20"/>
          <w:spacing w:val="-13"/>
        </w:rPr>
        <w:t> </w:t>
      </w:r>
      <w:r>
        <w:rPr>
          <w:color w:val="231F20"/>
        </w:rPr>
        <w:t>(File</w:t>
      </w:r>
      <w:r>
        <w:rPr>
          <w:color w:val="231F20"/>
          <w:spacing w:val="-12"/>
        </w:rPr>
        <w:t> </w:t>
      </w:r>
      <w:r>
        <w:rPr>
          <w:color w:val="231F20"/>
        </w:rPr>
        <w:t>No.</w:t>
      </w:r>
      <w:r>
        <w:rPr>
          <w:color w:val="231F20"/>
          <w:spacing w:val="-13"/>
        </w:rPr>
        <w:t> </w:t>
      </w:r>
      <w:r>
        <w:rPr>
          <w:color w:val="231F20"/>
        </w:rPr>
        <w:t>1-7259)); Supplemental Agreements Nos. 71 and 72 (incorporated by reference to Exhibits 10.1 and 10.2, respectively,</w:t>
      </w:r>
      <w:r>
        <w:rPr>
          <w:color w:val="231F20"/>
          <w:spacing w:val="-14"/>
        </w:rPr>
        <w:t> </w:t>
      </w:r>
      <w:r>
        <w:rPr>
          <w:color w:val="231F20"/>
        </w:rPr>
        <w:t>to</w:t>
      </w:r>
      <w:r>
        <w:rPr>
          <w:color w:val="231F20"/>
          <w:spacing w:val="-14"/>
        </w:rPr>
        <w:t> </w:t>
      </w:r>
      <w:r>
        <w:rPr>
          <w:color w:val="231F20"/>
        </w:rPr>
        <w:t>the</w:t>
      </w:r>
      <w:r>
        <w:rPr>
          <w:color w:val="231F20"/>
          <w:spacing w:val="-13"/>
        </w:rPr>
        <w:t> </w:t>
      </w:r>
      <w:r>
        <w:rPr>
          <w:color w:val="231F20"/>
        </w:rPr>
        <w:t>Company’s</w:t>
      </w:r>
      <w:r>
        <w:rPr>
          <w:color w:val="231F20"/>
          <w:spacing w:val="-13"/>
        </w:rPr>
        <w:t> </w:t>
      </w:r>
      <w:r>
        <w:rPr>
          <w:color w:val="231F20"/>
        </w:rPr>
        <w:t>Quarterly</w:t>
      </w:r>
      <w:r>
        <w:rPr>
          <w:color w:val="231F20"/>
          <w:spacing w:val="-14"/>
        </w:rPr>
        <w:t> </w:t>
      </w:r>
      <w:r>
        <w:rPr>
          <w:color w:val="231F20"/>
        </w:rPr>
        <w:t>Report</w:t>
      </w:r>
      <w:r>
        <w:rPr>
          <w:color w:val="231F20"/>
          <w:spacing w:val="-13"/>
        </w:rPr>
        <w:t> </w:t>
      </w:r>
      <w:r>
        <w:rPr>
          <w:color w:val="231F20"/>
        </w:rPr>
        <w:t>on</w:t>
      </w:r>
      <w:r>
        <w:rPr>
          <w:color w:val="231F20"/>
          <w:spacing w:val="-14"/>
        </w:rPr>
        <w:t> </w:t>
      </w:r>
      <w:r>
        <w:rPr>
          <w:color w:val="231F20"/>
        </w:rPr>
        <w:t>Form</w:t>
      </w:r>
      <w:r>
        <w:rPr>
          <w:color w:val="231F20"/>
          <w:spacing w:val="-13"/>
        </w:rPr>
        <w:t> </w:t>
      </w:r>
      <w:r>
        <w:rPr>
          <w:color w:val="231F20"/>
        </w:rPr>
        <w:t>10-Q</w:t>
      </w:r>
      <w:r>
        <w:rPr>
          <w:color w:val="231F20"/>
          <w:spacing w:val="-14"/>
        </w:rPr>
        <w:t> </w:t>
      </w:r>
      <w:r>
        <w:rPr>
          <w:color w:val="231F20"/>
        </w:rPr>
        <w:t>for</w:t>
      </w:r>
      <w:r>
        <w:rPr>
          <w:color w:val="231F20"/>
          <w:spacing w:val="-13"/>
        </w:rPr>
        <w:t> </w:t>
      </w:r>
      <w:r>
        <w:rPr>
          <w:color w:val="231F20"/>
        </w:rPr>
        <w:t>the</w:t>
      </w:r>
      <w:r>
        <w:rPr>
          <w:color w:val="231F20"/>
          <w:spacing w:val="-13"/>
        </w:rPr>
        <w:t> </w:t>
      </w:r>
      <w:r>
        <w:rPr>
          <w:color w:val="231F20"/>
        </w:rPr>
        <w:t>quarter</w:t>
      </w:r>
      <w:r>
        <w:rPr>
          <w:color w:val="231F20"/>
          <w:spacing w:val="-13"/>
        </w:rPr>
        <w:t> </w:t>
      </w:r>
      <w:r>
        <w:rPr>
          <w:color w:val="231F20"/>
        </w:rPr>
        <w:t>ended</w:t>
      </w:r>
      <w:r>
        <w:rPr>
          <w:color w:val="231F20"/>
          <w:spacing w:val="-14"/>
        </w:rPr>
        <w:t> </w:t>
      </w:r>
      <w:r>
        <w:rPr>
          <w:color w:val="231F20"/>
        </w:rPr>
        <w:t>March</w:t>
      </w:r>
      <w:r>
        <w:rPr>
          <w:color w:val="231F20"/>
          <w:spacing w:val="-14"/>
        </w:rPr>
        <w:t> </w:t>
      </w:r>
      <w:r>
        <w:rPr>
          <w:color w:val="231F20"/>
        </w:rPr>
        <w:t>31,</w:t>
      </w:r>
      <w:r>
        <w:rPr>
          <w:color w:val="231F20"/>
          <w:spacing w:val="-14"/>
        </w:rPr>
        <w:t> </w:t>
      </w:r>
      <w:r>
        <w:rPr>
          <w:color w:val="231F20"/>
        </w:rPr>
        <w:t>2011 (File</w:t>
      </w:r>
      <w:r>
        <w:rPr>
          <w:color w:val="231F20"/>
          <w:spacing w:val="-14"/>
        </w:rPr>
        <w:t> </w:t>
      </w:r>
      <w:r>
        <w:rPr>
          <w:color w:val="231F20"/>
        </w:rPr>
        <w:t>No.</w:t>
      </w:r>
      <w:r>
        <w:rPr>
          <w:color w:val="231F20"/>
          <w:spacing w:val="-14"/>
        </w:rPr>
        <w:t> </w:t>
      </w:r>
      <w:r>
        <w:rPr>
          <w:color w:val="231F20"/>
        </w:rPr>
        <w:t>1-7259));</w:t>
      </w:r>
      <w:r>
        <w:rPr>
          <w:color w:val="231F20"/>
          <w:spacing w:val="-14"/>
        </w:rPr>
        <w:t> </w:t>
      </w:r>
      <w:r>
        <w:rPr>
          <w:color w:val="231F20"/>
        </w:rPr>
        <w:t>Supplemental</w:t>
      </w:r>
      <w:r>
        <w:rPr>
          <w:color w:val="231F20"/>
          <w:spacing w:val="-14"/>
        </w:rPr>
        <w:t> </w:t>
      </w:r>
      <w:r>
        <w:rPr>
          <w:color w:val="231F20"/>
        </w:rPr>
        <w:t>Agreement</w:t>
      </w:r>
      <w:r>
        <w:rPr>
          <w:color w:val="231F20"/>
          <w:spacing w:val="-14"/>
        </w:rPr>
        <w:t> </w:t>
      </w:r>
      <w:r>
        <w:rPr>
          <w:color w:val="231F20"/>
        </w:rPr>
        <w:t>No.</w:t>
      </w:r>
      <w:r>
        <w:rPr>
          <w:color w:val="231F20"/>
          <w:spacing w:val="-14"/>
        </w:rPr>
        <w:t> </w:t>
      </w:r>
      <w:r>
        <w:rPr>
          <w:color w:val="231F20"/>
        </w:rPr>
        <w:t>73</w:t>
      </w:r>
      <w:r>
        <w:rPr>
          <w:color w:val="231F20"/>
          <w:spacing w:val="-14"/>
        </w:rPr>
        <w:t> </w:t>
      </w:r>
      <w:r>
        <w:rPr>
          <w:color w:val="231F20"/>
        </w:rPr>
        <w:t>(incorporated</w:t>
      </w:r>
      <w:r>
        <w:rPr>
          <w:color w:val="231F20"/>
          <w:spacing w:val="-14"/>
        </w:rPr>
        <w:t> </w:t>
      </w:r>
      <w:r>
        <w:rPr>
          <w:color w:val="231F20"/>
        </w:rPr>
        <w:t>by</w:t>
      </w:r>
      <w:r>
        <w:rPr>
          <w:color w:val="231F20"/>
          <w:spacing w:val="-14"/>
        </w:rPr>
        <w:t> </w:t>
      </w:r>
      <w:r>
        <w:rPr>
          <w:color w:val="231F20"/>
        </w:rPr>
        <w:t>reference</w:t>
      </w:r>
      <w:r>
        <w:rPr>
          <w:color w:val="231F20"/>
          <w:spacing w:val="-14"/>
        </w:rPr>
        <w:t> </w:t>
      </w:r>
      <w:r>
        <w:rPr>
          <w:color w:val="231F20"/>
        </w:rPr>
        <w:t>to</w:t>
      </w:r>
      <w:r>
        <w:rPr>
          <w:color w:val="231F20"/>
          <w:spacing w:val="-14"/>
        </w:rPr>
        <w:t> </w:t>
      </w:r>
      <w:r>
        <w:rPr>
          <w:color w:val="231F20"/>
        </w:rPr>
        <w:t>Exhibit</w:t>
      </w:r>
      <w:r>
        <w:rPr>
          <w:color w:val="231F20"/>
          <w:spacing w:val="-14"/>
        </w:rPr>
        <w:t> </w:t>
      </w:r>
      <w:r>
        <w:rPr>
          <w:color w:val="231F20"/>
        </w:rPr>
        <w:t>10.1</w:t>
      </w:r>
      <w:r>
        <w:rPr>
          <w:color w:val="231F20"/>
          <w:spacing w:val="-14"/>
        </w:rPr>
        <w:t> </w:t>
      </w:r>
      <w:r>
        <w:rPr>
          <w:color w:val="231F20"/>
        </w:rPr>
        <w:t>to</w:t>
      </w:r>
      <w:r>
        <w:rPr>
          <w:color w:val="231F20"/>
          <w:spacing w:val="-14"/>
        </w:rPr>
        <w:t> </w:t>
      </w:r>
      <w:r>
        <w:rPr>
          <w:color w:val="231F20"/>
          <w:spacing w:val="-2"/>
        </w:rPr>
        <w:t>the </w:t>
      </w:r>
      <w:r>
        <w:rPr>
          <w:color w:val="231F20"/>
        </w:rPr>
        <w:t>Company’s</w:t>
      </w:r>
      <w:r>
        <w:rPr>
          <w:color w:val="231F20"/>
          <w:spacing w:val="-12"/>
        </w:rPr>
        <w:t> </w:t>
      </w:r>
      <w:r>
        <w:rPr>
          <w:color w:val="231F20"/>
        </w:rPr>
        <w:t>Quarterly</w:t>
      </w:r>
      <w:r>
        <w:rPr>
          <w:color w:val="231F20"/>
          <w:spacing w:val="-12"/>
        </w:rPr>
        <w:t> </w:t>
      </w:r>
      <w:r>
        <w:rPr>
          <w:color w:val="231F20"/>
        </w:rPr>
        <w:t>Report</w:t>
      </w:r>
      <w:r>
        <w:rPr>
          <w:color w:val="231F20"/>
          <w:spacing w:val="-12"/>
        </w:rPr>
        <w:t> </w:t>
      </w:r>
      <w:r>
        <w:rPr>
          <w:color w:val="231F20"/>
        </w:rPr>
        <w:t>on</w:t>
      </w:r>
      <w:r>
        <w:rPr>
          <w:color w:val="231F20"/>
          <w:spacing w:val="-12"/>
        </w:rPr>
        <w:t> </w:t>
      </w:r>
      <w:r>
        <w:rPr>
          <w:color w:val="231F20"/>
        </w:rPr>
        <w:t>Form</w:t>
      </w:r>
      <w:r>
        <w:rPr>
          <w:color w:val="231F20"/>
          <w:spacing w:val="-12"/>
        </w:rPr>
        <w:t> </w:t>
      </w:r>
      <w:r>
        <w:rPr>
          <w:color w:val="231F20"/>
        </w:rPr>
        <w:t>10-Q</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quarter</w:t>
      </w:r>
      <w:r>
        <w:rPr>
          <w:color w:val="231F20"/>
          <w:spacing w:val="-12"/>
        </w:rPr>
        <w:t> </w:t>
      </w:r>
      <w:r>
        <w:rPr>
          <w:color w:val="231F20"/>
        </w:rPr>
        <w:t>ended</w:t>
      </w:r>
      <w:r>
        <w:rPr>
          <w:color w:val="231F20"/>
          <w:spacing w:val="-12"/>
        </w:rPr>
        <w:t> </w:t>
      </w:r>
      <w:r>
        <w:rPr>
          <w:color w:val="231F20"/>
        </w:rPr>
        <w:t>June</w:t>
      </w:r>
      <w:r>
        <w:rPr>
          <w:color w:val="231F20"/>
          <w:spacing w:val="-12"/>
        </w:rPr>
        <w:t> </w:t>
      </w:r>
      <w:r>
        <w:rPr>
          <w:color w:val="231F20"/>
        </w:rPr>
        <w:t>30,</w:t>
      </w:r>
      <w:r>
        <w:rPr>
          <w:color w:val="231F20"/>
          <w:spacing w:val="-12"/>
        </w:rPr>
        <w:t> </w:t>
      </w:r>
      <w:r>
        <w:rPr>
          <w:color w:val="231F20"/>
        </w:rPr>
        <w:t>2011</w:t>
      </w:r>
      <w:r>
        <w:rPr>
          <w:color w:val="231F20"/>
          <w:spacing w:val="-12"/>
        </w:rPr>
        <w:t> </w:t>
      </w:r>
      <w:r>
        <w:rPr>
          <w:color w:val="231F20"/>
        </w:rPr>
        <w:t>(File</w:t>
      </w:r>
      <w:r>
        <w:rPr>
          <w:color w:val="231F20"/>
          <w:spacing w:val="-12"/>
        </w:rPr>
        <w:t> </w:t>
      </w:r>
      <w:r>
        <w:rPr>
          <w:color w:val="231F20"/>
        </w:rPr>
        <w:t>No.</w:t>
      </w:r>
      <w:r>
        <w:rPr>
          <w:color w:val="231F20"/>
          <w:spacing w:val="-12"/>
        </w:rPr>
        <w:t> </w:t>
      </w:r>
      <w:r>
        <w:rPr>
          <w:color w:val="231F20"/>
        </w:rPr>
        <w:t>1-7259)); Supplemental Agreement No. 74 (incorporated by reference to Exhibit 10.1 to the Company’s Quarterly Report on Form 10-Q for the quarter ended September 30, 2011 (File No. 1-7259)); Supplemental Agreement No. 75 (incorporated by reference to Exhibit 10.1(a) to the Company’s Annual Report on Form 10-K for the year ended December 31, 2011 (File No. 1-7259)); Supplemental Agreements Nos. 76 and 77 (incorporated by reference to Exhibits 10.1 and 10.2, respectively,</w:t>
      </w:r>
      <w:r>
        <w:rPr>
          <w:color w:val="231F20"/>
          <w:spacing w:val="-12"/>
        </w:rPr>
        <w:t> </w:t>
      </w:r>
      <w:r>
        <w:rPr>
          <w:color w:val="231F20"/>
        </w:rPr>
        <w:t>to</w:t>
      </w:r>
      <w:r>
        <w:rPr>
          <w:color w:val="231F20"/>
          <w:spacing w:val="-12"/>
        </w:rPr>
        <w:t> </w:t>
      </w:r>
      <w:r>
        <w:rPr>
          <w:color w:val="231F20"/>
        </w:rPr>
        <w:t>the</w:t>
      </w:r>
      <w:r>
        <w:rPr>
          <w:color w:val="231F20"/>
          <w:spacing w:val="-11"/>
        </w:rPr>
        <w:t> </w:t>
      </w:r>
      <w:r>
        <w:rPr>
          <w:color w:val="231F20"/>
        </w:rPr>
        <w:t>Company’s</w:t>
      </w:r>
      <w:r>
        <w:rPr>
          <w:color w:val="231F20"/>
          <w:spacing w:val="-11"/>
        </w:rPr>
        <w:t> </w:t>
      </w:r>
      <w:r>
        <w:rPr>
          <w:color w:val="231F20"/>
        </w:rPr>
        <w:t>Quarterly</w:t>
      </w:r>
      <w:r>
        <w:rPr>
          <w:color w:val="231F20"/>
          <w:spacing w:val="-12"/>
        </w:rPr>
        <w:t> </w:t>
      </w:r>
      <w:r>
        <w:rPr>
          <w:color w:val="231F20"/>
        </w:rPr>
        <w:t>Report</w:t>
      </w:r>
      <w:r>
        <w:rPr>
          <w:color w:val="231F20"/>
          <w:spacing w:val="-11"/>
        </w:rPr>
        <w:t> </w:t>
      </w:r>
      <w:r>
        <w:rPr>
          <w:color w:val="231F20"/>
        </w:rPr>
        <w:t>on</w:t>
      </w:r>
      <w:r>
        <w:rPr>
          <w:color w:val="231F20"/>
          <w:spacing w:val="-12"/>
        </w:rPr>
        <w:t> </w:t>
      </w:r>
      <w:r>
        <w:rPr>
          <w:color w:val="231F20"/>
        </w:rPr>
        <w:t>Form</w:t>
      </w:r>
      <w:r>
        <w:rPr>
          <w:color w:val="231F20"/>
          <w:spacing w:val="-11"/>
        </w:rPr>
        <w:t> </w:t>
      </w:r>
      <w:r>
        <w:rPr>
          <w:color w:val="231F20"/>
        </w:rPr>
        <w:t>10-Q</w:t>
      </w:r>
      <w:r>
        <w:rPr>
          <w:color w:val="231F20"/>
          <w:spacing w:val="-12"/>
        </w:rPr>
        <w:t> </w:t>
      </w:r>
      <w:r>
        <w:rPr>
          <w:color w:val="231F20"/>
        </w:rPr>
        <w:t>for</w:t>
      </w:r>
      <w:r>
        <w:rPr>
          <w:color w:val="231F20"/>
          <w:spacing w:val="-11"/>
        </w:rPr>
        <w:t> </w:t>
      </w:r>
      <w:r>
        <w:rPr>
          <w:color w:val="231F20"/>
        </w:rPr>
        <w:t>the</w:t>
      </w:r>
      <w:r>
        <w:rPr>
          <w:color w:val="231F20"/>
          <w:spacing w:val="-11"/>
        </w:rPr>
        <w:t> </w:t>
      </w:r>
      <w:r>
        <w:rPr>
          <w:color w:val="231F20"/>
        </w:rPr>
        <w:t>quarter</w:t>
      </w:r>
      <w:r>
        <w:rPr>
          <w:color w:val="231F20"/>
          <w:spacing w:val="-11"/>
        </w:rPr>
        <w:t> </w:t>
      </w:r>
      <w:r>
        <w:rPr>
          <w:color w:val="231F20"/>
        </w:rPr>
        <w:t>ended</w:t>
      </w:r>
      <w:r>
        <w:rPr>
          <w:color w:val="231F20"/>
          <w:spacing w:val="-12"/>
        </w:rPr>
        <w:t> </w:t>
      </w:r>
      <w:r>
        <w:rPr>
          <w:color w:val="231F20"/>
        </w:rPr>
        <w:t>June</w:t>
      </w:r>
      <w:r>
        <w:rPr>
          <w:color w:val="231F20"/>
          <w:spacing w:val="-11"/>
        </w:rPr>
        <w:t> </w:t>
      </w:r>
      <w:r>
        <w:rPr>
          <w:color w:val="231F20"/>
        </w:rPr>
        <w:t>30,</w:t>
      </w:r>
      <w:r>
        <w:rPr>
          <w:color w:val="231F20"/>
          <w:spacing w:val="-12"/>
        </w:rPr>
        <w:t> </w:t>
      </w:r>
      <w:r>
        <w:rPr>
          <w:color w:val="231F20"/>
        </w:rPr>
        <w:t>2012 (File</w:t>
      </w:r>
      <w:r>
        <w:rPr>
          <w:color w:val="231F20"/>
          <w:spacing w:val="-15"/>
        </w:rPr>
        <w:t> </w:t>
      </w:r>
      <w:r>
        <w:rPr>
          <w:color w:val="231F20"/>
        </w:rPr>
        <w:t>No.</w:t>
      </w:r>
      <w:r>
        <w:rPr>
          <w:color w:val="231F20"/>
          <w:spacing w:val="-16"/>
        </w:rPr>
        <w:t> </w:t>
      </w:r>
      <w:r>
        <w:rPr>
          <w:color w:val="231F20"/>
        </w:rPr>
        <w:t>1-7259));</w:t>
      </w:r>
      <w:r>
        <w:rPr>
          <w:color w:val="231F20"/>
          <w:spacing w:val="-15"/>
        </w:rPr>
        <w:t> </w:t>
      </w:r>
      <w:r>
        <w:rPr>
          <w:color w:val="231F20"/>
        </w:rPr>
        <w:t>Supplemental</w:t>
      </w:r>
      <w:r>
        <w:rPr>
          <w:color w:val="231F20"/>
          <w:spacing w:val="-15"/>
        </w:rPr>
        <w:t> </w:t>
      </w:r>
      <w:r>
        <w:rPr>
          <w:color w:val="231F20"/>
        </w:rPr>
        <w:t>Agreements</w:t>
      </w:r>
      <w:r>
        <w:rPr>
          <w:color w:val="231F20"/>
          <w:spacing w:val="-15"/>
        </w:rPr>
        <w:t> </w:t>
      </w:r>
      <w:r>
        <w:rPr>
          <w:color w:val="231F20"/>
        </w:rPr>
        <w:t>Nos.</w:t>
      </w:r>
      <w:r>
        <w:rPr>
          <w:color w:val="231F20"/>
          <w:spacing w:val="-16"/>
        </w:rPr>
        <w:t> </w:t>
      </w:r>
      <w:r>
        <w:rPr>
          <w:color w:val="231F20"/>
        </w:rPr>
        <w:t>78</w:t>
      </w:r>
      <w:r>
        <w:rPr>
          <w:color w:val="231F20"/>
          <w:spacing w:val="-16"/>
        </w:rPr>
        <w:t> </w:t>
      </w:r>
      <w:r>
        <w:rPr>
          <w:color w:val="231F20"/>
        </w:rPr>
        <w:t>and</w:t>
      </w:r>
      <w:r>
        <w:rPr>
          <w:color w:val="231F20"/>
          <w:spacing w:val="-16"/>
        </w:rPr>
        <w:t> </w:t>
      </w:r>
      <w:r>
        <w:rPr>
          <w:color w:val="231F20"/>
        </w:rPr>
        <w:t>79</w:t>
      </w:r>
      <w:r>
        <w:rPr>
          <w:color w:val="231F20"/>
          <w:spacing w:val="-16"/>
        </w:rPr>
        <w:t> </w:t>
      </w:r>
      <w:r>
        <w:rPr>
          <w:color w:val="231F20"/>
        </w:rPr>
        <w:t>(incorporated</w:t>
      </w:r>
      <w:r>
        <w:rPr>
          <w:color w:val="231F20"/>
          <w:spacing w:val="-16"/>
        </w:rPr>
        <w:t> </w:t>
      </w:r>
      <w:r>
        <w:rPr>
          <w:color w:val="231F20"/>
        </w:rPr>
        <w:t>by</w:t>
      </w:r>
      <w:r>
        <w:rPr>
          <w:color w:val="231F20"/>
          <w:spacing w:val="-16"/>
        </w:rPr>
        <w:t> </w:t>
      </w:r>
      <w:r>
        <w:rPr>
          <w:color w:val="231F20"/>
        </w:rPr>
        <w:t>reference</w:t>
      </w:r>
      <w:r>
        <w:rPr>
          <w:color w:val="231F20"/>
          <w:spacing w:val="-15"/>
        </w:rPr>
        <w:t> </w:t>
      </w:r>
      <w:r>
        <w:rPr>
          <w:color w:val="231F20"/>
        </w:rPr>
        <w:t>to</w:t>
      </w:r>
      <w:r>
        <w:rPr>
          <w:color w:val="231F20"/>
          <w:spacing w:val="-16"/>
        </w:rPr>
        <w:t> </w:t>
      </w:r>
      <w:r>
        <w:rPr>
          <w:color w:val="231F20"/>
        </w:rPr>
        <w:t>Exhibits</w:t>
      </w:r>
    </w:p>
    <w:p>
      <w:pPr>
        <w:pStyle w:val="ListParagraph"/>
        <w:numPr>
          <w:ilvl w:val="1"/>
          <w:numId w:val="24"/>
        </w:numPr>
        <w:tabs>
          <w:tab w:pos="1640" w:val="left" w:leader="none"/>
        </w:tabs>
        <w:spacing w:line="249" w:lineRule="auto" w:before="0" w:after="0"/>
        <w:ind w:left="1249" w:right="220" w:firstLine="0"/>
        <w:jc w:val="left"/>
        <w:rPr>
          <w:sz w:val="20"/>
        </w:rPr>
      </w:pPr>
      <w:r>
        <w:rPr>
          <w:color w:val="231F20"/>
          <w:sz w:val="20"/>
        </w:rPr>
        <w:t>and</w:t>
      </w:r>
      <w:r>
        <w:rPr>
          <w:color w:val="231F20"/>
          <w:spacing w:val="-14"/>
          <w:sz w:val="20"/>
        </w:rPr>
        <w:t> </w:t>
      </w:r>
      <w:r>
        <w:rPr>
          <w:color w:val="231F20"/>
          <w:sz w:val="20"/>
        </w:rPr>
        <w:t>10.2,</w:t>
      </w:r>
      <w:r>
        <w:rPr>
          <w:color w:val="231F20"/>
          <w:spacing w:val="-14"/>
          <w:sz w:val="20"/>
        </w:rPr>
        <w:t> </w:t>
      </w:r>
      <w:r>
        <w:rPr>
          <w:color w:val="231F20"/>
          <w:sz w:val="20"/>
        </w:rPr>
        <w:t>respectively,</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z w:val="20"/>
        </w:rPr>
        <w:t>Quarterly</w:t>
      </w:r>
      <w:r>
        <w:rPr>
          <w:color w:val="231F20"/>
          <w:spacing w:val="-14"/>
          <w:sz w:val="20"/>
        </w:rPr>
        <w:t> </w:t>
      </w:r>
      <w:r>
        <w:rPr>
          <w:color w:val="231F20"/>
          <w:sz w:val="20"/>
        </w:rPr>
        <w:t>Report</w:t>
      </w:r>
      <w:r>
        <w:rPr>
          <w:color w:val="231F20"/>
          <w:spacing w:val="-13"/>
          <w:sz w:val="20"/>
        </w:rPr>
        <w:t> </w:t>
      </w:r>
      <w:r>
        <w:rPr>
          <w:color w:val="231F20"/>
          <w:sz w:val="20"/>
        </w:rPr>
        <w:t>on</w:t>
      </w:r>
      <w:r>
        <w:rPr>
          <w:color w:val="231F20"/>
          <w:spacing w:val="-14"/>
          <w:sz w:val="20"/>
        </w:rPr>
        <w:t> </w:t>
      </w:r>
      <w:r>
        <w:rPr>
          <w:color w:val="231F20"/>
          <w:sz w:val="20"/>
        </w:rPr>
        <w:t>Form</w:t>
      </w:r>
      <w:r>
        <w:rPr>
          <w:color w:val="231F20"/>
          <w:spacing w:val="-13"/>
          <w:sz w:val="20"/>
        </w:rPr>
        <w:t> </w:t>
      </w:r>
      <w:r>
        <w:rPr>
          <w:color w:val="231F20"/>
          <w:sz w:val="20"/>
        </w:rPr>
        <w:t>10-Q</w:t>
      </w:r>
      <w:r>
        <w:rPr>
          <w:color w:val="231F20"/>
          <w:spacing w:val="-14"/>
          <w:sz w:val="20"/>
        </w:rPr>
        <w:t> </w:t>
      </w:r>
      <w:r>
        <w:rPr>
          <w:color w:val="231F20"/>
          <w:sz w:val="20"/>
        </w:rPr>
        <w:t>for</w:t>
      </w:r>
      <w:r>
        <w:rPr>
          <w:color w:val="231F20"/>
          <w:spacing w:val="-13"/>
          <w:sz w:val="20"/>
        </w:rPr>
        <w:t> </w:t>
      </w:r>
      <w:r>
        <w:rPr>
          <w:color w:val="231F20"/>
          <w:sz w:val="20"/>
        </w:rPr>
        <w:t>the</w:t>
      </w:r>
      <w:r>
        <w:rPr>
          <w:color w:val="231F20"/>
          <w:spacing w:val="-13"/>
          <w:sz w:val="20"/>
        </w:rPr>
        <w:t> </w:t>
      </w:r>
      <w:r>
        <w:rPr>
          <w:color w:val="231F20"/>
          <w:sz w:val="20"/>
        </w:rPr>
        <w:t>quarter</w:t>
      </w:r>
      <w:r>
        <w:rPr>
          <w:color w:val="231F20"/>
          <w:spacing w:val="-13"/>
          <w:sz w:val="20"/>
        </w:rPr>
        <w:t> </w:t>
      </w:r>
      <w:r>
        <w:rPr>
          <w:color w:val="231F20"/>
          <w:sz w:val="20"/>
        </w:rPr>
        <w:t>ended September</w:t>
      </w:r>
      <w:r>
        <w:rPr>
          <w:color w:val="231F20"/>
          <w:spacing w:val="-14"/>
          <w:sz w:val="20"/>
        </w:rPr>
        <w:t> </w:t>
      </w:r>
      <w:r>
        <w:rPr>
          <w:color w:val="231F20"/>
          <w:sz w:val="20"/>
        </w:rPr>
        <w:t>30,</w:t>
      </w:r>
      <w:r>
        <w:rPr>
          <w:color w:val="231F20"/>
          <w:spacing w:val="-15"/>
          <w:sz w:val="20"/>
        </w:rPr>
        <w:t> </w:t>
      </w:r>
      <w:r>
        <w:rPr>
          <w:color w:val="231F20"/>
          <w:sz w:val="20"/>
        </w:rPr>
        <w:t>2012</w:t>
      </w:r>
      <w:r>
        <w:rPr>
          <w:color w:val="231F20"/>
          <w:spacing w:val="-15"/>
          <w:sz w:val="20"/>
        </w:rPr>
        <w:t> </w:t>
      </w:r>
      <w:r>
        <w:rPr>
          <w:color w:val="231F20"/>
          <w:sz w:val="20"/>
        </w:rPr>
        <w:t>(File</w:t>
      </w:r>
      <w:r>
        <w:rPr>
          <w:color w:val="231F20"/>
          <w:spacing w:val="-14"/>
          <w:sz w:val="20"/>
        </w:rPr>
        <w:t> </w:t>
      </w:r>
      <w:r>
        <w:rPr>
          <w:color w:val="231F20"/>
          <w:sz w:val="20"/>
        </w:rPr>
        <w:t>No.</w:t>
      </w:r>
      <w:r>
        <w:rPr>
          <w:color w:val="231F20"/>
          <w:spacing w:val="-15"/>
          <w:sz w:val="20"/>
        </w:rPr>
        <w:t> </w:t>
      </w:r>
      <w:r>
        <w:rPr>
          <w:color w:val="231F20"/>
          <w:sz w:val="20"/>
        </w:rPr>
        <w:t>1-7259));</w:t>
      </w:r>
      <w:r>
        <w:rPr>
          <w:color w:val="231F20"/>
          <w:spacing w:val="-14"/>
          <w:sz w:val="20"/>
        </w:rPr>
        <w:t> </w:t>
      </w:r>
      <w:r>
        <w:rPr>
          <w:color w:val="231F20"/>
          <w:sz w:val="20"/>
        </w:rPr>
        <w:t>Supplemental</w:t>
      </w:r>
      <w:r>
        <w:rPr>
          <w:color w:val="231F20"/>
          <w:spacing w:val="-14"/>
          <w:sz w:val="20"/>
        </w:rPr>
        <w:t> </w:t>
      </w:r>
      <w:r>
        <w:rPr>
          <w:color w:val="231F20"/>
          <w:sz w:val="20"/>
        </w:rPr>
        <w:t>Agreements</w:t>
      </w:r>
      <w:r>
        <w:rPr>
          <w:color w:val="231F20"/>
          <w:spacing w:val="-14"/>
          <w:sz w:val="20"/>
        </w:rPr>
        <w:t> </w:t>
      </w:r>
      <w:r>
        <w:rPr>
          <w:color w:val="231F20"/>
          <w:sz w:val="20"/>
        </w:rPr>
        <w:t>Nos.</w:t>
      </w:r>
      <w:r>
        <w:rPr>
          <w:color w:val="231F20"/>
          <w:spacing w:val="-15"/>
          <w:sz w:val="20"/>
        </w:rPr>
        <w:t> </w:t>
      </w:r>
      <w:r>
        <w:rPr>
          <w:color w:val="231F20"/>
          <w:sz w:val="20"/>
        </w:rPr>
        <w:t>80</w:t>
      </w:r>
      <w:r>
        <w:rPr>
          <w:color w:val="231F20"/>
          <w:spacing w:val="-15"/>
          <w:sz w:val="20"/>
        </w:rPr>
        <w:t> </w:t>
      </w:r>
      <w:r>
        <w:rPr>
          <w:color w:val="231F20"/>
          <w:sz w:val="20"/>
        </w:rPr>
        <w:t>and</w:t>
      </w:r>
      <w:r>
        <w:rPr>
          <w:color w:val="231F20"/>
          <w:spacing w:val="-15"/>
          <w:sz w:val="20"/>
        </w:rPr>
        <w:t> </w:t>
      </w:r>
      <w:r>
        <w:rPr>
          <w:color w:val="231F20"/>
          <w:sz w:val="20"/>
        </w:rPr>
        <w:t>81</w:t>
      </w:r>
      <w:r>
        <w:rPr>
          <w:color w:val="231F20"/>
          <w:spacing w:val="-15"/>
          <w:sz w:val="20"/>
        </w:rPr>
        <w:t> </w:t>
      </w:r>
      <w:r>
        <w:rPr>
          <w:color w:val="231F20"/>
          <w:sz w:val="20"/>
        </w:rPr>
        <w:t>(incorporated</w:t>
      </w:r>
      <w:r>
        <w:rPr>
          <w:color w:val="231F20"/>
          <w:spacing w:val="-15"/>
          <w:sz w:val="20"/>
        </w:rPr>
        <w:t> </w:t>
      </w:r>
      <w:r>
        <w:rPr>
          <w:color w:val="231F20"/>
          <w:sz w:val="20"/>
        </w:rPr>
        <w:t>by reference</w:t>
      </w:r>
      <w:r>
        <w:rPr>
          <w:color w:val="231F20"/>
          <w:spacing w:val="-14"/>
          <w:sz w:val="20"/>
        </w:rPr>
        <w:t> </w:t>
      </w:r>
      <w:r>
        <w:rPr>
          <w:color w:val="231F20"/>
          <w:sz w:val="20"/>
        </w:rPr>
        <w:t>to</w:t>
      </w:r>
      <w:r>
        <w:rPr>
          <w:color w:val="231F20"/>
          <w:spacing w:val="-14"/>
          <w:sz w:val="20"/>
        </w:rPr>
        <w:t> </w:t>
      </w:r>
      <w:r>
        <w:rPr>
          <w:color w:val="231F20"/>
          <w:sz w:val="20"/>
        </w:rPr>
        <w:t>Exhibits</w:t>
      </w:r>
      <w:r>
        <w:rPr>
          <w:color w:val="231F20"/>
          <w:spacing w:val="-14"/>
          <w:sz w:val="20"/>
        </w:rPr>
        <w:t> </w:t>
      </w:r>
      <w:r>
        <w:rPr>
          <w:color w:val="231F20"/>
          <w:sz w:val="20"/>
        </w:rPr>
        <w:t>10.1</w:t>
      </w:r>
      <w:r>
        <w:rPr>
          <w:color w:val="231F20"/>
          <w:spacing w:val="-14"/>
          <w:sz w:val="20"/>
        </w:rPr>
        <w:t> </w:t>
      </w:r>
      <w:r>
        <w:rPr>
          <w:color w:val="231F20"/>
          <w:sz w:val="20"/>
        </w:rPr>
        <w:t>and</w:t>
      </w:r>
      <w:r>
        <w:rPr>
          <w:color w:val="231F20"/>
          <w:spacing w:val="-14"/>
          <w:sz w:val="20"/>
        </w:rPr>
        <w:t> </w:t>
      </w:r>
      <w:r>
        <w:rPr>
          <w:color w:val="231F20"/>
          <w:sz w:val="20"/>
        </w:rPr>
        <w:t>10.2,</w:t>
      </w:r>
      <w:r>
        <w:rPr>
          <w:color w:val="231F20"/>
          <w:spacing w:val="-14"/>
          <w:sz w:val="20"/>
        </w:rPr>
        <w:t> </w:t>
      </w:r>
      <w:r>
        <w:rPr>
          <w:color w:val="231F20"/>
          <w:sz w:val="20"/>
        </w:rPr>
        <w:t>respectively,</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z w:val="20"/>
        </w:rPr>
        <w:t>Quarterly</w:t>
      </w:r>
      <w:r>
        <w:rPr>
          <w:color w:val="231F20"/>
          <w:spacing w:val="-14"/>
          <w:sz w:val="20"/>
        </w:rPr>
        <w:t> </w:t>
      </w:r>
      <w:r>
        <w:rPr>
          <w:color w:val="231F20"/>
          <w:sz w:val="20"/>
        </w:rPr>
        <w:t>Report</w:t>
      </w:r>
      <w:r>
        <w:rPr>
          <w:color w:val="231F20"/>
          <w:spacing w:val="-14"/>
          <w:sz w:val="20"/>
        </w:rPr>
        <w:t> </w:t>
      </w:r>
      <w:r>
        <w:rPr>
          <w:color w:val="231F20"/>
          <w:sz w:val="20"/>
        </w:rPr>
        <w:t>on</w:t>
      </w:r>
      <w:r>
        <w:rPr>
          <w:color w:val="231F20"/>
          <w:spacing w:val="-14"/>
          <w:sz w:val="20"/>
        </w:rPr>
        <w:t> </w:t>
      </w:r>
      <w:r>
        <w:rPr>
          <w:color w:val="231F20"/>
          <w:sz w:val="20"/>
        </w:rPr>
        <w:t>Form</w:t>
      </w:r>
      <w:r>
        <w:rPr>
          <w:color w:val="231F20"/>
          <w:spacing w:val="-14"/>
          <w:sz w:val="20"/>
        </w:rPr>
        <w:t> </w:t>
      </w:r>
      <w:r>
        <w:rPr>
          <w:color w:val="231F20"/>
          <w:sz w:val="20"/>
        </w:rPr>
        <w:t>10-Q for</w:t>
      </w:r>
      <w:r>
        <w:rPr>
          <w:color w:val="231F20"/>
          <w:spacing w:val="-13"/>
          <w:sz w:val="20"/>
        </w:rPr>
        <w:t> </w:t>
      </w:r>
      <w:r>
        <w:rPr>
          <w:color w:val="231F20"/>
          <w:sz w:val="20"/>
        </w:rPr>
        <w:t>the</w:t>
      </w:r>
      <w:r>
        <w:rPr>
          <w:color w:val="231F20"/>
          <w:spacing w:val="-13"/>
          <w:sz w:val="20"/>
        </w:rPr>
        <w:t> </w:t>
      </w:r>
      <w:r>
        <w:rPr>
          <w:color w:val="231F20"/>
          <w:sz w:val="20"/>
        </w:rPr>
        <w:t>quarter</w:t>
      </w:r>
      <w:r>
        <w:rPr>
          <w:color w:val="231F20"/>
          <w:spacing w:val="-13"/>
          <w:sz w:val="20"/>
        </w:rPr>
        <w:t> </w:t>
      </w:r>
      <w:r>
        <w:rPr>
          <w:color w:val="231F20"/>
          <w:sz w:val="20"/>
        </w:rPr>
        <w:t>ended</w:t>
      </w:r>
      <w:r>
        <w:rPr>
          <w:color w:val="231F20"/>
          <w:spacing w:val="-13"/>
          <w:sz w:val="20"/>
        </w:rPr>
        <w:t> </w:t>
      </w:r>
      <w:r>
        <w:rPr>
          <w:color w:val="231F20"/>
          <w:sz w:val="20"/>
        </w:rPr>
        <w:t>March</w:t>
      </w:r>
      <w:r>
        <w:rPr>
          <w:color w:val="231F20"/>
          <w:spacing w:val="-13"/>
          <w:sz w:val="20"/>
        </w:rPr>
        <w:t> </w:t>
      </w:r>
      <w:r>
        <w:rPr>
          <w:color w:val="231F20"/>
          <w:sz w:val="20"/>
        </w:rPr>
        <w:t>31,</w:t>
      </w:r>
      <w:r>
        <w:rPr>
          <w:color w:val="231F20"/>
          <w:spacing w:val="-13"/>
          <w:sz w:val="20"/>
        </w:rPr>
        <w:t> </w:t>
      </w:r>
      <w:r>
        <w:rPr>
          <w:color w:val="231F20"/>
          <w:sz w:val="20"/>
        </w:rPr>
        <w:t>2013</w:t>
      </w:r>
      <w:r>
        <w:rPr>
          <w:color w:val="231F20"/>
          <w:spacing w:val="-13"/>
          <w:sz w:val="20"/>
        </w:rPr>
        <w:t> </w:t>
      </w:r>
      <w:r>
        <w:rPr>
          <w:color w:val="231F20"/>
          <w:sz w:val="20"/>
        </w:rPr>
        <w:t>(File</w:t>
      </w:r>
      <w:r>
        <w:rPr>
          <w:color w:val="231F20"/>
          <w:spacing w:val="-13"/>
          <w:sz w:val="20"/>
        </w:rPr>
        <w:t> </w:t>
      </w:r>
      <w:r>
        <w:rPr>
          <w:color w:val="231F20"/>
          <w:sz w:val="20"/>
        </w:rPr>
        <w:t>No.</w:t>
      </w:r>
      <w:r>
        <w:rPr>
          <w:color w:val="231F20"/>
          <w:spacing w:val="-13"/>
          <w:sz w:val="20"/>
        </w:rPr>
        <w:t> </w:t>
      </w:r>
      <w:r>
        <w:rPr>
          <w:color w:val="231F20"/>
          <w:sz w:val="20"/>
        </w:rPr>
        <w:t>1-7259));</w:t>
      </w:r>
      <w:r>
        <w:rPr>
          <w:color w:val="231F20"/>
          <w:spacing w:val="-13"/>
          <w:sz w:val="20"/>
        </w:rPr>
        <w:t> </w:t>
      </w:r>
      <w:r>
        <w:rPr>
          <w:color w:val="231F20"/>
          <w:sz w:val="20"/>
        </w:rPr>
        <w:t>Supplemental</w:t>
      </w:r>
      <w:r>
        <w:rPr>
          <w:color w:val="231F20"/>
          <w:spacing w:val="-13"/>
          <w:sz w:val="20"/>
        </w:rPr>
        <w:t> </w:t>
      </w:r>
      <w:r>
        <w:rPr>
          <w:color w:val="231F20"/>
          <w:sz w:val="20"/>
        </w:rPr>
        <w:t>Agreements</w:t>
      </w:r>
      <w:r>
        <w:rPr>
          <w:color w:val="231F20"/>
          <w:spacing w:val="-13"/>
          <w:sz w:val="20"/>
        </w:rPr>
        <w:t> </w:t>
      </w:r>
      <w:r>
        <w:rPr>
          <w:color w:val="231F20"/>
          <w:sz w:val="20"/>
        </w:rPr>
        <w:t>Nos.</w:t>
      </w:r>
      <w:r>
        <w:rPr>
          <w:color w:val="231F20"/>
          <w:spacing w:val="-13"/>
          <w:sz w:val="20"/>
        </w:rPr>
        <w:t> </w:t>
      </w:r>
      <w:r>
        <w:rPr>
          <w:color w:val="231F20"/>
          <w:sz w:val="20"/>
        </w:rPr>
        <w:t>82</w:t>
      </w:r>
      <w:r>
        <w:rPr>
          <w:color w:val="231F20"/>
          <w:spacing w:val="-13"/>
          <w:sz w:val="20"/>
        </w:rPr>
        <w:t> </w:t>
      </w:r>
      <w:r>
        <w:rPr>
          <w:color w:val="231F20"/>
          <w:sz w:val="20"/>
        </w:rPr>
        <w:t>and</w:t>
      </w:r>
      <w:r>
        <w:rPr>
          <w:color w:val="231F20"/>
          <w:spacing w:val="-13"/>
          <w:sz w:val="20"/>
        </w:rPr>
        <w:t> </w:t>
      </w:r>
      <w:r>
        <w:rPr>
          <w:color w:val="231F20"/>
          <w:sz w:val="20"/>
        </w:rPr>
        <w:t>83 (incorporated by reference to Exhibits 10.1 and 10.2, respectively, to the Company’s Quarterly Report on Form 10-Q for the quarter ended June 30, 2013 (File No. 1-7259)); </w:t>
      </w:r>
      <w:r>
        <w:rPr>
          <w:color w:val="231F20"/>
          <w:spacing w:val="-2"/>
          <w:sz w:val="20"/>
        </w:rPr>
        <w:t>Supplemental </w:t>
      </w:r>
      <w:r>
        <w:rPr>
          <w:color w:val="231F20"/>
          <w:sz w:val="20"/>
        </w:rPr>
        <w:t>Agreement</w:t>
      </w:r>
      <w:r>
        <w:rPr>
          <w:color w:val="231F20"/>
          <w:spacing w:val="-14"/>
          <w:sz w:val="20"/>
        </w:rPr>
        <w:t> </w:t>
      </w:r>
      <w:r>
        <w:rPr>
          <w:color w:val="231F20"/>
          <w:sz w:val="20"/>
        </w:rPr>
        <w:t>No.</w:t>
      </w:r>
      <w:r>
        <w:rPr>
          <w:color w:val="231F20"/>
          <w:spacing w:val="-15"/>
          <w:sz w:val="20"/>
        </w:rPr>
        <w:t> </w:t>
      </w:r>
      <w:r>
        <w:rPr>
          <w:color w:val="231F20"/>
          <w:sz w:val="20"/>
        </w:rPr>
        <w:t>84</w:t>
      </w:r>
      <w:r>
        <w:rPr>
          <w:color w:val="231F20"/>
          <w:spacing w:val="-15"/>
          <w:sz w:val="20"/>
        </w:rPr>
        <w:t> </w:t>
      </w:r>
      <w:r>
        <w:rPr>
          <w:color w:val="231F20"/>
          <w:sz w:val="20"/>
        </w:rPr>
        <w:t>(incorporated</w:t>
      </w:r>
      <w:r>
        <w:rPr>
          <w:color w:val="231F20"/>
          <w:spacing w:val="-15"/>
          <w:sz w:val="20"/>
        </w:rPr>
        <w:t> </w:t>
      </w:r>
      <w:r>
        <w:rPr>
          <w:color w:val="231F20"/>
          <w:sz w:val="20"/>
        </w:rPr>
        <w:t>by</w:t>
      </w:r>
      <w:r>
        <w:rPr>
          <w:color w:val="231F20"/>
          <w:spacing w:val="-15"/>
          <w:sz w:val="20"/>
        </w:rPr>
        <w:t> </w:t>
      </w:r>
      <w:r>
        <w:rPr>
          <w:color w:val="231F20"/>
          <w:sz w:val="20"/>
        </w:rPr>
        <w:t>reference</w:t>
      </w:r>
      <w:r>
        <w:rPr>
          <w:color w:val="231F20"/>
          <w:spacing w:val="-14"/>
          <w:sz w:val="20"/>
        </w:rPr>
        <w:t> </w:t>
      </w:r>
      <w:r>
        <w:rPr>
          <w:color w:val="231F20"/>
          <w:sz w:val="20"/>
        </w:rPr>
        <w:t>to</w:t>
      </w:r>
      <w:r>
        <w:rPr>
          <w:color w:val="231F20"/>
          <w:spacing w:val="-15"/>
          <w:sz w:val="20"/>
        </w:rPr>
        <w:t> </w:t>
      </w:r>
      <w:r>
        <w:rPr>
          <w:color w:val="231F20"/>
          <w:sz w:val="20"/>
        </w:rPr>
        <w:t>Exhibit</w:t>
      </w:r>
      <w:r>
        <w:rPr>
          <w:color w:val="231F20"/>
          <w:spacing w:val="-14"/>
          <w:sz w:val="20"/>
        </w:rPr>
        <w:t> </w:t>
      </w:r>
      <w:r>
        <w:rPr>
          <w:color w:val="231F20"/>
          <w:sz w:val="20"/>
        </w:rPr>
        <w:t>10.1</w:t>
      </w:r>
      <w:r>
        <w:rPr>
          <w:color w:val="231F20"/>
          <w:spacing w:val="-15"/>
          <w:sz w:val="20"/>
        </w:rPr>
        <w:t> </w:t>
      </w:r>
      <w:r>
        <w:rPr>
          <w:color w:val="231F20"/>
          <w:sz w:val="20"/>
        </w:rPr>
        <w:t>to</w:t>
      </w:r>
      <w:r>
        <w:rPr>
          <w:color w:val="231F20"/>
          <w:spacing w:val="-15"/>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z w:val="20"/>
        </w:rPr>
        <w:t>Quarterly</w:t>
      </w:r>
      <w:r>
        <w:rPr>
          <w:color w:val="231F20"/>
          <w:spacing w:val="-15"/>
          <w:sz w:val="20"/>
        </w:rPr>
        <w:t> </w:t>
      </w:r>
      <w:r>
        <w:rPr>
          <w:color w:val="231F20"/>
          <w:sz w:val="20"/>
        </w:rPr>
        <w:t>Report</w:t>
      </w:r>
      <w:r>
        <w:rPr>
          <w:color w:val="231F20"/>
          <w:spacing w:val="-14"/>
          <w:sz w:val="20"/>
        </w:rPr>
        <w:t> </w:t>
      </w:r>
      <w:r>
        <w:rPr>
          <w:color w:val="231F20"/>
          <w:sz w:val="20"/>
        </w:rPr>
        <w:t>on Form</w:t>
      </w:r>
      <w:r>
        <w:rPr>
          <w:color w:val="231F20"/>
          <w:spacing w:val="-12"/>
          <w:sz w:val="20"/>
        </w:rPr>
        <w:t> </w:t>
      </w:r>
      <w:r>
        <w:rPr>
          <w:color w:val="231F20"/>
          <w:sz w:val="20"/>
        </w:rPr>
        <w:t>10-Q</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quarter</w:t>
      </w:r>
      <w:r>
        <w:rPr>
          <w:color w:val="231F20"/>
          <w:spacing w:val="-12"/>
          <w:sz w:val="20"/>
        </w:rPr>
        <w:t> </w:t>
      </w:r>
      <w:r>
        <w:rPr>
          <w:color w:val="231F20"/>
          <w:sz w:val="20"/>
        </w:rPr>
        <w:t>ended</w:t>
      </w:r>
      <w:r>
        <w:rPr>
          <w:color w:val="231F20"/>
          <w:spacing w:val="-13"/>
          <w:sz w:val="20"/>
        </w:rPr>
        <w:t> </w:t>
      </w:r>
      <w:r>
        <w:rPr>
          <w:color w:val="231F20"/>
          <w:sz w:val="20"/>
        </w:rPr>
        <w:t>September</w:t>
      </w:r>
      <w:r>
        <w:rPr>
          <w:color w:val="231F20"/>
          <w:spacing w:val="-12"/>
          <w:sz w:val="20"/>
        </w:rPr>
        <w:t> </w:t>
      </w:r>
      <w:r>
        <w:rPr>
          <w:color w:val="231F20"/>
          <w:sz w:val="20"/>
        </w:rPr>
        <w:t>30,</w:t>
      </w:r>
      <w:r>
        <w:rPr>
          <w:color w:val="231F20"/>
          <w:spacing w:val="-13"/>
          <w:sz w:val="20"/>
        </w:rPr>
        <w:t> </w:t>
      </w:r>
      <w:r>
        <w:rPr>
          <w:color w:val="231F20"/>
          <w:sz w:val="20"/>
        </w:rPr>
        <w:t>2013</w:t>
      </w:r>
      <w:r>
        <w:rPr>
          <w:color w:val="231F20"/>
          <w:spacing w:val="-13"/>
          <w:sz w:val="20"/>
        </w:rPr>
        <w:t> </w:t>
      </w:r>
      <w:r>
        <w:rPr>
          <w:color w:val="231F20"/>
          <w:sz w:val="20"/>
        </w:rPr>
        <w:t>(File</w:t>
      </w:r>
      <w:r>
        <w:rPr>
          <w:color w:val="231F20"/>
          <w:spacing w:val="-12"/>
          <w:sz w:val="20"/>
        </w:rPr>
        <w:t> </w:t>
      </w:r>
      <w:r>
        <w:rPr>
          <w:color w:val="231F20"/>
          <w:sz w:val="20"/>
        </w:rPr>
        <w:t>No.</w:t>
      </w:r>
      <w:r>
        <w:rPr>
          <w:color w:val="231F20"/>
          <w:spacing w:val="-13"/>
          <w:sz w:val="20"/>
        </w:rPr>
        <w:t> </w:t>
      </w:r>
      <w:r>
        <w:rPr>
          <w:color w:val="231F20"/>
          <w:sz w:val="20"/>
        </w:rPr>
        <w:t>1-7259)).</w:t>
      </w:r>
      <w:r>
        <w:rPr>
          <w:color w:val="231F20"/>
          <w:spacing w:val="-13"/>
          <w:sz w:val="20"/>
        </w:rPr>
        <w:t> </w:t>
      </w:r>
      <w:r>
        <w:rPr>
          <w:color w:val="231F20"/>
          <w:spacing w:val="-2"/>
          <w:sz w:val="20"/>
        </w:rPr>
        <w:t>(1)</w:t>
      </w:r>
    </w:p>
    <w:p>
      <w:pPr>
        <w:pStyle w:val="BodyText"/>
        <w:tabs>
          <w:tab w:pos="1248" w:val="left" w:leader="none"/>
        </w:tabs>
        <w:spacing w:line="249" w:lineRule="auto" w:before="120"/>
        <w:ind w:left="1249" w:right="714" w:hanging="1149"/>
      </w:pPr>
      <w:r>
        <w:rPr>
          <w:color w:val="231F20"/>
        </w:rPr>
        <w:t>10.1(a)</w:t>
        <w:tab/>
        <w:t>Supplemental Agreement No. 85 to Purchase Agreement No. 1810, dated January</w:t>
      </w:r>
      <w:r>
        <w:rPr>
          <w:color w:val="231F20"/>
          <w:spacing w:val="4"/>
        </w:rPr>
        <w:t> </w:t>
      </w:r>
      <w:r>
        <w:rPr>
          <w:color w:val="231F20"/>
        </w:rPr>
        <w:t>19, 1994, between The Boeing Company and the Company. (1)</w:t>
      </w:r>
    </w:p>
    <w:p>
      <w:pPr>
        <w:pStyle w:val="ListParagraph"/>
        <w:numPr>
          <w:ilvl w:val="1"/>
          <w:numId w:val="24"/>
        </w:numPr>
        <w:tabs>
          <w:tab w:pos="1248" w:val="left" w:leader="none"/>
          <w:tab w:pos="1249" w:val="left" w:leader="none"/>
        </w:tabs>
        <w:spacing w:line="249" w:lineRule="auto" w:before="120" w:after="0"/>
        <w:ind w:left="1249" w:right="183" w:hanging="1149"/>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4"/>
        </w:numPr>
        <w:tabs>
          <w:tab w:pos="1248" w:val="left" w:leader="none"/>
          <w:tab w:pos="1249" w:val="left" w:leader="none"/>
        </w:tabs>
        <w:spacing w:line="240" w:lineRule="auto" w:before="120" w:after="0"/>
        <w:ind w:left="1249" w:right="0" w:hanging="1149"/>
        <w:jc w:val="left"/>
        <w:rPr>
          <w:sz w:val="20"/>
        </w:rPr>
      </w:pPr>
      <w:r>
        <w:rPr>
          <w:color w:val="231F20"/>
          <w:sz w:val="20"/>
        </w:rPr>
        <w:t>Southwest Airlines Co. 1996 Incentive Stock Option Plan (incorporated by reference</w:t>
      </w:r>
      <w:r>
        <w:rPr>
          <w:color w:val="231F20"/>
          <w:spacing w:val="5"/>
          <w:sz w:val="20"/>
        </w:rPr>
        <w:t> </w:t>
      </w:r>
      <w:r>
        <w:rPr>
          <w:color w:val="231F20"/>
          <w:sz w:val="20"/>
        </w:rPr>
        <w:t>to</w:t>
      </w:r>
    </w:p>
    <w:p>
      <w:pPr>
        <w:pStyle w:val="BodyText"/>
        <w:spacing w:line="249" w:lineRule="auto" w:before="9"/>
        <w:ind w:left="1249" w:right="391"/>
      </w:pPr>
      <w:r>
        <w:rPr>
          <w:color w:val="231F20"/>
        </w:rPr>
        <w:t>Exhibit 10.12 to the Company’s Annual Report on Form 10-K for the year ended December 31, 2002 (File No. 1-7259)). (2)</w:t>
      </w:r>
    </w:p>
    <w:p>
      <w:pPr>
        <w:pStyle w:val="ListParagraph"/>
        <w:numPr>
          <w:ilvl w:val="1"/>
          <w:numId w:val="24"/>
        </w:numPr>
        <w:tabs>
          <w:tab w:pos="1248" w:val="left" w:leader="none"/>
          <w:tab w:pos="1249" w:val="left" w:leader="none"/>
        </w:tabs>
        <w:spacing w:line="249" w:lineRule="auto" w:before="121" w:after="0"/>
        <w:ind w:left="1249" w:right="402" w:hanging="1149"/>
        <w:jc w:val="left"/>
        <w:rPr>
          <w:sz w:val="20"/>
        </w:rPr>
      </w:pPr>
      <w:r>
        <w:rPr>
          <w:color w:val="231F20"/>
          <w:sz w:val="20"/>
        </w:rPr>
        <w:t>Southwest Airlines Co. 1996 Non-Qualified Stock Option Plan (incorporated by reference to Exhibit 10.13 to the Company’s Annual Report on Form 10-K for the year ended December 31, 2002 (File No. 1-7259)).</w:t>
      </w:r>
      <w:r>
        <w:rPr>
          <w:color w:val="231F20"/>
          <w:spacing w:val="1"/>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295" w:hanging="1149"/>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544" w:hanging="1149"/>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2"/>
          <w:sz w:val="20"/>
        </w:rPr>
        <w:t> </w:t>
      </w:r>
      <w:r>
        <w:rPr>
          <w:color w:val="231F20"/>
          <w:sz w:val="20"/>
        </w:rPr>
        <w:t>1-7259)).</w:t>
      </w:r>
    </w:p>
    <w:p>
      <w:pPr>
        <w:pStyle w:val="ListParagraph"/>
        <w:numPr>
          <w:ilvl w:val="1"/>
          <w:numId w:val="24"/>
        </w:numPr>
        <w:tabs>
          <w:tab w:pos="1248" w:val="left" w:leader="none"/>
          <w:tab w:pos="1249" w:val="left" w:leader="none"/>
        </w:tabs>
        <w:spacing w:line="240" w:lineRule="auto" w:before="121" w:after="0"/>
        <w:ind w:left="1249" w:right="0" w:hanging="1149"/>
        <w:jc w:val="left"/>
        <w:rPr>
          <w:sz w:val="20"/>
        </w:rPr>
      </w:pPr>
      <w:r>
        <w:rPr>
          <w:color w:val="231F20"/>
          <w:sz w:val="20"/>
        </w:rPr>
        <w:t>Southwest Airlines Co. Outside Director Incentive Plan (as amended and restated</w:t>
      </w:r>
      <w:r>
        <w:rPr>
          <w:color w:val="231F20"/>
          <w:spacing w:val="5"/>
          <w:sz w:val="20"/>
        </w:rPr>
        <w:t> </w:t>
      </w:r>
      <w:r>
        <w:rPr>
          <w:color w:val="231F20"/>
          <w:sz w:val="20"/>
        </w:rPr>
        <w:t>effective</w:t>
      </w:r>
    </w:p>
    <w:p>
      <w:pPr>
        <w:pStyle w:val="BodyText"/>
        <w:spacing w:line="249" w:lineRule="auto" w:before="9"/>
        <w:ind w:left="1249" w:right="319"/>
      </w:pPr>
      <w:r>
        <w:rPr>
          <w:color w:val="231F20"/>
        </w:rPr>
        <w:t>May 16, 2007) (incorporated by reference to Exhibit 10.2 to the Company’s Quarterly Report on Form 10-Q for the quarter ended June 30, 2007 (File No. 1-7259)).</w:t>
      </w:r>
    </w:p>
    <w:p>
      <w:pPr>
        <w:pStyle w:val="ListParagraph"/>
        <w:numPr>
          <w:ilvl w:val="1"/>
          <w:numId w:val="24"/>
        </w:numPr>
        <w:tabs>
          <w:tab w:pos="1248" w:val="left" w:leader="none"/>
          <w:tab w:pos="1249" w:val="left" w:leader="none"/>
        </w:tabs>
        <w:spacing w:line="249" w:lineRule="auto" w:before="120" w:after="0"/>
        <w:ind w:left="1249" w:right="275" w:hanging="1149"/>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spacing w:after="0" w:line="249" w:lineRule="auto"/>
        <w:jc w:val="left"/>
        <w:rPr>
          <w:sz w:val="20"/>
        </w:rPr>
        <w:sectPr>
          <w:pgSz w:w="11880" w:h="15480"/>
          <w:pgMar w:header="0" w:footer="1253" w:top="1240" w:bottom="1440" w:left="1280" w:right="1280"/>
        </w:sectPr>
      </w:pPr>
    </w:p>
    <w:p>
      <w:pPr>
        <w:pStyle w:val="ListParagraph"/>
        <w:numPr>
          <w:ilvl w:val="1"/>
          <w:numId w:val="24"/>
        </w:numPr>
        <w:tabs>
          <w:tab w:pos="1248" w:val="left" w:leader="none"/>
          <w:tab w:pos="1249" w:val="left" w:leader="none"/>
        </w:tabs>
        <w:spacing w:line="249" w:lineRule="auto" w:before="73" w:after="0"/>
        <w:ind w:left="1249" w:right="572" w:hanging="1149"/>
        <w:jc w:val="left"/>
        <w:rPr>
          <w:sz w:val="20"/>
        </w:rPr>
      </w:pPr>
      <w:r>
        <w:rPr>
          <w:color w:val="231F20"/>
          <w:sz w:val="20"/>
        </w:rPr>
        <w:t>Southwest Airlines Co. 1999 SWAPIA Non-Qualified Stock Option Plan (incorporated by reference to Exhibit 10.18 to the Company’s Annual Report on Form 10-K for the year ended December 31, 2002 (File No.</w:t>
      </w:r>
      <w:r>
        <w:rPr>
          <w:color w:val="231F20"/>
          <w:spacing w:val="1"/>
          <w:sz w:val="20"/>
        </w:rPr>
        <w:t> </w:t>
      </w:r>
      <w:r>
        <w:rPr>
          <w:color w:val="231F20"/>
          <w:sz w:val="20"/>
        </w:rPr>
        <w:t>1-7259)).</w:t>
      </w:r>
    </w:p>
    <w:p>
      <w:pPr>
        <w:pStyle w:val="ListParagraph"/>
        <w:numPr>
          <w:ilvl w:val="1"/>
          <w:numId w:val="24"/>
        </w:numPr>
        <w:tabs>
          <w:tab w:pos="1248" w:val="left" w:leader="none"/>
          <w:tab w:pos="1249" w:val="left" w:leader="none"/>
        </w:tabs>
        <w:spacing w:line="249" w:lineRule="auto" w:before="121" w:after="0"/>
        <w:ind w:left="1249" w:right="178" w:hanging="1149"/>
        <w:jc w:val="left"/>
        <w:rPr>
          <w:sz w:val="20"/>
        </w:rPr>
      </w:pPr>
      <w:r>
        <w:rPr>
          <w:color w:val="231F20"/>
          <w:sz w:val="20"/>
        </w:rPr>
        <w:t>Southwest Airlines Co. LUV 2000 Non-Qualified Stock Option Plan (incorporated by reference to Exhibit 4.1 to the Company’s Registration Statement on Form S-8 filed January 12,</w:t>
      </w:r>
      <w:r>
        <w:rPr>
          <w:color w:val="231F20"/>
          <w:spacing w:val="7"/>
          <w:sz w:val="20"/>
        </w:rPr>
        <w:t> </w:t>
      </w:r>
      <w:r>
        <w:rPr>
          <w:color w:val="231F20"/>
          <w:sz w:val="20"/>
        </w:rPr>
        <w:t>2001</w:t>
      </w:r>
    </w:p>
    <w:p>
      <w:pPr>
        <w:pStyle w:val="BodyText"/>
        <w:spacing w:before="1"/>
        <w:ind w:left="1249"/>
      </w:pPr>
      <w:r>
        <w:rPr>
          <w:color w:val="231F20"/>
        </w:rPr>
        <w:t>(File No. 333-53610)). (2)</w:t>
      </w:r>
    </w:p>
    <w:p>
      <w:pPr>
        <w:pStyle w:val="ListParagraph"/>
        <w:numPr>
          <w:ilvl w:val="1"/>
          <w:numId w:val="24"/>
        </w:numPr>
        <w:tabs>
          <w:tab w:pos="1248" w:val="left" w:leader="none"/>
          <w:tab w:pos="1249" w:val="left" w:leader="none"/>
        </w:tabs>
        <w:spacing w:line="249" w:lineRule="auto" w:before="129" w:after="0"/>
        <w:ind w:left="1249" w:right="414" w:hanging="1149"/>
        <w:jc w:val="left"/>
        <w:rPr>
          <w:sz w:val="20"/>
        </w:rPr>
      </w:pPr>
      <w:r>
        <w:rPr>
          <w:color w:val="231F20"/>
          <w:sz w:val="20"/>
        </w:rPr>
        <w:t>Southwest Airlines Co. 2002 SWAPA Non-Qualified Stock Option Plan (incorporated by reference to Exhibit 4.1 to the Company’s Registration Statement on Form S-8 filed August 27, 2002 (File No. 333-98761)).</w:t>
      </w:r>
    </w:p>
    <w:p>
      <w:pPr>
        <w:pStyle w:val="ListParagraph"/>
        <w:numPr>
          <w:ilvl w:val="1"/>
          <w:numId w:val="24"/>
        </w:numPr>
        <w:tabs>
          <w:tab w:pos="1248" w:val="left" w:leader="none"/>
          <w:tab w:pos="1249" w:val="left" w:leader="none"/>
        </w:tabs>
        <w:spacing w:line="249" w:lineRule="auto" w:before="120" w:after="0"/>
        <w:ind w:left="1249" w:right="331" w:hanging="1149"/>
        <w:jc w:val="left"/>
        <w:rPr>
          <w:sz w:val="20"/>
        </w:rPr>
      </w:pPr>
      <w:r>
        <w:rPr>
          <w:color w:val="231F20"/>
          <w:sz w:val="20"/>
        </w:rPr>
        <w:t>Southwest Airlines Co. 2002 Bonus SWAPA Non-Qualified Stock Option Plan (incorporated by reference to Exhibit 4.2 to the Company’s Registration Statement on Form S-8 filed August 27, 2002 (File No. 333-98761)).</w:t>
      </w:r>
    </w:p>
    <w:p>
      <w:pPr>
        <w:pStyle w:val="ListParagraph"/>
        <w:numPr>
          <w:ilvl w:val="1"/>
          <w:numId w:val="24"/>
        </w:numPr>
        <w:tabs>
          <w:tab w:pos="1248" w:val="left" w:leader="none"/>
          <w:tab w:pos="1249" w:val="left" w:leader="none"/>
        </w:tabs>
        <w:spacing w:line="249" w:lineRule="auto" w:before="120" w:after="0"/>
        <w:ind w:left="1249" w:right="347" w:hanging="1149"/>
        <w:jc w:val="left"/>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4"/>
        </w:numPr>
        <w:tabs>
          <w:tab w:pos="1248" w:val="left" w:leader="none"/>
          <w:tab w:pos="1249" w:val="left" w:leader="none"/>
        </w:tabs>
        <w:spacing w:line="249" w:lineRule="auto" w:before="120" w:after="0"/>
        <w:ind w:left="1249" w:right="347" w:hanging="1149"/>
        <w:jc w:val="left"/>
        <w:rPr>
          <w:sz w:val="20"/>
        </w:rPr>
      </w:pPr>
      <w:r>
        <w:rPr>
          <w:color w:val="231F20"/>
          <w:sz w:val="20"/>
        </w:rPr>
        <w:t>Southwest Airlines Co. 2002 Mechanics Non-Qualified Stock Option Plan (incorporated by reference to Exhibit 4.2 to the Company’s Registration Statement on Form S-8 filed October 30, 2002 (File No. 333-100862)).</w:t>
      </w:r>
    </w:p>
    <w:p>
      <w:pPr>
        <w:pStyle w:val="ListParagraph"/>
        <w:numPr>
          <w:ilvl w:val="1"/>
          <w:numId w:val="24"/>
        </w:numPr>
        <w:tabs>
          <w:tab w:pos="1248" w:val="left" w:leader="none"/>
          <w:tab w:pos="1249" w:val="left" w:leader="none"/>
        </w:tabs>
        <w:spacing w:line="249" w:lineRule="auto" w:before="120" w:after="0"/>
        <w:ind w:left="1249" w:right="433" w:hanging="1149"/>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ListParagraph"/>
        <w:numPr>
          <w:ilvl w:val="1"/>
          <w:numId w:val="24"/>
        </w:numPr>
        <w:tabs>
          <w:tab w:pos="1248" w:val="left" w:leader="none"/>
          <w:tab w:pos="1249" w:val="left" w:leader="none"/>
        </w:tabs>
        <w:spacing w:line="249" w:lineRule="auto" w:before="120" w:after="0"/>
        <w:ind w:left="1249" w:right="115" w:hanging="1149"/>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filed April 2,</w:t>
      </w:r>
      <w:r>
        <w:rPr>
          <w:color w:val="231F20"/>
          <w:spacing w:val="6"/>
          <w:sz w:val="20"/>
        </w:rPr>
        <w:t> </w:t>
      </w:r>
      <w:r>
        <w:rPr>
          <w:color w:val="231F20"/>
          <w:sz w:val="20"/>
        </w:rPr>
        <w:t>2003</w:t>
      </w:r>
    </w:p>
    <w:p>
      <w:pPr>
        <w:pStyle w:val="BodyText"/>
        <w:ind w:left="1249"/>
      </w:pPr>
      <w:r>
        <w:rPr>
          <w:color w:val="231F20"/>
        </w:rPr>
        <w:t>(File No. 333-104245)).</w:t>
      </w:r>
    </w:p>
    <w:p>
      <w:pPr>
        <w:pStyle w:val="ListParagraph"/>
        <w:numPr>
          <w:ilvl w:val="1"/>
          <w:numId w:val="24"/>
        </w:numPr>
        <w:tabs>
          <w:tab w:pos="1248" w:val="left" w:leader="none"/>
          <w:tab w:pos="1249" w:val="left" w:leader="none"/>
        </w:tabs>
        <w:spacing w:line="249" w:lineRule="auto" w:before="129" w:after="0"/>
        <w:ind w:left="1249" w:right="106" w:hanging="1149"/>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r>
        <w:rPr>
          <w:color w:val="231F20"/>
          <w:spacing w:val="1"/>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270" w:hanging="1149"/>
        <w:jc w:val="left"/>
        <w:rPr>
          <w:sz w:val="20"/>
        </w:rPr>
      </w:pPr>
      <w:r>
        <w:rPr>
          <w:color w:val="231F20"/>
          <w:sz w:val="20"/>
        </w:rPr>
        <w:t>Southwest Airlines Co. Amended and Restated 2007 Equity Incentive Plan (incorporated by reference to Exhibit 10.2 to the Company’s Quarterly Report on Form 10-Q for the quarter ended September 30, 2013 (File No. 1-7259)).</w:t>
      </w:r>
      <w:r>
        <w:rPr>
          <w:color w:val="231F20"/>
          <w:spacing w:val="2"/>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292" w:hanging="1149"/>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531" w:hanging="1149"/>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pStyle w:val="BodyText"/>
        <w:spacing w:before="1"/>
        <w:ind w:left="1249"/>
      </w:pPr>
      <w:r>
        <w:rPr>
          <w:color w:val="231F20"/>
        </w:rPr>
        <w:t>(File No. 1-7259)). (2)</w:t>
      </w:r>
    </w:p>
    <w:p>
      <w:pPr>
        <w:pStyle w:val="ListParagraph"/>
        <w:numPr>
          <w:ilvl w:val="1"/>
          <w:numId w:val="24"/>
        </w:numPr>
        <w:tabs>
          <w:tab w:pos="1248" w:val="left" w:leader="none"/>
          <w:tab w:pos="1249" w:val="left" w:leader="none"/>
        </w:tabs>
        <w:spacing w:line="249" w:lineRule="auto" w:before="129" w:after="0"/>
        <w:ind w:left="1249" w:right="137" w:hanging="1149"/>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4"/>
        </w:numPr>
        <w:tabs>
          <w:tab w:pos="1248" w:val="left" w:leader="none"/>
          <w:tab w:pos="1249" w:val="left" w:leader="none"/>
        </w:tabs>
        <w:spacing w:line="249" w:lineRule="auto" w:before="120" w:after="0"/>
        <w:ind w:left="1249" w:right="137" w:hanging="1149"/>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spacing w:after="0" w:line="249" w:lineRule="auto"/>
        <w:jc w:val="left"/>
        <w:rPr>
          <w:sz w:val="20"/>
        </w:rPr>
        <w:sectPr>
          <w:pgSz w:w="11880" w:h="15480"/>
          <w:pgMar w:header="0" w:footer="1253" w:top="1360" w:bottom="1440" w:left="1280" w:right="1280"/>
        </w:sectPr>
      </w:pPr>
    </w:p>
    <w:p>
      <w:pPr>
        <w:pStyle w:val="ListParagraph"/>
        <w:numPr>
          <w:ilvl w:val="1"/>
          <w:numId w:val="24"/>
        </w:numPr>
        <w:tabs>
          <w:tab w:pos="1268" w:val="left" w:leader="none"/>
          <w:tab w:pos="1269" w:val="left" w:leader="none"/>
        </w:tabs>
        <w:spacing w:line="249" w:lineRule="auto" w:before="64" w:after="0"/>
        <w:ind w:left="1269" w:right="130" w:hanging="1149"/>
        <w:jc w:val="left"/>
        <w:rPr>
          <w:sz w:val="20"/>
        </w:rPr>
      </w:pPr>
      <w:r>
        <w:rPr>
          <w:color w:val="231F20"/>
          <w:sz w:val="20"/>
        </w:rPr>
        <w:t>Amended and Restated Southwest Airlines Co. 2005 Excess Benefit Plan (as amended and restated effective for plan years beginning on and after January 1, 2009) (incorporated by reference to Exhibit 10.35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4"/>
        </w:numPr>
        <w:tabs>
          <w:tab w:pos="1268" w:val="left" w:leader="none"/>
          <w:tab w:pos="1269" w:val="left" w:leader="none"/>
        </w:tabs>
        <w:spacing w:line="249" w:lineRule="auto" w:before="112" w:after="0"/>
        <w:ind w:left="1269" w:right="345" w:hanging="1149"/>
        <w:jc w:val="left"/>
        <w:rPr>
          <w:sz w:val="20"/>
        </w:rPr>
      </w:pPr>
      <w:r>
        <w:rPr>
          <w:color w:val="231F20"/>
          <w:sz w:val="20"/>
        </w:rPr>
        <w:t>Form of Indemnification Agreement between the Company and its Directors (incorporated by reference to Exhibit 10.1 to the Company’s Current Report on Form 8-K dated January 15, 2009 (File No. 1-7259)).</w:t>
      </w:r>
    </w:p>
    <w:p>
      <w:pPr>
        <w:pStyle w:val="ListParagraph"/>
        <w:numPr>
          <w:ilvl w:val="1"/>
          <w:numId w:val="24"/>
        </w:numPr>
        <w:tabs>
          <w:tab w:pos="1268" w:val="left" w:leader="none"/>
          <w:tab w:pos="1269" w:val="left" w:leader="none"/>
        </w:tabs>
        <w:spacing w:line="249" w:lineRule="auto" w:before="112" w:after="0"/>
        <w:ind w:left="1269" w:right="106" w:hanging="1149"/>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2010 (File No. 1-7259)).</w:t>
      </w:r>
      <w:r>
        <w:rPr>
          <w:color w:val="231F20"/>
          <w:spacing w:val="1"/>
          <w:sz w:val="20"/>
        </w:rPr>
        <w:t> </w:t>
      </w:r>
      <w:r>
        <w:rPr>
          <w:color w:val="231F20"/>
          <w:sz w:val="20"/>
        </w:rPr>
        <w:t>(2)</w:t>
      </w:r>
    </w:p>
    <w:p>
      <w:pPr>
        <w:pStyle w:val="ListParagraph"/>
        <w:numPr>
          <w:ilvl w:val="1"/>
          <w:numId w:val="24"/>
        </w:numPr>
        <w:tabs>
          <w:tab w:pos="1268" w:val="left" w:leader="none"/>
          <w:tab w:pos="1269" w:val="left" w:leader="none"/>
        </w:tabs>
        <w:spacing w:line="249" w:lineRule="auto" w:before="112" w:after="0"/>
        <w:ind w:left="1269" w:right="259" w:hanging="1149"/>
        <w:jc w:val="left"/>
        <w:rPr>
          <w:sz w:val="20"/>
        </w:rPr>
      </w:pPr>
      <w:r>
        <w:rPr>
          <w:color w:val="231F20"/>
          <w:sz w:val="20"/>
        </w:rPr>
        <w:t>$1,000,000,000 Revolving Credit Facility Agreement among the Company, The Banks Party thereto, Morgan Stanley Senior Funding, Inc., as Syndication Agent, Bank of America, N.A., Barclays Bank PLC, Deutsche Bank Securities Inc., Goldman Sachs Bank USA, and Wells Fargo Bank, N.A., as Documentation Agents, Citibank, N.A. and JPMorgan Chase Bank, N.A., as Co- Administrative Agents, and Citibank, N.A., as Paying Agent, dated as of April 2, 2013 (incorporated by reference to Exhibit 10.1 to the Company’s Current Report on Form 8-K dated April 2, 2013 (File No. 1-7259)).</w:t>
      </w:r>
    </w:p>
    <w:p>
      <w:pPr>
        <w:pStyle w:val="ListParagraph"/>
        <w:numPr>
          <w:ilvl w:val="1"/>
          <w:numId w:val="24"/>
        </w:numPr>
        <w:tabs>
          <w:tab w:pos="1268" w:val="left" w:leader="none"/>
          <w:tab w:pos="1269" w:val="left" w:leader="none"/>
        </w:tabs>
        <w:spacing w:line="249" w:lineRule="auto" w:before="112" w:after="0"/>
        <w:ind w:left="1269" w:right="100" w:hanging="1149"/>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w:t>
      </w:r>
      <w:r>
        <w:rPr>
          <w:color w:val="231F20"/>
          <w:spacing w:val="1"/>
          <w:sz w:val="20"/>
        </w:rPr>
        <w:t> </w:t>
      </w:r>
      <w:r>
        <w:rPr>
          <w:color w:val="231F20"/>
          <w:sz w:val="20"/>
        </w:rPr>
        <w:t>(File</w:t>
      </w:r>
    </w:p>
    <w:p>
      <w:pPr>
        <w:pStyle w:val="BodyText"/>
        <w:spacing w:line="249" w:lineRule="auto" w:before="1"/>
        <w:ind w:left="1269" w:right="230"/>
      </w:pPr>
      <w:r>
        <w:rPr>
          <w:color w:val="231F20"/>
        </w:rPr>
        <w:t>No. 1-7259)); Supplemental Agreements Nos. 1 and 2 (incorporated by reference to Exhibits 10.3 and 10.4, respectively, to the Company’s Quarterly Report on Form 10-Q for the quarter ended June 30, 2013 (File No. 1-7259)). (1)</w:t>
      </w:r>
    </w:p>
    <w:p>
      <w:pPr>
        <w:pStyle w:val="BodyText"/>
        <w:tabs>
          <w:tab w:pos="1268" w:val="left" w:leader="none"/>
        </w:tabs>
        <w:spacing w:line="249" w:lineRule="auto" w:before="112"/>
        <w:ind w:left="1269" w:right="614" w:hanging="1149"/>
      </w:pPr>
      <w:r>
        <w:rPr>
          <w:color w:val="231F20"/>
        </w:rPr>
        <w:t>10.27(a)</w:t>
        <w:tab/>
        <w:t>Supplemental Agreement No. 3 to Purchase Agreement No. 3729, dated December</w:t>
      </w:r>
      <w:r>
        <w:rPr>
          <w:color w:val="231F20"/>
          <w:spacing w:val="4"/>
        </w:rPr>
        <w:t> </w:t>
      </w:r>
      <w:r>
        <w:rPr>
          <w:color w:val="231F20"/>
        </w:rPr>
        <w:t>13, 2011, between The Boeing Company and the Company. (1)</w:t>
      </w:r>
    </w:p>
    <w:p>
      <w:pPr>
        <w:pStyle w:val="ListParagraph"/>
        <w:numPr>
          <w:ilvl w:val="1"/>
          <w:numId w:val="24"/>
        </w:numPr>
        <w:tabs>
          <w:tab w:pos="1268" w:val="left" w:leader="none"/>
          <w:tab w:pos="1269" w:val="left" w:leader="none"/>
        </w:tabs>
        <w:spacing w:line="249" w:lineRule="auto" w:before="112" w:after="0"/>
        <w:ind w:left="1269" w:right="230" w:hanging="1149"/>
        <w:jc w:val="left"/>
        <w:rPr>
          <w:sz w:val="20"/>
        </w:rPr>
      </w:pPr>
      <w:r>
        <w:rPr>
          <w:color w:val="231F20"/>
          <w:sz w:val="20"/>
        </w:rPr>
        <w:t>Southwest Airlines Co. Senior Executive Short Term Incentive Plan (incorporated by reference to Exhibit 99.1 to the Company’s Current Report on Form 8-K dated January 30,</w:t>
      </w:r>
      <w:r>
        <w:rPr>
          <w:color w:val="231F20"/>
          <w:spacing w:val="3"/>
          <w:sz w:val="20"/>
        </w:rPr>
        <w:t> </w:t>
      </w:r>
      <w:r>
        <w:rPr>
          <w:color w:val="231F20"/>
          <w:sz w:val="20"/>
        </w:rPr>
        <w:t>2013</w:t>
      </w:r>
    </w:p>
    <w:p>
      <w:pPr>
        <w:pStyle w:val="BodyText"/>
        <w:spacing w:before="1"/>
        <w:ind w:left="1269"/>
      </w:pPr>
      <w:r>
        <w:rPr>
          <w:color w:val="231F20"/>
        </w:rPr>
        <w:t>(File No. 1-7259)). (2)</w:t>
      </w:r>
    </w:p>
    <w:p>
      <w:pPr>
        <w:pStyle w:val="BodyText"/>
        <w:tabs>
          <w:tab w:pos="1268" w:val="left" w:leader="none"/>
        </w:tabs>
        <w:spacing w:before="120"/>
        <w:ind w:left="120"/>
      </w:pPr>
      <w:r>
        <w:rPr>
          <w:color w:val="231F20"/>
        </w:rPr>
        <w:t>21</w:t>
        <w:tab/>
        <w:t>Subsidiaries of the</w:t>
      </w:r>
      <w:r>
        <w:rPr>
          <w:color w:val="231F20"/>
          <w:spacing w:val="2"/>
        </w:rPr>
        <w:t> </w:t>
      </w:r>
      <w:r>
        <w:rPr>
          <w:color w:val="231F20"/>
        </w:rPr>
        <w:t>Company.</w:t>
      </w:r>
    </w:p>
    <w:p>
      <w:pPr>
        <w:pStyle w:val="BodyText"/>
        <w:tabs>
          <w:tab w:pos="1268" w:val="left" w:leader="none"/>
        </w:tabs>
        <w:spacing w:before="120"/>
        <w:ind w:left="120"/>
      </w:pPr>
      <w:r>
        <w:rPr>
          <w:color w:val="231F20"/>
        </w:rPr>
        <w:t>23</w:t>
        <w:tab/>
        <w:t>Consent of Ernst &amp; Young LLP, Independent Registered Public Accounting Firm.</w:t>
      </w:r>
    </w:p>
    <w:p>
      <w:pPr>
        <w:pStyle w:val="ListParagraph"/>
        <w:numPr>
          <w:ilvl w:val="1"/>
          <w:numId w:val="25"/>
        </w:numPr>
        <w:tabs>
          <w:tab w:pos="1268" w:val="left" w:leader="none"/>
          <w:tab w:pos="1269" w:val="left" w:leader="none"/>
        </w:tabs>
        <w:spacing w:line="240" w:lineRule="auto" w:before="120" w:after="0"/>
        <w:ind w:left="1269" w:right="0" w:hanging="1149"/>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5"/>
        </w:numPr>
        <w:tabs>
          <w:tab w:pos="1268" w:val="left" w:leader="none"/>
          <w:tab w:pos="1269" w:val="left" w:leader="none"/>
        </w:tabs>
        <w:spacing w:line="240" w:lineRule="auto" w:before="120" w:after="0"/>
        <w:ind w:left="1269" w:right="0" w:hanging="1149"/>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5"/>
        </w:numPr>
        <w:tabs>
          <w:tab w:pos="1268" w:val="left" w:leader="none"/>
          <w:tab w:pos="1269" w:val="left" w:leader="none"/>
        </w:tabs>
        <w:spacing w:line="367" w:lineRule="auto" w:before="120" w:after="0"/>
        <w:ind w:left="120" w:right="1169" w:firstLine="0"/>
        <w:jc w:val="left"/>
        <w:rPr>
          <w:color w:val="231F20"/>
          <w:sz w:val="20"/>
        </w:rPr>
      </w:pPr>
      <w:r>
        <w:rPr>
          <w:color w:val="231F20"/>
          <w:sz w:val="20"/>
        </w:rPr>
        <w:t>Section 1350 Certification of Chief Executive Officer and Chief Financial Officer. (3) 101.INS</w:t>
        <w:tab/>
        <w:t>XBRL Instance</w:t>
      </w:r>
      <w:r>
        <w:rPr>
          <w:color w:val="231F20"/>
          <w:spacing w:val="-1"/>
          <w:sz w:val="20"/>
        </w:rPr>
        <w:t> </w:t>
      </w:r>
      <w:r>
        <w:rPr>
          <w:color w:val="231F20"/>
          <w:sz w:val="20"/>
        </w:rPr>
        <w:t>Document</w:t>
      </w:r>
    </w:p>
    <w:p>
      <w:pPr>
        <w:pStyle w:val="BodyText"/>
        <w:tabs>
          <w:tab w:pos="1268" w:val="left" w:leader="none"/>
        </w:tabs>
        <w:spacing w:before="3"/>
        <w:ind w:left="120"/>
      </w:pPr>
      <w:r>
        <w:rPr>
          <w:color w:val="231F20"/>
        </w:rPr>
        <w:t>101.SCH</w:t>
        <w:tab/>
        <w:t>XBRL Taxonomy Extension Schema</w:t>
      </w:r>
      <w:r>
        <w:rPr>
          <w:color w:val="231F20"/>
          <w:spacing w:val="-1"/>
        </w:rPr>
        <w:t> </w:t>
      </w:r>
      <w:r>
        <w:rPr>
          <w:color w:val="231F20"/>
        </w:rPr>
        <w:t>Document</w:t>
      </w:r>
    </w:p>
    <w:p>
      <w:pPr>
        <w:pStyle w:val="BodyText"/>
        <w:tabs>
          <w:tab w:pos="1268" w:val="left" w:leader="none"/>
        </w:tabs>
        <w:spacing w:line="367" w:lineRule="auto" w:before="121"/>
        <w:ind w:left="120" w:right="3127"/>
      </w:pPr>
      <w:r>
        <w:rPr>
          <w:color w:val="231F20"/>
        </w:rPr>
        <w:t>101.CAL</w:t>
        <w:tab/>
        <w:t>XBRL Taxonomy Extension Calculation Linkbase Document</w:t>
      </w:r>
      <w:r>
        <w:rPr>
          <w:color w:val="231F20"/>
          <w:w w:val="100"/>
        </w:rPr>
        <w:t> </w:t>
      </w:r>
      <w:r>
        <w:rPr>
          <w:color w:val="231F20"/>
        </w:rPr>
        <w:t>101.DEF</w:t>
        <w:tab/>
        <w:t>XBRL Taxonomy Extension Definition Linkbase Document</w:t>
      </w:r>
      <w:r>
        <w:rPr>
          <w:color w:val="231F20"/>
          <w:w w:val="100"/>
        </w:rPr>
        <w:t> </w:t>
      </w:r>
      <w:r>
        <w:rPr>
          <w:color w:val="231F20"/>
        </w:rPr>
        <w:t>101.LAB</w:t>
        <w:tab/>
        <w:t>XBRL Extension Labels Linkbase</w:t>
      </w:r>
      <w:r>
        <w:rPr>
          <w:color w:val="231F20"/>
          <w:spacing w:val="-1"/>
        </w:rPr>
        <w:t> </w:t>
      </w:r>
      <w:r>
        <w:rPr>
          <w:color w:val="231F20"/>
        </w:rPr>
        <w:t>Document</w:t>
      </w:r>
    </w:p>
    <w:p>
      <w:pPr>
        <w:pStyle w:val="BodyText"/>
        <w:tabs>
          <w:tab w:pos="1268" w:val="left" w:leader="none"/>
        </w:tabs>
        <w:spacing w:before="3"/>
        <w:ind w:left="120"/>
      </w:pPr>
      <w:r>
        <w:rPr/>
        <w:pict>
          <v:line style="position:absolute;mso-position-horizontal-relative:page;mso-position-vertical-relative:paragraph;z-index:10480;mso-wrap-distance-left:0;mso-wrap-distance-right:0" from="69pt,17.235937pt" to="141pt,17.235937pt" stroked="true" strokeweight=".5pt" strokecolor="#231f20">
            <v:stroke dashstyle="solid"/>
            <w10:wrap type="topAndBottom"/>
          </v:line>
        </w:pict>
      </w:r>
      <w:r>
        <w:rPr>
          <w:color w:val="231F20"/>
        </w:rPr>
        <w:t>101.PRE</w:t>
        <w:tab/>
        <w:t>XBRL Taxonomy Extension Presentation Linkbase</w:t>
      </w:r>
      <w:r>
        <w:rPr>
          <w:color w:val="231F20"/>
          <w:spacing w:val="1"/>
        </w:rPr>
        <w:t> </w:t>
      </w:r>
      <w:r>
        <w:rPr>
          <w:color w:val="231F20"/>
        </w:rPr>
        <w:t>Document</w:t>
      </w:r>
    </w:p>
    <w:p>
      <w:pPr>
        <w:pStyle w:val="ListParagraph"/>
        <w:numPr>
          <w:ilvl w:val="0"/>
          <w:numId w:val="26"/>
        </w:numPr>
        <w:tabs>
          <w:tab w:pos="609" w:val="left" w:leader="none"/>
          <w:tab w:pos="610" w:val="left" w:leader="none"/>
        </w:tabs>
        <w:spacing w:line="249" w:lineRule="auto" w:before="24" w:after="0"/>
        <w:ind w:left="610" w:right="164" w:hanging="49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spacing w:after="0" w:line="249" w:lineRule="auto"/>
        <w:jc w:val="left"/>
        <w:rPr>
          <w:sz w:val="20"/>
        </w:rPr>
        <w:sectPr>
          <w:pgSz w:w="11880" w:h="15480"/>
          <w:pgMar w:header="0" w:footer="1253" w:top="1360" w:bottom="1440" w:left="1260" w:right="1280"/>
        </w:sectPr>
      </w:pPr>
    </w:p>
    <w:p>
      <w:pPr>
        <w:pStyle w:val="ListParagraph"/>
        <w:numPr>
          <w:ilvl w:val="0"/>
          <w:numId w:val="26"/>
        </w:numPr>
        <w:tabs>
          <w:tab w:pos="589" w:val="left" w:leader="none"/>
          <w:tab w:pos="590" w:val="left" w:leader="none"/>
        </w:tabs>
        <w:spacing w:line="240" w:lineRule="auto" w:before="73" w:after="0"/>
        <w:ind w:left="590" w:right="0" w:hanging="49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0"/>
          <w:numId w:val="26"/>
        </w:numPr>
        <w:tabs>
          <w:tab w:pos="589" w:val="left" w:leader="none"/>
          <w:tab w:pos="590" w:val="left" w:leader="none"/>
        </w:tabs>
        <w:spacing w:line="249" w:lineRule="auto" w:before="9" w:after="0"/>
        <w:ind w:left="590" w:right="112" w:hanging="49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before="10"/>
      </w:pPr>
    </w:p>
    <w:p>
      <w:pPr>
        <w:pStyle w:val="BodyText"/>
        <w:spacing w:line="249" w:lineRule="auto"/>
        <w:ind w:left="100" w:right="155" w:firstLine="49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1880" w:h="15480"/>
          <w:pgMar w:header="0" w:footer="1253" w:top="1240" w:bottom="1440" w:left="1280" w:right="1320"/>
        </w:sectPr>
      </w:pPr>
    </w:p>
    <w:p>
      <w:pPr>
        <w:pStyle w:val="Heading3"/>
        <w:spacing w:before="73"/>
        <w:ind w:left="83" w:right="21"/>
        <w:jc w:val="center"/>
      </w:pPr>
      <w:bookmarkStart w:name="_TOC_250000" w:id="50"/>
      <w:bookmarkStart w:name="Signatures" w:id="51"/>
      <w:r>
        <w:rPr>
          <w:b w:val="0"/>
        </w:rPr>
      </w:r>
      <w:bookmarkEnd w:id="50"/>
      <w:r>
        <w:rPr>
          <w:color w:val="231F20"/>
        </w:rPr>
        <w:t>SIGNATURES</w:t>
      </w:r>
    </w:p>
    <w:p>
      <w:pPr>
        <w:pStyle w:val="BodyText"/>
        <w:spacing w:before="8"/>
        <w:rPr>
          <w:b/>
          <w:sz w:val="21"/>
        </w:rPr>
      </w:pPr>
    </w:p>
    <w:p>
      <w:pPr>
        <w:pStyle w:val="BodyText"/>
        <w:spacing w:line="249" w:lineRule="auto"/>
        <w:ind w:left="120" w:right="310" w:firstLine="490"/>
      </w:pPr>
      <w:r>
        <w:rPr>
          <w:color w:val="231F20"/>
        </w:rPr>
        <w:t>Pursuant to the requirements of the Securities Exchange Act of 1934, the Registrant has duly caused this report to be signed on its behalf by the undersigned thereunto duly authorized.</w:t>
      </w:r>
    </w:p>
    <w:p>
      <w:pPr>
        <w:pStyle w:val="BodyText"/>
        <w:spacing w:before="10"/>
      </w:pPr>
    </w:p>
    <w:p>
      <w:pPr>
        <w:pStyle w:val="BodyText"/>
        <w:spacing w:before="1"/>
        <w:ind w:left="4512"/>
      </w:pPr>
      <w:r>
        <w:rPr>
          <w:color w:val="231F20"/>
        </w:rPr>
        <w:t>SOUTHWEST AIRLINES CO.</w:t>
      </w:r>
    </w:p>
    <w:p>
      <w:pPr>
        <w:pStyle w:val="BodyText"/>
        <w:spacing w:before="8"/>
        <w:rPr>
          <w:sz w:val="21"/>
        </w:rPr>
      </w:pPr>
    </w:p>
    <w:p>
      <w:pPr>
        <w:pStyle w:val="BodyText"/>
        <w:tabs>
          <w:tab w:pos="4392" w:val="left" w:leader="none"/>
          <w:tab w:pos="6116" w:val="left" w:leader="none"/>
          <w:tab w:pos="6506" w:val="left" w:leader="none"/>
          <w:tab w:pos="9059" w:val="left" w:leader="none"/>
        </w:tabs>
        <w:jc w:val="center"/>
      </w:pPr>
      <w:r>
        <w:rPr>
          <w:color w:val="231F20"/>
        </w:rPr>
        <w:t>February</w:t>
      </w:r>
      <w:r>
        <w:rPr>
          <w:color w:val="231F20"/>
          <w:spacing w:val="1"/>
        </w:rPr>
        <w:t> </w:t>
      </w:r>
      <w:r>
        <w:rPr>
          <w:color w:val="231F20"/>
        </w:rPr>
        <w:t>3, 2014</w:t>
        <w:tab/>
      </w:r>
      <w:r>
        <w:rPr>
          <w:color w:val="231F20"/>
          <w:position w:val="-5"/>
        </w:rPr>
        <w:t>By</w:t>
      </w:r>
      <w:r>
        <w:rPr>
          <w:color w:val="231F20"/>
          <w:u w:val="single" w:color="231F20"/>
        </w:rPr>
        <w:t> </w:t>
        <w:tab/>
        <w:t>/s/</w:t>
        <w:tab/>
        <w:t>Tammy Romo</w:t>
        <w:tab/>
      </w:r>
    </w:p>
    <w:p>
      <w:pPr>
        <w:spacing w:line="261" w:lineRule="auto" w:before="6"/>
        <w:ind w:left="4953" w:right="225" w:hanging="1"/>
        <w:jc w:val="center"/>
        <w:rPr>
          <w:b/>
          <w:sz w:val="16"/>
        </w:rPr>
      </w:pPr>
      <w:r>
        <w:rPr>
          <w:b/>
          <w:color w:val="231F20"/>
          <w:sz w:val="16"/>
        </w:rPr>
        <w:t>Tammy Romo                                                            Senior Vice President Finance &amp; Chief Financial Officer (On behalf of the Registrant and in her capacity as Principal Financial &amp; Accounting</w:t>
      </w:r>
      <w:r>
        <w:rPr>
          <w:b/>
          <w:color w:val="231F20"/>
          <w:spacing w:val="-4"/>
          <w:sz w:val="16"/>
        </w:rPr>
        <w:t> </w:t>
      </w:r>
      <w:r>
        <w:rPr>
          <w:b/>
          <w:color w:val="231F20"/>
          <w:sz w:val="16"/>
        </w:rPr>
        <w:t>Officer)</w:t>
      </w:r>
    </w:p>
    <w:p>
      <w:pPr>
        <w:pStyle w:val="BodyText"/>
        <w:spacing w:before="9"/>
        <w:rPr>
          <w:b/>
          <w:sz w:val="15"/>
        </w:rPr>
      </w:pPr>
    </w:p>
    <w:p>
      <w:pPr>
        <w:pStyle w:val="BodyText"/>
        <w:spacing w:line="249" w:lineRule="auto"/>
        <w:ind w:left="120" w:right="251" w:firstLine="400"/>
      </w:pPr>
      <w:r>
        <w:rPr>
          <w:color w:val="231F20"/>
        </w:rPr>
        <w:t>Pursuant to the requirements of the Securities Exchange Act of 1934, this report has been signed below by the following persons on February 3, 2014, on behalf of the registrant and in the capacities indicated.</w:t>
      </w:r>
    </w:p>
    <w:p>
      <w:pPr>
        <w:tabs>
          <w:tab w:pos="4732" w:val="left" w:leader="none"/>
        </w:tabs>
        <w:spacing w:before="138"/>
        <w:ind w:left="0" w:right="112" w:firstLine="0"/>
        <w:jc w:val="center"/>
        <w:rPr>
          <w:b/>
          <w:sz w:val="16"/>
        </w:rPr>
      </w:pPr>
      <w:r>
        <w:rPr/>
        <w:pict>
          <v:line style="position:absolute;mso-position-horizontal-relative:page;mso-position-vertical-relative:paragraph;z-index:10504;mso-wrap-distance-left:0;mso-wrap-distance-right:0" from="69pt,17.868750pt" to="297pt,17.868750pt" stroked="true" strokeweight="1pt" strokecolor="#231f20">
            <v:stroke dashstyle="solid"/>
            <w10:wrap type="topAndBottom"/>
          </v:line>
        </w:pict>
      </w:r>
      <w:r>
        <w:rPr/>
        <w:pict>
          <v:line style="position:absolute;mso-position-horizontal-relative:page;mso-position-vertical-relative:paragraph;z-index:10528;mso-wrap-distance-left:0;mso-wrap-distance-right:0" from="309pt,17.868750pt" to="513pt,17.868750pt" stroked="true" strokeweight="1pt" strokecolor="#231f20">
            <v:stroke dashstyle="solid"/>
            <w10:wrap type="topAndBottom"/>
          </v:line>
        </w:pict>
      </w:r>
      <w:r>
        <w:rPr>
          <w:b/>
          <w:color w:val="231F20"/>
          <w:sz w:val="16"/>
        </w:rPr>
        <w:t>Signature</w:t>
        <w:tab/>
        <w:t>Title</w:t>
      </w:r>
    </w:p>
    <w:p>
      <w:pPr>
        <w:pStyle w:val="BodyText"/>
        <w:rPr>
          <w:b/>
          <w:sz w:val="15"/>
        </w:rPr>
      </w:pPr>
    </w:p>
    <w:p>
      <w:pPr>
        <w:spacing w:after="0"/>
        <w:rPr>
          <w:sz w:val="15"/>
        </w:rPr>
        <w:sectPr>
          <w:footerReference w:type="default" r:id="rId43"/>
          <w:pgSz w:w="11880" w:h="15480"/>
          <w:pgMar w:footer="1253" w:header="0" w:top="1240" w:bottom="1440" w:left="1260" w:right="1320"/>
        </w:sectPr>
      </w:pPr>
    </w:p>
    <w:p>
      <w:pPr>
        <w:pStyle w:val="BodyText"/>
        <w:tabs>
          <w:tab w:pos="1253" w:val="left" w:leader="none"/>
          <w:tab w:pos="1643" w:val="left" w:leader="none"/>
          <w:tab w:pos="4679" w:val="left" w:leader="none"/>
        </w:tabs>
        <w:spacing w:before="91"/>
        <w:ind w:left="120"/>
        <w:jc w:val="center"/>
      </w:pPr>
      <w:r>
        <w:rPr>
          <w:color w:val="231F20"/>
          <w:u w:val="single" w:color="231F20"/>
        </w:rPr>
        <w:t> </w:t>
        <w:tab/>
        <w:t>/s/</w:t>
        <w:tab/>
        <w:t>GARY C.</w:t>
      </w:r>
      <w:r>
        <w:rPr>
          <w:color w:val="231F20"/>
          <w:spacing w:val="-4"/>
          <w:u w:val="single" w:color="231F20"/>
        </w:rPr>
        <w:t> </w:t>
      </w:r>
      <w:r>
        <w:rPr>
          <w:color w:val="231F20"/>
          <w:u w:val="single" w:color="231F20"/>
        </w:rPr>
        <w:t>KELLY</w:t>
        <w:tab/>
      </w:r>
    </w:p>
    <w:p>
      <w:pPr>
        <w:spacing w:before="66"/>
        <w:ind w:left="121" w:right="0" w:firstLine="0"/>
        <w:jc w:val="center"/>
        <w:rPr>
          <w:b/>
          <w:sz w:val="16"/>
        </w:rPr>
      </w:pPr>
      <w:r>
        <w:rPr>
          <w:b/>
          <w:color w:val="231F20"/>
          <w:sz w:val="16"/>
        </w:rPr>
        <w:t>Gary C. Kelly</w:t>
      </w:r>
    </w:p>
    <w:p>
      <w:pPr>
        <w:pStyle w:val="BodyText"/>
        <w:spacing w:line="249" w:lineRule="auto" w:before="91"/>
        <w:ind w:left="320" w:right="350" w:hanging="200"/>
      </w:pPr>
      <w:r>
        <w:rPr/>
        <w:br w:type="column"/>
      </w:r>
      <w:r>
        <w:rPr>
          <w:color w:val="231F20"/>
        </w:rPr>
        <w:t>Chairman of the Board, President, &amp; Chief Executive Officer (Principal Executive Officer)</w:t>
      </w:r>
    </w:p>
    <w:p>
      <w:pPr>
        <w:spacing w:after="0" w:line="249" w:lineRule="auto"/>
        <w:sectPr>
          <w:type w:val="continuous"/>
          <w:pgSz w:w="11880" w:h="15480"/>
          <w:pgMar w:top="1200" w:bottom="280" w:left="1260" w:right="1320"/>
          <w:cols w:num="2" w:equalWidth="0">
            <w:col w:w="4680" w:space="120"/>
            <w:col w:w="4500"/>
          </w:cols>
        </w:sectPr>
      </w:pPr>
    </w:p>
    <w:p>
      <w:pPr>
        <w:pStyle w:val="BodyText"/>
        <w:spacing w:before="5"/>
        <w:rPr>
          <w:sz w:val="14"/>
        </w:rPr>
      </w:pPr>
    </w:p>
    <w:p>
      <w:pPr>
        <w:spacing w:after="0"/>
        <w:rPr>
          <w:sz w:val="14"/>
        </w:rPr>
        <w:sectPr>
          <w:type w:val="continuous"/>
          <w:pgSz w:w="11880" w:h="15480"/>
          <w:pgMar w:top="1200" w:bottom="280" w:left="1260" w:right="1320"/>
        </w:sectPr>
      </w:pPr>
    </w:p>
    <w:p>
      <w:pPr>
        <w:pStyle w:val="BodyText"/>
        <w:tabs>
          <w:tab w:pos="1296" w:val="left" w:leader="none"/>
          <w:tab w:pos="1686" w:val="left" w:leader="none"/>
          <w:tab w:pos="4679" w:val="left" w:leader="none"/>
        </w:tabs>
        <w:spacing w:before="92"/>
        <w:ind w:left="120"/>
        <w:jc w:val="center"/>
      </w:pPr>
      <w:r>
        <w:rPr>
          <w:color w:val="231F20"/>
          <w:u w:val="single" w:color="231F20"/>
        </w:rPr>
        <w:t> </w:t>
        <w:tab/>
        <w:t>/s/</w:t>
        <w:tab/>
        <w:t>TAMMY</w:t>
      </w:r>
      <w:r>
        <w:rPr>
          <w:color w:val="231F20"/>
          <w:spacing w:val="-2"/>
          <w:u w:val="single" w:color="231F20"/>
        </w:rPr>
        <w:t> </w:t>
      </w:r>
      <w:r>
        <w:rPr>
          <w:color w:val="231F20"/>
          <w:u w:val="single" w:color="231F20"/>
        </w:rPr>
        <w:t>ROMO</w:t>
        <w:tab/>
      </w:r>
    </w:p>
    <w:p>
      <w:pPr>
        <w:spacing w:before="67"/>
        <w:ind w:left="119" w:right="0" w:firstLine="0"/>
        <w:jc w:val="center"/>
        <w:rPr>
          <w:b/>
          <w:sz w:val="16"/>
        </w:rPr>
      </w:pPr>
      <w:r>
        <w:rPr>
          <w:b/>
          <w:color w:val="231F20"/>
          <w:sz w:val="16"/>
        </w:rPr>
        <w:t>Tammy Romo</w:t>
      </w:r>
    </w:p>
    <w:p>
      <w:pPr>
        <w:pStyle w:val="BodyText"/>
        <w:spacing w:line="249" w:lineRule="auto" w:before="92"/>
        <w:ind w:left="320" w:right="438" w:hanging="200"/>
      </w:pPr>
      <w:r>
        <w:rPr/>
        <w:br w:type="column"/>
      </w:r>
      <w:r>
        <w:rPr>
          <w:color w:val="231F20"/>
        </w:rPr>
        <w:t>Senior Vice President Finance &amp; Chief Financial Officer (Principal Financial &amp; Accounting Officer)</w:t>
      </w:r>
    </w:p>
    <w:p>
      <w:pPr>
        <w:spacing w:after="0" w:line="249" w:lineRule="auto"/>
        <w:sectPr>
          <w:type w:val="continuous"/>
          <w:pgSz w:w="11880" w:h="15480"/>
          <w:pgMar w:top="1200" w:bottom="280" w:left="1260" w:right="1320"/>
          <w:cols w:num="2" w:equalWidth="0">
            <w:col w:w="4680" w:space="120"/>
            <w:col w:w="4500"/>
          </w:cols>
        </w:sectPr>
      </w:pPr>
    </w:p>
    <w:p>
      <w:pPr>
        <w:pStyle w:val="BodyText"/>
        <w:rPr>
          <w:sz w:val="13"/>
        </w:rPr>
      </w:pPr>
    </w:p>
    <w:p>
      <w:pPr>
        <w:spacing w:after="0"/>
        <w:rPr>
          <w:sz w:val="13"/>
        </w:rPr>
        <w:sectPr>
          <w:type w:val="continuous"/>
          <w:pgSz w:w="11880" w:h="15480"/>
          <w:pgMar w:top="1200" w:bottom="280" w:left="1260" w:right="1320"/>
        </w:sectPr>
      </w:pPr>
    </w:p>
    <w:p>
      <w:pPr>
        <w:pStyle w:val="BodyText"/>
        <w:tabs>
          <w:tab w:pos="1091" w:val="left" w:leader="none"/>
          <w:tab w:pos="1481" w:val="left" w:leader="none"/>
          <w:tab w:pos="4679" w:val="left" w:leader="none"/>
        </w:tabs>
        <w:spacing w:before="91"/>
        <w:ind w:left="120"/>
        <w:jc w:val="center"/>
      </w:pPr>
      <w:r>
        <w:rPr>
          <w:color w:val="231F20"/>
          <w:u w:val="single" w:color="231F20"/>
        </w:rPr>
        <w:t> </w:t>
        <w:tab/>
        <w:t>/s/</w:t>
        <w:tab/>
        <w:t>DAVID W.</w:t>
      </w:r>
      <w:r>
        <w:rPr>
          <w:color w:val="231F20"/>
          <w:spacing w:val="-3"/>
          <w:u w:val="single" w:color="231F20"/>
        </w:rPr>
        <w:t> </w:t>
      </w:r>
      <w:r>
        <w:rPr>
          <w:color w:val="231F20"/>
          <w:u w:val="single" w:color="231F20"/>
        </w:rPr>
        <w:t>BIEGLER</w:t>
        <w:tab/>
      </w:r>
    </w:p>
    <w:p>
      <w:pPr>
        <w:spacing w:before="67"/>
        <w:ind w:left="119" w:right="0" w:firstLine="0"/>
        <w:jc w:val="center"/>
        <w:rPr>
          <w:b/>
          <w:sz w:val="16"/>
        </w:rPr>
      </w:pPr>
      <w:r>
        <w:rPr>
          <w:b/>
          <w:color w:val="231F20"/>
          <w:sz w:val="16"/>
        </w:rPr>
        <w:t>David W. Biegler</w:t>
      </w:r>
    </w:p>
    <w:p>
      <w:pPr>
        <w:pStyle w:val="BodyText"/>
        <w:spacing w:before="91"/>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969" w:val="left" w:leader="none"/>
          <w:tab w:pos="1359" w:val="left" w:leader="none"/>
          <w:tab w:pos="4679" w:val="left" w:leader="none"/>
        </w:tabs>
        <w:spacing w:before="92"/>
        <w:ind w:left="120"/>
      </w:pPr>
      <w:r>
        <w:rPr>
          <w:color w:val="231F20"/>
          <w:u w:val="single" w:color="231F20"/>
        </w:rPr>
        <w:t> </w:t>
        <w:tab/>
        <w:t>/s/</w:t>
        <w:tab/>
        <w:t>J. VERONICA</w:t>
      </w:r>
      <w:r>
        <w:rPr>
          <w:color w:val="231F20"/>
          <w:spacing w:val="-4"/>
          <w:u w:val="single" w:color="231F20"/>
        </w:rPr>
        <w:t> </w:t>
      </w:r>
      <w:r>
        <w:rPr>
          <w:color w:val="231F20"/>
          <w:u w:val="single" w:color="231F20"/>
        </w:rPr>
        <w:t>BIGGINS</w:t>
        <w:tab/>
      </w:r>
    </w:p>
    <w:p>
      <w:pPr>
        <w:spacing w:before="67"/>
        <w:ind w:left="1736" w:right="0" w:firstLine="0"/>
        <w:jc w:val="left"/>
        <w:rPr>
          <w:b/>
          <w:sz w:val="16"/>
        </w:rPr>
      </w:pPr>
      <w:r>
        <w:rPr>
          <w:b/>
          <w:color w:val="231F20"/>
          <w:sz w:val="16"/>
        </w:rPr>
        <w:t>J. Veronica Biggins</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5"/>
        <w:rPr>
          <w:sz w:val="14"/>
        </w:rPr>
      </w:pPr>
    </w:p>
    <w:p>
      <w:pPr>
        <w:spacing w:after="0"/>
        <w:rPr>
          <w:sz w:val="14"/>
        </w:rPr>
        <w:sectPr>
          <w:type w:val="continuous"/>
          <w:pgSz w:w="11880" w:h="15480"/>
          <w:pgMar w:top="1200" w:bottom="280" w:left="1260" w:right="1320"/>
        </w:sectPr>
      </w:pPr>
    </w:p>
    <w:p>
      <w:pPr>
        <w:pStyle w:val="BodyText"/>
        <w:tabs>
          <w:tab w:pos="976" w:val="left" w:leader="none"/>
          <w:tab w:pos="1366" w:val="left" w:leader="none"/>
          <w:tab w:pos="4679" w:val="left" w:leader="none"/>
        </w:tabs>
        <w:spacing w:before="92"/>
        <w:ind w:left="120"/>
        <w:jc w:val="center"/>
      </w:pPr>
      <w:r>
        <w:rPr>
          <w:color w:val="231F20"/>
          <w:u w:val="single" w:color="231F20"/>
        </w:rPr>
        <w:t> </w:t>
        <w:tab/>
        <w:t>/s/</w:t>
        <w:tab/>
        <w:t>DOUGLAS H.</w:t>
      </w:r>
      <w:r>
        <w:rPr>
          <w:color w:val="231F20"/>
          <w:spacing w:val="-5"/>
          <w:u w:val="single" w:color="231F20"/>
        </w:rPr>
        <w:t> </w:t>
      </w:r>
      <w:r>
        <w:rPr>
          <w:color w:val="231F20"/>
          <w:u w:val="single" w:color="231F20"/>
        </w:rPr>
        <w:t>BROOKS</w:t>
        <w:tab/>
      </w:r>
    </w:p>
    <w:p>
      <w:pPr>
        <w:spacing w:before="67"/>
        <w:ind w:left="120" w:right="0" w:firstLine="0"/>
        <w:jc w:val="center"/>
        <w:rPr>
          <w:b/>
          <w:sz w:val="16"/>
        </w:rPr>
      </w:pPr>
      <w:r>
        <w:rPr>
          <w:b/>
          <w:color w:val="231F20"/>
          <w:sz w:val="16"/>
        </w:rPr>
        <w:t>Douglas H. Brooks</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719" w:val="left" w:leader="none"/>
          <w:tab w:pos="1109" w:val="left" w:leader="none"/>
          <w:tab w:pos="4679" w:val="left" w:leader="none"/>
        </w:tabs>
        <w:spacing w:before="91"/>
        <w:ind w:left="120"/>
        <w:jc w:val="center"/>
      </w:pPr>
      <w:r>
        <w:rPr>
          <w:color w:val="231F20"/>
          <w:u w:val="single" w:color="231F20"/>
        </w:rPr>
        <w:t> </w:t>
        <w:tab/>
        <w:t>/s/</w:t>
        <w:tab/>
        <w:t>WILLIAM H.</w:t>
      </w:r>
      <w:r>
        <w:rPr>
          <w:color w:val="231F20"/>
          <w:spacing w:val="-2"/>
          <w:u w:val="single" w:color="231F20"/>
        </w:rPr>
        <w:t> </w:t>
      </w:r>
      <w:r>
        <w:rPr>
          <w:color w:val="231F20"/>
          <w:u w:val="single" w:color="231F20"/>
        </w:rPr>
        <w:t>CUNNINGHAM</w:t>
        <w:tab/>
      </w:r>
    </w:p>
    <w:p>
      <w:pPr>
        <w:spacing w:before="67"/>
        <w:ind w:left="119" w:right="0" w:firstLine="0"/>
        <w:jc w:val="center"/>
        <w:rPr>
          <w:b/>
          <w:sz w:val="16"/>
        </w:rPr>
      </w:pPr>
      <w:r>
        <w:rPr>
          <w:b/>
          <w:color w:val="231F20"/>
          <w:sz w:val="16"/>
        </w:rPr>
        <w:t>William H. Cunningham</w:t>
      </w:r>
    </w:p>
    <w:p>
      <w:pPr>
        <w:pStyle w:val="BodyText"/>
        <w:spacing w:before="91"/>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1164" w:val="left" w:leader="none"/>
          <w:tab w:pos="1554" w:val="left" w:leader="none"/>
          <w:tab w:pos="4679" w:val="left" w:leader="none"/>
        </w:tabs>
        <w:spacing w:before="92"/>
        <w:ind w:left="120"/>
        <w:jc w:val="center"/>
      </w:pPr>
      <w:r>
        <w:rPr>
          <w:color w:val="231F20"/>
          <w:u w:val="single" w:color="231F20"/>
        </w:rPr>
        <w:t> </w:t>
        <w:tab/>
        <w:t>/s/</w:t>
        <w:tab/>
        <w:t>JOHN G.</w:t>
      </w:r>
      <w:r>
        <w:rPr>
          <w:color w:val="231F20"/>
          <w:spacing w:val="-3"/>
          <w:u w:val="single" w:color="231F20"/>
        </w:rPr>
        <w:t> </w:t>
      </w:r>
      <w:r>
        <w:rPr>
          <w:color w:val="231F20"/>
          <w:u w:val="single" w:color="231F20"/>
        </w:rPr>
        <w:t>DENISON</w:t>
        <w:tab/>
      </w:r>
    </w:p>
    <w:p>
      <w:pPr>
        <w:spacing w:before="67"/>
        <w:ind w:left="119" w:right="0" w:firstLine="0"/>
        <w:jc w:val="center"/>
        <w:rPr>
          <w:b/>
          <w:sz w:val="16"/>
        </w:rPr>
      </w:pPr>
      <w:r>
        <w:rPr>
          <w:b/>
          <w:color w:val="231F20"/>
          <w:sz w:val="16"/>
        </w:rPr>
        <w:t>John G. Denison</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5"/>
        <w:rPr>
          <w:sz w:val="14"/>
        </w:rPr>
      </w:pPr>
    </w:p>
    <w:p>
      <w:pPr>
        <w:spacing w:after="0"/>
        <w:rPr>
          <w:sz w:val="14"/>
        </w:rPr>
        <w:sectPr>
          <w:type w:val="continuous"/>
          <w:pgSz w:w="11880" w:h="15480"/>
          <w:pgMar w:top="1200" w:bottom="280" w:left="1260" w:right="1320"/>
        </w:sectPr>
      </w:pPr>
    </w:p>
    <w:p>
      <w:pPr>
        <w:pStyle w:val="BodyText"/>
        <w:tabs>
          <w:tab w:pos="1014" w:val="left" w:leader="none"/>
          <w:tab w:pos="1404" w:val="left" w:leader="none"/>
          <w:tab w:pos="4679" w:val="left" w:leader="none"/>
        </w:tabs>
        <w:spacing w:before="92"/>
        <w:ind w:left="120"/>
        <w:jc w:val="center"/>
      </w:pPr>
      <w:r>
        <w:rPr>
          <w:color w:val="231F20"/>
          <w:u w:val="single" w:color="231F20"/>
        </w:rPr>
        <w:t> </w:t>
        <w:tab/>
        <w:t>/s/</w:t>
        <w:tab/>
        <w:t>NANCY B.</w:t>
      </w:r>
      <w:r>
        <w:rPr>
          <w:color w:val="231F20"/>
          <w:spacing w:val="-4"/>
          <w:u w:val="single" w:color="231F20"/>
        </w:rPr>
        <w:t> </w:t>
      </w:r>
      <w:r>
        <w:rPr>
          <w:color w:val="231F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1053" w:val="left" w:leader="none"/>
          <w:tab w:pos="1443" w:val="left" w:leader="none"/>
          <w:tab w:pos="4679" w:val="left" w:leader="none"/>
        </w:tabs>
        <w:spacing w:before="91"/>
        <w:ind w:left="120"/>
        <w:jc w:val="center"/>
      </w:pPr>
      <w:r>
        <w:rPr>
          <w:color w:val="231F20"/>
          <w:u w:val="single" w:color="231F20"/>
        </w:rPr>
        <w:t> </w:t>
        <w:tab/>
        <w:t>/s/</w:t>
        <w:tab/>
        <w:t>JOHN T.</w:t>
      </w:r>
      <w:r>
        <w:rPr>
          <w:color w:val="231F20"/>
          <w:spacing w:val="-3"/>
          <w:u w:val="single" w:color="231F20"/>
        </w:rPr>
        <w:t> </w:t>
      </w:r>
      <w:r>
        <w:rPr>
          <w:color w:val="231F20"/>
          <w:u w:val="single" w:color="231F20"/>
        </w:rPr>
        <w:t>MONTFORD</w:t>
        <w:tab/>
      </w:r>
    </w:p>
    <w:p>
      <w:pPr>
        <w:spacing w:before="67"/>
        <w:ind w:left="119" w:right="0" w:firstLine="0"/>
        <w:jc w:val="center"/>
        <w:rPr>
          <w:b/>
          <w:sz w:val="16"/>
        </w:rPr>
      </w:pPr>
      <w:r>
        <w:rPr>
          <w:b/>
          <w:color w:val="231F20"/>
          <w:sz w:val="16"/>
        </w:rPr>
        <w:t>John T. Montford</w:t>
      </w:r>
    </w:p>
    <w:p>
      <w:pPr>
        <w:pStyle w:val="BodyText"/>
        <w:spacing w:before="91"/>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1008" w:val="left" w:leader="none"/>
          <w:tab w:pos="1398" w:val="left" w:leader="none"/>
          <w:tab w:pos="4679" w:val="left" w:leader="none"/>
        </w:tabs>
        <w:spacing w:before="92"/>
        <w:ind w:left="120"/>
        <w:jc w:val="center"/>
      </w:pPr>
      <w:r>
        <w:rPr>
          <w:color w:val="231F20"/>
          <w:u w:val="single" w:color="231F20"/>
        </w:rPr>
        <w:t> </w:t>
        <w:tab/>
        <w:t>/s/</w:t>
        <w:tab/>
        <w:t>THOMAS M.</w:t>
      </w:r>
      <w:r>
        <w:rPr>
          <w:color w:val="231F20"/>
          <w:spacing w:val="-3"/>
          <w:u w:val="single" w:color="231F20"/>
        </w:rPr>
        <w:t> </w:t>
      </w:r>
      <w:r>
        <w:rPr>
          <w:color w:val="231F20"/>
          <w:u w:val="single" w:color="231F20"/>
        </w:rPr>
        <w:t>NEALON</w:t>
        <w:tab/>
      </w:r>
    </w:p>
    <w:p>
      <w:pPr>
        <w:spacing w:before="67"/>
        <w:ind w:left="120" w:right="0" w:firstLine="0"/>
        <w:jc w:val="center"/>
        <w:rPr>
          <w:b/>
          <w:sz w:val="16"/>
        </w:rPr>
      </w:pPr>
      <w:r>
        <w:rPr>
          <w:b/>
          <w:color w:val="231F20"/>
          <w:sz w:val="16"/>
        </w:rPr>
        <w:t>Thomas M. Nealon</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5"/>
        <w:rPr>
          <w:sz w:val="14"/>
        </w:rPr>
      </w:pPr>
    </w:p>
    <w:p>
      <w:pPr>
        <w:spacing w:after="0"/>
        <w:rPr>
          <w:sz w:val="14"/>
        </w:rPr>
        <w:sectPr>
          <w:type w:val="continuous"/>
          <w:pgSz w:w="11880" w:h="15480"/>
          <w:pgMar w:top="1200" w:bottom="280" w:left="1260" w:right="1320"/>
        </w:sectPr>
      </w:pPr>
    </w:p>
    <w:p>
      <w:pPr>
        <w:pStyle w:val="BodyText"/>
        <w:tabs>
          <w:tab w:pos="837" w:val="left" w:leader="none"/>
          <w:tab w:pos="1227" w:val="left" w:leader="none"/>
          <w:tab w:pos="4679" w:val="left" w:leader="none"/>
        </w:tabs>
        <w:spacing w:before="92"/>
        <w:ind w:left="120"/>
        <w:jc w:val="center"/>
      </w:pPr>
      <w:r>
        <w:rPr>
          <w:color w:val="231F20"/>
          <w:u w:val="single" w:color="231F20"/>
        </w:rPr>
        <w:t> </w:t>
        <w:tab/>
        <w:t>/s/</w:t>
        <w:tab/>
        <w:t>DANIEL D.</w:t>
      </w:r>
      <w:r>
        <w:rPr>
          <w:color w:val="231F20"/>
          <w:spacing w:val="-4"/>
          <w:u w:val="single" w:color="231F20"/>
        </w:rPr>
        <w:t> </w:t>
      </w:r>
      <w:r>
        <w:rPr>
          <w:color w:val="231F20"/>
          <w:u w:val="single" w:color="231F20"/>
        </w:rPr>
        <w:t>VILLANUEVA</w:t>
        <w:tab/>
      </w:r>
    </w:p>
    <w:p>
      <w:pPr>
        <w:spacing w:before="67"/>
        <w:ind w:left="119" w:right="0" w:firstLine="0"/>
        <w:jc w:val="center"/>
        <w:rPr>
          <w:b/>
          <w:sz w:val="16"/>
        </w:rPr>
      </w:pPr>
      <w:r>
        <w:rPr>
          <w:b/>
          <w:color w:val="231F20"/>
          <w:sz w:val="16"/>
        </w:rPr>
        <w:t>Daniel D. Villanueva</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Heading1"/>
        <w:ind w:right="457"/>
      </w:pPr>
      <w:r>
        <w:rPr>
          <w:color w:val="231F20"/>
        </w:rPr>
        <w:t>BOARD OF DIRECTORS</w:t>
      </w:r>
    </w:p>
    <w:p>
      <w:pPr>
        <w:pStyle w:val="BodyText"/>
        <w:rPr>
          <w:rFonts w:ascii="Arial"/>
          <w:b/>
        </w:rPr>
      </w:pPr>
    </w:p>
    <w:p>
      <w:pPr>
        <w:spacing w:after="0"/>
        <w:rPr>
          <w:rFonts w:ascii="Arial"/>
        </w:rPr>
        <w:sectPr>
          <w:footerReference w:type="default" r:id="rId44"/>
          <w:pgSz w:w="11880" w:h="15480"/>
          <w:pgMar w:footer="0" w:header="0" w:top="660" w:bottom="280" w:left="1280" w:right="1260"/>
        </w:sectPr>
      </w:pPr>
    </w:p>
    <w:p>
      <w:pPr>
        <w:pStyle w:val="BodyText"/>
        <w:spacing w:before="8"/>
        <w:rPr>
          <w:rFonts w:ascii="Arial"/>
          <w:b/>
          <w:sz w:val="21"/>
        </w:rPr>
      </w:pPr>
    </w:p>
    <w:p>
      <w:pPr>
        <w:spacing w:before="1"/>
        <w:ind w:left="100" w:right="0" w:firstLine="0"/>
        <w:jc w:val="left"/>
        <w:rPr>
          <w:rFonts w:ascii="Arial"/>
          <w:b/>
          <w:sz w:val="18"/>
        </w:rPr>
      </w:pPr>
      <w:r>
        <w:rPr>
          <w:rFonts w:ascii="Arial"/>
          <w:b/>
          <w:color w:val="231F20"/>
          <w:sz w:val="18"/>
        </w:rPr>
        <w:t>DAVID W. BIEGLER</w:t>
      </w:r>
    </w:p>
    <w:p>
      <w:pPr>
        <w:spacing w:line="254" w:lineRule="auto" w:before="93"/>
        <w:ind w:left="100" w:right="627" w:firstLine="0"/>
        <w:jc w:val="both"/>
        <w:rPr>
          <w:rFonts w:ascii="Arial"/>
          <w:sz w:val="18"/>
        </w:rPr>
      </w:pPr>
      <w:r>
        <w:rPr>
          <w:rFonts w:ascii="Arial"/>
          <w:color w:val="231F20"/>
          <w:sz w:val="18"/>
        </w:rPr>
        <w:t>Chairman, President, and Chief Executive Officer Southcross Energy Partners GP, LLC (midstream natural gas company)</w:t>
      </w:r>
    </w:p>
    <w:p>
      <w:pPr>
        <w:spacing w:before="0"/>
        <w:ind w:left="100" w:right="0" w:firstLine="0"/>
        <w:jc w:val="left"/>
        <w:rPr>
          <w:rFonts w:ascii="Arial"/>
          <w:sz w:val="18"/>
        </w:rPr>
      </w:pPr>
      <w:r>
        <w:rPr>
          <w:rFonts w:ascii="Arial"/>
          <w:color w:val="231F20"/>
          <w:sz w:val="18"/>
        </w:rPr>
        <w:t>Retired Vice Chairman of TXU Corp.</w:t>
      </w:r>
    </w:p>
    <w:p>
      <w:pPr>
        <w:spacing w:line="254" w:lineRule="auto" w:before="12"/>
        <w:ind w:left="100" w:right="388" w:firstLine="0"/>
        <w:jc w:val="left"/>
        <w:rPr>
          <w:rFonts w:ascii="Arial"/>
          <w:i/>
          <w:sz w:val="18"/>
        </w:rPr>
      </w:pPr>
      <w:r>
        <w:rPr>
          <w:rFonts w:ascii="Arial"/>
          <w:i/>
          <w:color w:val="231F20"/>
          <w:sz w:val="18"/>
        </w:rPr>
        <w:t>Audit Committee, Compensation Committee (Chair), </w:t>
      </w:r>
      <w:r>
        <w:rPr>
          <w:rFonts w:ascii="Arial"/>
          <w:i/>
          <w:color w:val="231F20"/>
          <w:sz w:val="18"/>
        </w:rPr>
        <w:t>and Safety and Compliance Oversight Committee</w:t>
      </w:r>
    </w:p>
    <w:p>
      <w:pPr>
        <w:pStyle w:val="BodyText"/>
        <w:spacing w:before="10"/>
        <w:rPr>
          <w:rFonts w:ascii="Arial"/>
          <w:i/>
        </w:rPr>
      </w:pPr>
    </w:p>
    <w:p>
      <w:pPr>
        <w:spacing w:before="1"/>
        <w:ind w:left="100" w:right="0" w:firstLine="0"/>
        <w:jc w:val="left"/>
        <w:rPr>
          <w:rFonts w:ascii="Arial"/>
          <w:b/>
          <w:sz w:val="18"/>
        </w:rPr>
      </w:pPr>
      <w:r>
        <w:rPr>
          <w:rFonts w:ascii="Arial"/>
          <w:b/>
          <w:color w:val="231F20"/>
          <w:sz w:val="18"/>
        </w:rPr>
        <w:t>J. VERONICA BIGGINS</w:t>
      </w:r>
    </w:p>
    <w:p>
      <w:pPr>
        <w:spacing w:before="93"/>
        <w:ind w:left="100" w:right="0" w:firstLine="0"/>
        <w:jc w:val="left"/>
        <w:rPr>
          <w:rFonts w:ascii="Arial"/>
          <w:sz w:val="18"/>
        </w:rPr>
      </w:pPr>
      <w:r>
        <w:rPr>
          <w:rFonts w:ascii="Arial"/>
          <w:color w:val="231F20"/>
          <w:sz w:val="18"/>
        </w:rPr>
        <w:t>Managing Director</w:t>
      </w:r>
    </w:p>
    <w:p>
      <w:pPr>
        <w:spacing w:before="12"/>
        <w:ind w:left="100" w:right="0" w:firstLine="0"/>
        <w:jc w:val="left"/>
        <w:rPr>
          <w:rFonts w:ascii="Arial"/>
          <w:sz w:val="18"/>
        </w:rPr>
      </w:pPr>
      <w:r>
        <w:rPr>
          <w:rFonts w:ascii="Arial"/>
          <w:color w:val="231F20"/>
          <w:sz w:val="18"/>
        </w:rPr>
        <w:t>Diversified Search LLC (executive and board search</w:t>
      </w:r>
      <w:r>
        <w:rPr>
          <w:rFonts w:ascii="Arial"/>
          <w:color w:val="231F20"/>
          <w:spacing w:val="-8"/>
          <w:sz w:val="18"/>
        </w:rPr>
        <w:t> </w:t>
      </w:r>
      <w:r>
        <w:rPr>
          <w:rFonts w:ascii="Arial"/>
          <w:color w:val="231F20"/>
          <w:sz w:val="18"/>
        </w:rPr>
        <w:t>firm)</w:t>
      </w:r>
    </w:p>
    <w:p>
      <w:pPr>
        <w:spacing w:before="12"/>
        <w:ind w:left="100" w:right="0" w:firstLine="0"/>
        <w:jc w:val="left"/>
        <w:rPr>
          <w:rFonts w:ascii="Arial"/>
          <w:i/>
          <w:sz w:val="18"/>
        </w:rPr>
      </w:pPr>
      <w:r>
        <w:rPr>
          <w:rFonts w:ascii="Arial"/>
          <w:i/>
          <w:color w:val="231F20"/>
          <w:sz w:val="18"/>
        </w:rPr>
        <w:t>Compensation Committee</w:t>
      </w:r>
    </w:p>
    <w:p>
      <w:pPr>
        <w:pStyle w:val="BodyText"/>
        <w:spacing w:before="11"/>
        <w:rPr>
          <w:rFonts w:ascii="Arial"/>
          <w:i/>
          <w:sz w:val="21"/>
        </w:rPr>
      </w:pPr>
    </w:p>
    <w:p>
      <w:pPr>
        <w:spacing w:before="0"/>
        <w:ind w:left="100" w:right="0" w:firstLine="0"/>
        <w:jc w:val="left"/>
        <w:rPr>
          <w:rFonts w:ascii="Arial"/>
          <w:b/>
          <w:sz w:val="18"/>
        </w:rPr>
      </w:pPr>
      <w:r>
        <w:rPr>
          <w:rFonts w:ascii="Arial"/>
          <w:b/>
          <w:color w:val="231F20"/>
          <w:sz w:val="18"/>
        </w:rPr>
        <w:t>DOUGLAS H. BROOKS</w:t>
      </w:r>
    </w:p>
    <w:p>
      <w:pPr>
        <w:spacing w:line="254" w:lineRule="auto" w:before="92"/>
        <w:ind w:left="100" w:right="378" w:firstLine="0"/>
        <w:jc w:val="left"/>
        <w:rPr>
          <w:rFonts w:ascii="Arial"/>
          <w:sz w:val="18"/>
        </w:rPr>
      </w:pPr>
      <w:r>
        <w:rPr>
          <w:rFonts w:ascii="Arial"/>
          <w:color w:val="231F20"/>
          <w:sz w:val="18"/>
        </w:rPr>
        <w:t>Former Chairman of the Board, President, and Chief Executive Officer</w:t>
      </w:r>
    </w:p>
    <w:p>
      <w:pPr>
        <w:spacing w:line="254" w:lineRule="auto" w:before="0"/>
        <w:ind w:left="100" w:right="527" w:firstLine="0"/>
        <w:jc w:val="left"/>
        <w:rPr>
          <w:rFonts w:ascii="Arial"/>
          <w:sz w:val="18"/>
        </w:rPr>
      </w:pPr>
      <w:r>
        <w:rPr>
          <w:rFonts w:ascii="Arial"/>
          <w:color w:val="231F20"/>
          <w:sz w:val="18"/>
        </w:rPr>
        <w:t>Brinker International, Inc. (casual dining restaurant company)</w:t>
      </w:r>
    </w:p>
    <w:p>
      <w:pPr>
        <w:spacing w:before="0"/>
        <w:ind w:left="100" w:right="0" w:firstLine="0"/>
        <w:jc w:val="left"/>
        <w:rPr>
          <w:rFonts w:ascii="Arial"/>
          <w:i/>
          <w:sz w:val="18"/>
        </w:rPr>
      </w:pPr>
      <w:r>
        <w:rPr>
          <w:rFonts w:ascii="Arial"/>
          <w:i/>
          <w:color w:val="231F20"/>
          <w:sz w:val="18"/>
        </w:rPr>
        <w:t>Nominating and Corporate Governance Committee</w:t>
      </w:r>
    </w:p>
    <w:p>
      <w:pPr>
        <w:pStyle w:val="BodyText"/>
        <w:spacing w:before="10"/>
        <w:rPr>
          <w:rFonts w:ascii="Arial"/>
          <w:i/>
          <w:sz w:val="21"/>
        </w:rPr>
      </w:pPr>
    </w:p>
    <w:p>
      <w:pPr>
        <w:spacing w:before="1"/>
        <w:ind w:left="100" w:right="0" w:firstLine="0"/>
        <w:jc w:val="left"/>
        <w:rPr>
          <w:rFonts w:ascii="Arial"/>
          <w:b/>
          <w:sz w:val="18"/>
        </w:rPr>
      </w:pPr>
      <w:r>
        <w:rPr>
          <w:rFonts w:ascii="Arial"/>
          <w:b/>
          <w:color w:val="231F20"/>
          <w:sz w:val="18"/>
        </w:rPr>
        <w:t>WILLIAM H. CUNNINGHAM, PHD</w:t>
      </w:r>
    </w:p>
    <w:p>
      <w:pPr>
        <w:spacing w:before="13"/>
        <w:ind w:left="100" w:right="0" w:firstLine="0"/>
        <w:jc w:val="left"/>
        <w:rPr>
          <w:rFonts w:ascii="Arial"/>
          <w:b/>
          <w:sz w:val="18"/>
        </w:rPr>
      </w:pPr>
      <w:r>
        <w:rPr>
          <w:rFonts w:ascii="Arial"/>
          <w:b/>
          <w:color w:val="231F20"/>
          <w:sz w:val="18"/>
        </w:rPr>
        <w:t>(Presiding Director)</w:t>
      </w:r>
    </w:p>
    <w:p>
      <w:pPr>
        <w:spacing w:before="93"/>
        <w:ind w:left="100" w:right="0" w:firstLine="0"/>
        <w:jc w:val="left"/>
        <w:rPr>
          <w:rFonts w:ascii="Arial"/>
          <w:sz w:val="18"/>
        </w:rPr>
      </w:pPr>
      <w:r>
        <w:rPr>
          <w:rFonts w:ascii="Arial"/>
          <w:color w:val="231F20"/>
          <w:sz w:val="18"/>
        </w:rPr>
        <w:t>James L. Bayless Chair for Free Enterprise</w:t>
      </w:r>
    </w:p>
    <w:p>
      <w:pPr>
        <w:spacing w:line="254" w:lineRule="auto" w:before="13"/>
        <w:ind w:left="100" w:right="668" w:firstLine="0"/>
        <w:jc w:val="left"/>
        <w:rPr>
          <w:rFonts w:ascii="Arial"/>
          <w:sz w:val="18"/>
        </w:rPr>
      </w:pPr>
      <w:r>
        <w:rPr>
          <w:rFonts w:ascii="Arial"/>
          <w:color w:val="231F20"/>
          <w:sz w:val="18"/>
        </w:rPr>
        <w:t>The University of Texas at Austin Red McCombs School of Business</w:t>
      </w:r>
    </w:p>
    <w:p>
      <w:pPr>
        <w:spacing w:line="254" w:lineRule="auto" w:before="1"/>
        <w:ind w:left="100" w:right="268" w:firstLine="0"/>
        <w:jc w:val="left"/>
        <w:rPr>
          <w:rFonts w:ascii="Arial"/>
          <w:i/>
          <w:sz w:val="18"/>
        </w:rPr>
      </w:pPr>
      <w:r>
        <w:rPr>
          <w:rFonts w:ascii="Arial"/>
          <w:color w:val="231F20"/>
          <w:sz w:val="18"/>
        </w:rPr>
        <w:t>Former Chancellor of The University of Texas System </w:t>
      </w:r>
      <w:r>
        <w:rPr>
          <w:rFonts w:ascii="Arial"/>
          <w:i/>
          <w:color w:val="231F20"/>
          <w:sz w:val="18"/>
        </w:rPr>
        <w:t>Audit Committee, Nominating and Corporate </w:t>
      </w:r>
      <w:r>
        <w:rPr>
          <w:rFonts w:ascii="Arial"/>
          <w:i/>
          <w:color w:val="231F20"/>
          <w:sz w:val="18"/>
        </w:rPr>
        <w:t>Governance Committee (Chair), and Executive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JOHN G. DENISON</w:t>
      </w:r>
    </w:p>
    <w:p>
      <w:pPr>
        <w:spacing w:before="93"/>
        <w:ind w:left="100" w:right="0" w:firstLine="0"/>
        <w:jc w:val="left"/>
        <w:rPr>
          <w:rFonts w:ascii="Arial"/>
          <w:sz w:val="18"/>
        </w:rPr>
      </w:pPr>
      <w:r>
        <w:rPr>
          <w:rFonts w:ascii="Arial"/>
          <w:color w:val="231F20"/>
          <w:sz w:val="18"/>
        </w:rPr>
        <w:t>Former Chairman of the Board</w:t>
      </w:r>
    </w:p>
    <w:p>
      <w:pPr>
        <w:spacing w:line="254" w:lineRule="auto" w:before="13"/>
        <w:ind w:left="100" w:right="698" w:firstLine="0"/>
        <w:jc w:val="left"/>
        <w:rPr>
          <w:rFonts w:ascii="Arial"/>
          <w:sz w:val="18"/>
        </w:rPr>
      </w:pPr>
      <w:r>
        <w:rPr>
          <w:rFonts w:ascii="Arial"/>
          <w:color w:val="231F20"/>
          <w:sz w:val="18"/>
        </w:rPr>
        <w:t>Global Aero Logistics Inc. (diversified passenger airline)</w:t>
      </w:r>
    </w:p>
    <w:p>
      <w:pPr>
        <w:spacing w:line="254" w:lineRule="auto" w:before="1"/>
        <w:ind w:left="100" w:right="438" w:firstLine="0"/>
        <w:jc w:val="left"/>
        <w:rPr>
          <w:rFonts w:ascii="Arial"/>
          <w:i/>
          <w:sz w:val="18"/>
        </w:rPr>
      </w:pPr>
      <w:r>
        <w:rPr>
          <w:rFonts w:ascii="Arial"/>
          <w:i/>
          <w:color w:val="231F20"/>
          <w:sz w:val="18"/>
        </w:rPr>
        <w:t>Audit Committee, Safety and Compliance Oversight </w:t>
      </w:r>
      <w:r>
        <w:rPr>
          <w:rFonts w:ascii="Arial"/>
          <w:i/>
          <w:color w:val="231F20"/>
          <w:sz w:val="18"/>
        </w:rPr>
        <w:t>Committee (Chair), and Executive Committee</w:t>
      </w:r>
    </w:p>
    <w:p>
      <w:pPr>
        <w:pStyle w:val="BodyText"/>
        <w:spacing w:before="8"/>
        <w:rPr>
          <w:rFonts w:ascii="Arial"/>
          <w:i/>
          <w:sz w:val="21"/>
        </w:rPr>
      </w:pPr>
      <w:r>
        <w:rPr/>
        <w:br w:type="column"/>
      </w:r>
      <w:r>
        <w:rPr>
          <w:rFonts w:ascii="Arial"/>
          <w:i/>
          <w:sz w:val="21"/>
        </w:rPr>
      </w:r>
    </w:p>
    <w:p>
      <w:pPr>
        <w:spacing w:before="0"/>
        <w:ind w:left="100" w:right="0" w:firstLine="0"/>
        <w:jc w:val="left"/>
        <w:rPr>
          <w:rFonts w:ascii="Arial"/>
          <w:b/>
          <w:sz w:val="18"/>
        </w:rPr>
      </w:pPr>
      <w:r>
        <w:rPr>
          <w:rFonts w:ascii="Arial"/>
          <w:b/>
          <w:color w:val="231F20"/>
          <w:sz w:val="18"/>
        </w:rPr>
        <w:t>GARY C. KELLY</w:t>
      </w:r>
    </w:p>
    <w:p>
      <w:pPr>
        <w:spacing w:line="254" w:lineRule="auto" w:before="92"/>
        <w:ind w:left="100" w:right="137" w:firstLine="0"/>
        <w:jc w:val="left"/>
        <w:rPr>
          <w:rFonts w:ascii="Arial"/>
          <w:sz w:val="18"/>
        </w:rPr>
      </w:pPr>
      <w:r>
        <w:rPr>
          <w:rFonts w:ascii="Arial"/>
          <w:color w:val="231F20"/>
          <w:sz w:val="18"/>
        </w:rPr>
        <w:t>Chairman of the Board, President, and Chief Executive Officer</w:t>
      </w:r>
    </w:p>
    <w:p>
      <w:pPr>
        <w:spacing w:before="0"/>
        <w:ind w:left="100" w:right="0" w:firstLine="0"/>
        <w:jc w:val="left"/>
        <w:rPr>
          <w:rFonts w:ascii="Arial"/>
          <w:sz w:val="18"/>
        </w:rPr>
      </w:pPr>
      <w:r>
        <w:rPr>
          <w:rFonts w:ascii="Arial"/>
          <w:color w:val="231F20"/>
          <w:sz w:val="18"/>
        </w:rPr>
        <w:t>Southwest Airlines Co.</w:t>
      </w:r>
    </w:p>
    <w:p>
      <w:pPr>
        <w:spacing w:before="12"/>
        <w:ind w:left="100" w:right="0" w:firstLine="0"/>
        <w:jc w:val="left"/>
        <w:rPr>
          <w:rFonts w:ascii="Arial"/>
          <w:i/>
          <w:sz w:val="18"/>
        </w:rPr>
      </w:pPr>
      <w:r>
        <w:rPr>
          <w:rFonts w:ascii="Arial"/>
          <w:i/>
          <w:color w:val="231F20"/>
          <w:sz w:val="18"/>
        </w:rPr>
        <w:t>Executive Committee (Chair)</w:t>
      </w:r>
    </w:p>
    <w:p>
      <w:pPr>
        <w:pStyle w:val="BodyText"/>
        <w:spacing w:before="11"/>
        <w:rPr>
          <w:rFonts w:ascii="Arial"/>
          <w:i/>
          <w:sz w:val="21"/>
        </w:rPr>
      </w:pPr>
    </w:p>
    <w:p>
      <w:pPr>
        <w:spacing w:before="0"/>
        <w:ind w:left="100" w:right="0" w:firstLine="0"/>
        <w:jc w:val="left"/>
        <w:rPr>
          <w:rFonts w:ascii="Arial"/>
          <w:b/>
          <w:sz w:val="18"/>
        </w:rPr>
      </w:pPr>
      <w:r>
        <w:rPr>
          <w:rFonts w:ascii="Arial"/>
          <w:b/>
          <w:color w:val="231F20"/>
          <w:sz w:val="18"/>
        </w:rPr>
        <w:t>NANCY B. LOEFFLER</w:t>
      </w:r>
    </w:p>
    <w:p>
      <w:pPr>
        <w:spacing w:line="254" w:lineRule="auto" w:before="93"/>
        <w:ind w:left="100" w:right="448" w:firstLine="0"/>
        <w:jc w:val="left"/>
        <w:rPr>
          <w:rFonts w:ascii="Arial"/>
          <w:sz w:val="18"/>
        </w:rPr>
      </w:pPr>
      <w:r>
        <w:rPr>
          <w:rFonts w:ascii="Arial"/>
          <w:color w:val="231F20"/>
          <w:sz w:val="18"/>
        </w:rPr>
        <w:t>Consultant for Frost Bank and member of the Frost Bank Advisory Board</w:t>
      </w:r>
    </w:p>
    <w:p>
      <w:pPr>
        <w:spacing w:before="1"/>
        <w:ind w:left="100" w:right="0" w:firstLine="0"/>
        <w:jc w:val="left"/>
        <w:rPr>
          <w:rFonts w:ascii="Arial"/>
          <w:sz w:val="18"/>
        </w:rPr>
      </w:pPr>
      <w:r>
        <w:rPr>
          <w:rFonts w:ascii="Arial"/>
          <w:color w:val="231F20"/>
          <w:sz w:val="18"/>
        </w:rPr>
        <w:t>Long-time advocate of volunteerism</w:t>
      </w:r>
    </w:p>
    <w:p>
      <w:pPr>
        <w:spacing w:before="13"/>
        <w:ind w:left="100" w:right="0" w:firstLine="0"/>
        <w:jc w:val="left"/>
        <w:rPr>
          <w:rFonts w:ascii="Arial"/>
          <w:i/>
          <w:sz w:val="18"/>
        </w:rPr>
      </w:pPr>
      <w:r>
        <w:rPr>
          <w:rFonts w:ascii="Arial"/>
          <w:i/>
          <w:color w:val="231F20"/>
          <w:sz w:val="18"/>
        </w:rPr>
        <w:t>Compensation Committee</w:t>
      </w:r>
    </w:p>
    <w:p>
      <w:pPr>
        <w:pStyle w:val="BodyText"/>
        <w:rPr>
          <w:rFonts w:ascii="Arial"/>
          <w:i/>
          <w:sz w:val="22"/>
        </w:rPr>
      </w:pPr>
    </w:p>
    <w:p>
      <w:pPr>
        <w:spacing w:before="0"/>
        <w:ind w:left="100" w:right="0" w:firstLine="0"/>
        <w:jc w:val="left"/>
        <w:rPr>
          <w:rFonts w:ascii="Arial"/>
          <w:b/>
          <w:sz w:val="18"/>
        </w:rPr>
      </w:pPr>
      <w:r>
        <w:rPr>
          <w:rFonts w:ascii="Arial"/>
          <w:b/>
          <w:color w:val="231F20"/>
          <w:sz w:val="18"/>
        </w:rPr>
        <w:t>JOHN T. MONTFORD</w:t>
      </w:r>
    </w:p>
    <w:p>
      <w:pPr>
        <w:spacing w:line="254" w:lineRule="auto" w:before="93"/>
        <w:ind w:left="100" w:right="1518" w:firstLine="0"/>
        <w:jc w:val="left"/>
        <w:rPr>
          <w:rFonts w:ascii="Arial"/>
          <w:sz w:val="18"/>
        </w:rPr>
      </w:pPr>
      <w:r>
        <w:rPr>
          <w:rFonts w:ascii="Arial"/>
          <w:color w:val="231F20"/>
          <w:sz w:val="18"/>
        </w:rPr>
        <w:t>President and Chief Executive Officer JTM Consulting, LLC</w:t>
      </w:r>
    </w:p>
    <w:p>
      <w:pPr>
        <w:spacing w:line="254" w:lineRule="auto" w:before="1"/>
        <w:ind w:left="100" w:right="88" w:firstLine="0"/>
        <w:jc w:val="left"/>
        <w:rPr>
          <w:rFonts w:ascii="Arial"/>
          <w:i/>
          <w:sz w:val="18"/>
        </w:rPr>
      </w:pPr>
      <w:r>
        <w:rPr>
          <w:rFonts w:ascii="Arial"/>
          <w:i/>
          <w:color w:val="231F20"/>
          <w:sz w:val="18"/>
        </w:rPr>
        <w:t>Audit Committee (Chair), Compensation Committee, </w:t>
      </w:r>
      <w:r>
        <w:rPr>
          <w:rFonts w:ascii="Arial"/>
          <w:i/>
          <w:color w:val="231F20"/>
          <w:sz w:val="18"/>
        </w:rPr>
        <w:t>and Nominating and Corporate Governance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THOMAS M. NEALON</w:t>
      </w:r>
    </w:p>
    <w:p>
      <w:pPr>
        <w:spacing w:before="93"/>
        <w:ind w:left="100" w:right="0" w:firstLine="0"/>
        <w:jc w:val="left"/>
        <w:rPr>
          <w:rFonts w:ascii="Arial"/>
          <w:sz w:val="18"/>
        </w:rPr>
      </w:pPr>
      <w:r>
        <w:rPr>
          <w:rFonts w:ascii="Arial"/>
          <w:color w:val="231F20"/>
          <w:sz w:val="18"/>
        </w:rPr>
        <w:t>Former Group Executive Vice President</w:t>
      </w:r>
    </w:p>
    <w:p>
      <w:pPr>
        <w:spacing w:line="254" w:lineRule="auto" w:before="13"/>
        <w:ind w:left="100" w:right="97" w:firstLine="0"/>
        <w:jc w:val="left"/>
        <w:rPr>
          <w:rFonts w:ascii="Arial"/>
          <w:i/>
          <w:sz w:val="18"/>
        </w:rPr>
      </w:pPr>
      <w:r>
        <w:rPr>
          <w:rFonts w:ascii="Arial"/>
          <w:color w:val="231F20"/>
          <w:sz w:val="18"/>
        </w:rPr>
        <w:t>J.C. Penney Company, Inc. (retail company) </w:t>
      </w:r>
      <w:r>
        <w:rPr>
          <w:rFonts w:ascii="Arial"/>
          <w:i/>
          <w:color w:val="231F20"/>
          <w:sz w:val="18"/>
        </w:rPr>
        <w:t>Nominating and Corporate Governance Committee and </w:t>
      </w:r>
      <w:r>
        <w:rPr>
          <w:rFonts w:ascii="Arial"/>
          <w:i/>
          <w:color w:val="231F20"/>
          <w:sz w:val="18"/>
        </w:rPr>
        <w:t>Safety and Compliance Oversight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DANIEL D. VILLANUEVA</w:t>
      </w:r>
    </w:p>
    <w:p>
      <w:pPr>
        <w:spacing w:before="93"/>
        <w:ind w:left="100" w:right="0" w:firstLine="0"/>
        <w:jc w:val="left"/>
        <w:rPr>
          <w:rFonts w:ascii="Arial"/>
          <w:sz w:val="18"/>
        </w:rPr>
      </w:pPr>
      <w:r>
        <w:rPr>
          <w:rFonts w:ascii="Arial"/>
          <w:color w:val="231F20"/>
          <w:sz w:val="18"/>
        </w:rPr>
        <w:t>Partner</w:t>
      </w:r>
    </w:p>
    <w:p>
      <w:pPr>
        <w:spacing w:line="254" w:lineRule="auto" w:before="13"/>
        <w:ind w:left="100" w:right="178" w:firstLine="0"/>
        <w:jc w:val="left"/>
        <w:rPr>
          <w:rFonts w:ascii="Arial"/>
          <w:i/>
          <w:sz w:val="18"/>
        </w:rPr>
      </w:pPr>
      <w:r>
        <w:rPr>
          <w:rFonts w:ascii="Arial"/>
          <w:color w:val="231F20"/>
          <w:sz w:val="18"/>
        </w:rPr>
        <w:t>Rustic Canyon/Fontis Partners, LP (private equity</w:t>
      </w:r>
      <w:r>
        <w:rPr>
          <w:rFonts w:ascii="Arial"/>
          <w:color w:val="231F20"/>
          <w:spacing w:val="-7"/>
          <w:sz w:val="18"/>
        </w:rPr>
        <w:t> </w:t>
      </w:r>
      <w:r>
        <w:rPr>
          <w:rFonts w:ascii="Arial"/>
          <w:color w:val="231F20"/>
          <w:sz w:val="18"/>
        </w:rPr>
        <w:t>firm) President of The Villanueva Companies </w:t>
      </w:r>
      <w:r>
        <w:rPr>
          <w:rFonts w:ascii="Arial"/>
          <w:i/>
          <w:color w:val="231F20"/>
          <w:sz w:val="18"/>
        </w:rPr>
        <w:t>Compensation Committee and Safety and Compliance </w:t>
      </w:r>
      <w:r>
        <w:rPr>
          <w:rFonts w:ascii="Arial"/>
          <w:i/>
          <w:color w:val="231F20"/>
          <w:sz w:val="18"/>
        </w:rPr>
        <w:t>Oversight</w:t>
      </w:r>
      <w:r>
        <w:rPr>
          <w:rFonts w:ascii="Arial"/>
          <w:i/>
          <w:color w:val="231F20"/>
          <w:spacing w:val="-2"/>
          <w:sz w:val="18"/>
        </w:rPr>
        <w:t> </w:t>
      </w:r>
      <w:r>
        <w:rPr>
          <w:rFonts w:ascii="Arial"/>
          <w:i/>
          <w:color w:val="231F20"/>
          <w:sz w:val="18"/>
        </w:rPr>
        <w:t>Committee</w:t>
      </w:r>
    </w:p>
    <w:p>
      <w:pPr>
        <w:pStyle w:val="BodyText"/>
        <w:spacing w:before="11"/>
        <w:rPr>
          <w:rFonts w:ascii="Arial"/>
          <w:i/>
        </w:rPr>
      </w:pPr>
    </w:p>
    <w:p>
      <w:pPr>
        <w:spacing w:before="0"/>
        <w:ind w:left="100" w:right="0" w:firstLine="0"/>
        <w:jc w:val="left"/>
        <w:rPr>
          <w:rFonts w:ascii="Arial"/>
          <w:b/>
          <w:i/>
          <w:sz w:val="18"/>
        </w:rPr>
      </w:pPr>
      <w:r>
        <w:rPr>
          <w:rFonts w:ascii="Arial"/>
          <w:b/>
          <w:i/>
          <w:color w:val="231F20"/>
          <w:sz w:val="18"/>
        </w:rPr>
        <w:t>HONORARY DESIGNATIONS</w:t>
      </w:r>
    </w:p>
    <w:p>
      <w:pPr>
        <w:spacing w:before="93"/>
        <w:ind w:left="100" w:right="0" w:firstLine="0"/>
        <w:jc w:val="left"/>
        <w:rPr>
          <w:rFonts w:ascii="Arial"/>
          <w:b/>
          <w:sz w:val="18"/>
        </w:rPr>
      </w:pPr>
      <w:r>
        <w:rPr>
          <w:rFonts w:ascii="Arial"/>
          <w:b/>
          <w:color w:val="231F20"/>
          <w:sz w:val="18"/>
        </w:rPr>
        <w:t>HERBERT D. KELLEHER</w:t>
      </w:r>
    </w:p>
    <w:p>
      <w:pPr>
        <w:spacing w:line="254" w:lineRule="auto" w:before="13"/>
        <w:ind w:left="100" w:right="2169" w:firstLine="0"/>
        <w:jc w:val="left"/>
        <w:rPr>
          <w:rFonts w:ascii="Arial"/>
          <w:sz w:val="18"/>
        </w:rPr>
      </w:pPr>
      <w:r>
        <w:rPr>
          <w:rFonts w:ascii="Arial"/>
          <w:color w:val="231F20"/>
          <w:sz w:val="18"/>
        </w:rPr>
        <w:t>Chairman Emeritus Southwest Airlines Co.</w:t>
      </w:r>
    </w:p>
    <w:p>
      <w:pPr>
        <w:spacing w:before="81"/>
        <w:ind w:left="100" w:right="0" w:firstLine="0"/>
        <w:jc w:val="left"/>
        <w:rPr>
          <w:rFonts w:ascii="Arial"/>
          <w:b/>
          <w:sz w:val="18"/>
        </w:rPr>
      </w:pPr>
      <w:r>
        <w:rPr>
          <w:rFonts w:ascii="Arial"/>
          <w:b/>
          <w:color w:val="231F20"/>
          <w:sz w:val="18"/>
        </w:rPr>
        <w:t>COLLEEN C. BARRETT</w:t>
      </w:r>
    </w:p>
    <w:p>
      <w:pPr>
        <w:spacing w:line="254" w:lineRule="auto" w:before="13"/>
        <w:ind w:left="100" w:right="2699" w:firstLine="0"/>
        <w:jc w:val="left"/>
        <w:rPr>
          <w:rFonts w:ascii="Arial"/>
          <w:sz w:val="18"/>
        </w:rPr>
      </w:pPr>
      <w:r>
        <w:rPr>
          <w:rFonts w:ascii="Arial"/>
          <w:color w:val="231F20"/>
          <w:sz w:val="18"/>
        </w:rPr>
        <w:t>President Emeritus Southwest Airlines Co.</w:t>
      </w:r>
    </w:p>
    <w:p>
      <w:pPr>
        <w:spacing w:after="0" w:line="254" w:lineRule="auto"/>
        <w:jc w:val="left"/>
        <w:rPr>
          <w:rFonts w:ascii="Arial"/>
          <w:sz w:val="18"/>
        </w:rPr>
        <w:sectPr>
          <w:type w:val="continuous"/>
          <w:pgSz w:w="11880" w:h="15480"/>
          <w:pgMar w:top="1200" w:bottom="280" w:left="1280" w:right="1260"/>
          <w:cols w:num="2" w:equalWidth="0">
            <w:col w:w="4670" w:space="40"/>
            <w:col w:w="4630"/>
          </w:cols>
        </w:sectPr>
      </w:pPr>
    </w:p>
    <w:p>
      <w:pPr>
        <w:pStyle w:val="Heading1"/>
        <w:ind w:left="3013" w:right="0"/>
        <w:jc w:val="left"/>
      </w:pPr>
      <w:r>
        <w:rPr>
          <w:color w:val="231F20"/>
        </w:rPr>
        <w:t>CORPORATE INFORMATION</w:t>
      </w:r>
    </w:p>
    <w:p>
      <w:pPr>
        <w:pStyle w:val="BodyText"/>
        <w:spacing w:before="6"/>
        <w:rPr>
          <w:rFonts w:ascii="Arial"/>
          <w:b/>
          <w:sz w:val="13"/>
        </w:rPr>
      </w:pPr>
    </w:p>
    <w:p>
      <w:pPr>
        <w:spacing w:after="0"/>
        <w:rPr>
          <w:rFonts w:ascii="Arial"/>
          <w:sz w:val="13"/>
        </w:rPr>
        <w:sectPr>
          <w:footerReference w:type="default" r:id="rId45"/>
          <w:pgSz w:w="11880" w:h="15480"/>
          <w:pgMar w:footer="0" w:header="0" w:top="1200" w:bottom="280" w:left="1280" w:right="1260"/>
        </w:sectPr>
      </w:pPr>
    </w:p>
    <w:p>
      <w:pPr>
        <w:spacing w:line="203" w:lineRule="exact" w:before="101"/>
        <w:ind w:left="100" w:right="0" w:firstLine="0"/>
        <w:jc w:val="left"/>
        <w:rPr>
          <w:rFonts w:ascii="Arial"/>
          <w:b/>
          <w:sz w:val="18"/>
        </w:rPr>
      </w:pPr>
      <w:r>
        <w:rPr>
          <w:rFonts w:ascii="Arial"/>
          <w:b/>
          <w:color w:val="231F20"/>
          <w:sz w:val="18"/>
        </w:rPr>
        <w:t>SOUTHWEST AIRLINES CO. GENERAL OFFICES</w:t>
      </w:r>
    </w:p>
    <w:p>
      <w:pPr>
        <w:spacing w:line="200" w:lineRule="exact" w:before="0"/>
        <w:ind w:left="100" w:right="0" w:firstLine="0"/>
        <w:jc w:val="left"/>
        <w:rPr>
          <w:rFonts w:ascii="Arial"/>
          <w:sz w:val="18"/>
        </w:rPr>
      </w:pPr>
      <w:r>
        <w:rPr>
          <w:rFonts w:ascii="Arial"/>
          <w:color w:val="231F20"/>
          <w:sz w:val="18"/>
        </w:rPr>
        <w:t>P.O. Box 36611</w:t>
      </w:r>
    </w:p>
    <w:p>
      <w:pPr>
        <w:spacing w:line="200" w:lineRule="exact" w:before="5"/>
        <w:ind w:left="100" w:right="2500" w:firstLine="0"/>
        <w:jc w:val="left"/>
        <w:rPr>
          <w:rFonts w:ascii="Arial"/>
          <w:sz w:val="18"/>
        </w:rPr>
      </w:pPr>
      <w:r>
        <w:rPr>
          <w:rFonts w:ascii="Arial"/>
          <w:color w:val="231F20"/>
          <w:sz w:val="18"/>
        </w:rPr>
        <w:t>2702 Love Field Drive Dallas, TX 75235</w:t>
      </w:r>
    </w:p>
    <w:p>
      <w:pPr>
        <w:spacing w:line="198" w:lineRule="exact" w:before="0"/>
        <w:ind w:left="100" w:right="0" w:firstLine="0"/>
        <w:jc w:val="left"/>
        <w:rPr>
          <w:rFonts w:ascii="Arial"/>
          <w:sz w:val="18"/>
        </w:rPr>
      </w:pPr>
      <w:r>
        <w:rPr>
          <w:rFonts w:ascii="Arial"/>
          <w:color w:val="231F20"/>
          <w:sz w:val="18"/>
        </w:rPr>
        <w:t>Telephone: 214-792-4000</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FINANCIAL INFORMATION</w:t>
      </w:r>
    </w:p>
    <w:p>
      <w:pPr>
        <w:spacing w:line="200" w:lineRule="exact" w:before="5"/>
        <w:ind w:left="100" w:right="68" w:firstLine="0"/>
        <w:jc w:val="left"/>
        <w:rPr>
          <w:rFonts w:ascii="Arial" w:hAnsi="Arial"/>
          <w:sz w:val="18"/>
        </w:rPr>
      </w:pPr>
      <w:r>
        <w:rPr>
          <w:rFonts w:ascii="Arial" w:hAnsi="Arial"/>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pStyle w:val="BodyText"/>
        <w:spacing w:before="9"/>
        <w:rPr>
          <w:rFonts w:ascii="Arial"/>
        </w:rPr>
      </w:pPr>
    </w:p>
    <w:p>
      <w:pPr>
        <w:spacing w:line="200" w:lineRule="exact" w:before="1"/>
        <w:ind w:left="100" w:right="1970" w:firstLine="0"/>
        <w:jc w:val="left"/>
        <w:rPr>
          <w:rFonts w:ascii="Arial"/>
          <w:sz w:val="18"/>
        </w:rPr>
      </w:pPr>
      <w:r>
        <w:rPr>
          <w:rFonts w:ascii="Arial"/>
          <w:color w:val="231F20"/>
          <w:sz w:val="18"/>
        </w:rPr>
        <w:t>Southwest Airlines Co. Investor Relations, HDQ-6IR</w:t>
      </w:r>
    </w:p>
    <w:p>
      <w:pPr>
        <w:spacing w:line="195" w:lineRule="exact" w:before="0"/>
        <w:ind w:left="100" w:right="0" w:firstLine="0"/>
        <w:jc w:val="left"/>
        <w:rPr>
          <w:rFonts w:ascii="Arial"/>
          <w:sz w:val="18"/>
        </w:rPr>
      </w:pPr>
      <w:r>
        <w:rPr>
          <w:rFonts w:ascii="Arial"/>
          <w:color w:val="231F20"/>
          <w:sz w:val="18"/>
        </w:rPr>
        <w:t>P.O. Box 36611</w:t>
      </w:r>
    </w:p>
    <w:p>
      <w:pPr>
        <w:spacing w:line="200" w:lineRule="exact" w:before="5"/>
        <w:ind w:left="100" w:right="2500" w:firstLine="0"/>
        <w:jc w:val="left"/>
        <w:rPr>
          <w:rFonts w:ascii="Arial"/>
          <w:sz w:val="18"/>
        </w:rPr>
      </w:pPr>
      <w:r>
        <w:rPr>
          <w:rFonts w:ascii="Arial"/>
          <w:color w:val="231F20"/>
          <w:sz w:val="18"/>
        </w:rPr>
        <w:t>2702 Love Field Drive Dallas, Texas 75235</w:t>
      </w:r>
    </w:p>
    <w:p>
      <w:pPr>
        <w:spacing w:line="198" w:lineRule="exact" w:before="0"/>
        <w:ind w:left="100" w:right="0" w:firstLine="0"/>
        <w:jc w:val="left"/>
        <w:rPr>
          <w:rFonts w:ascii="Arial"/>
          <w:sz w:val="18"/>
        </w:rPr>
      </w:pPr>
      <w:r>
        <w:rPr>
          <w:rFonts w:ascii="Arial"/>
          <w:color w:val="231F20"/>
          <w:sz w:val="18"/>
        </w:rPr>
        <w:t>Telephone: 214-792-4908</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ANNUAL MEETING</w:t>
      </w:r>
    </w:p>
    <w:p>
      <w:pPr>
        <w:spacing w:line="200" w:lineRule="exact" w:before="5"/>
        <w:ind w:left="100" w:right="-13" w:firstLine="0"/>
        <w:jc w:val="left"/>
        <w:rPr>
          <w:rFonts w:ascii="Arial"/>
          <w:sz w:val="18"/>
        </w:rPr>
      </w:pPr>
      <w:r>
        <w:rPr>
          <w:rFonts w:ascii="Arial"/>
          <w:color w:val="231F20"/>
          <w:sz w:val="18"/>
        </w:rPr>
        <w:t>The Annual Meeting of Shareholders of Southwest Airlines Co. will be held at 10:00 a.m. on May 14, 2014, at the Rosewood Crescent Hotel located at</w:t>
      </w:r>
      <w:r>
        <w:rPr>
          <w:rFonts w:ascii="Arial"/>
          <w:color w:val="231F20"/>
          <w:spacing w:val="-9"/>
          <w:sz w:val="18"/>
        </w:rPr>
        <w:t> </w:t>
      </w:r>
      <w:r>
        <w:rPr>
          <w:rFonts w:ascii="Arial"/>
          <w:color w:val="231F20"/>
          <w:sz w:val="18"/>
        </w:rPr>
        <w:t>400 Crescent Court, Dallas, Texas</w:t>
      </w:r>
      <w:r>
        <w:rPr>
          <w:rFonts w:ascii="Arial"/>
          <w:color w:val="231F20"/>
          <w:spacing w:val="-5"/>
          <w:sz w:val="18"/>
        </w:rPr>
        <w:t> </w:t>
      </w:r>
      <w:r>
        <w:rPr>
          <w:rFonts w:ascii="Arial"/>
          <w:color w:val="231F20"/>
          <w:sz w:val="18"/>
        </w:rPr>
        <w:t>75201.</w:t>
      </w:r>
    </w:p>
    <w:p>
      <w:pPr>
        <w:spacing w:line="203" w:lineRule="exact" w:before="100"/>
        <w:ind w:left="100" w:right="0" w:firstLine="0"/>
        <w:jc w:val="left"/>
        <w:rPr>
          <w:rFonts w:ascii="Arial"/>
          <w:b/>
          <w:sz w:val="18"/>
        </w:rPr>
      </w:pPr>
      <w:r>
        <w:rPr/>
        <w:br w:type="column"/>
      </w:r>
      <w:r>
        <w:rPr>
          <w:rFonts w:ascii="Arial"/>
          <w:b/>
          <w:color w:val="231F20"/>
          <w:sz w:val="18"/>
        </w:rPr>
        <w:t>STOCK EXCHANGE LISTING</w:t>
      </w:r>
    </w:p>
    <w:p>
      <w:pPr>
        <w:spacing w:line="203" w:lineRule="exact" w:before="0"/>
        <w:ind w:left="100" w:right="0" w:firstLine="0"/>
        <w:jc w:val="left"/>
        <w:rPr>
          <w:rFonts w:ascii="Arial"/>
          <w:sz w:val="18"/>
        </w:rPr>
      </w:pPr>
      <w:r>
        <w:rPr>
          <w:rFonts w:ascii="Arial"/>
          <w:color w:val="231F20"/>
          <w:sz w:val="18"/>
        </w:rPr>
        <w:t>New York Stock Exchange Ticker Symbol: LUV</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TRANSFER AGENT AND REGISTRAR</w:t>
      </w:r>
    </w:p>
    <w:p>
      <w:pPr>
        <w:spacing w:line="200" w:lineRule="exact" w:before="5"/>
        <w:ind w:left="100" w:right="388" w:firstLine="0"/>
        <w:jc w:val="left"/>
        <w:rPr>
          <w:rFonts w:ascii="Arial"/>
          <w:sz w:val="18"/>
        </w:rPr>
      </w:pPr>
      <w:r>
        <w:rPr>
          <w:rFonts w:ascii="Arial"/>
          <w:color w:val="231F20"/>
          <w:sz w:val="18"/>
        </w:rPr>
        <w:t>Registered shareholder inquiries regarding stock transfers, address changes, lost stock certificates, dividend payments and reinvestments, direct stock purchases, or account consolidation should be directed to:</w:t>
      </w:r>
    </w:p>
    <w:p>
      <w:pPr>
        <w:pStyle w:val="BodyText"/>
        <w:spacing w:before="9"/>
        <w:rPr>
          <w:rFonts w:ascii="Arial"/>
        </w:rPr>
      </w:pPr>
    </w:p>
    <w:p>
      <w:pPr>
        <w:spacing w:line="200" w:lineRule="exact" w:before="0"/>
        <w:ind w:left="479" w:right="1117" w:firstLine="0"/>
        <w:jc w:val="left"/>
        <w:rPr>
          <w:rFonts w:ascii="Arial"/>
          <w:sz w:val="18"/>
        </w:rPr>
      </w:pPr>
      <w:r>
        <w:rPr>
          <w:rFonts w:ascii="Arial"/>
          <w:color w:val="231F20"/>
          <w:sz w:val="18"/>
        </w:rPr>
        <w:t>Wells Fargo Shareowner Services 1110 Centre Pointe Curve, Suite 101 Mendota Heights, MN 55120-4100 866-877-6206</w:t>
      </w:r>
    </w:p>
    <w:p>
      <w:pPr>
        <w:spacing w:line="195" w:lineRule="exact" w:before="0"/>
        <w:ind w:left="479" w:right="0" w:firstLine="0"/>
        <w:jc w:val="left"/>
        <w:rPr>
          <w:rFonts w:ascii="Arial"/>
          <w:sz w:val="18"/>
        </w:rPr>
      </w:pPr>
      <w:r>
        <w:rPr>
          <w:rFonts w:ascii="Arial"/>
          <w:color w:val="231F20"/>
          <w:sz w:val="18"/>
        </w:rPr>
        <w:t>651-450-4064</w:t>
      </w:r>
    </w:p>
    <w:p>
      <w:pPr>
        <w:spacing w:line="203" w:lineRule="exact" w:before="0"/>
        <w:ind w:left="479" w:right="0" w:firstLine="0"/>
        <w:jc w:val="left"/>
        <w:rPr>
          <w:rFonts w:ascii="Arial"/>
          <w:i/>
          <w:sz w:val="18"/>
        </w:rPr>
      </w:pPr>
      <w:hyperlink r:id="rId46">
        <w:r>
          <w:rPr>
            <w:rFonts w:ascii="Arial"/>
            <w:i/>
            <w:color w:val="231F20"/>
            <w:sz w:val="18"/>
          </w:rPr>
          <w:t>www.shareowneronline.com</w:t>
        </w:r>
      </w:hyperlink>
    </w:p>
    <w:p>
      <w:pPr>
        <w:pStyle w:val="BodyText"/>
        <w:spacing w:before="11"/>
        <w:rPr>
          <w:rFonts w:ascii="Arial"/>
          <w:i/>
        </w:rPr>
      </w:pPr>
    </w:p>
    <w:p>
      <w:pPr>
        <w:spacing w:line="200" w:lineRule="exact" w:before="0"/>
        <w:ind w:left="100" w:right="1189" w:firstLine="0"/>
        <w:jc w:val="left"/>
        <w:rPr>
          <w:rFonts w:ascii="Arial"/>
          <w:b/>
          <w:sz w:val="18"/>
        </w:rPr>
      </w:pPr>
      <w:r>
        <w:rPr>
          <w:rFonts w:ascii="Arial"/>
          <w:b/>
          <w:color w:val="231F20"/>
          <w:sz w:val="18"/>
        </w:rPr>
        <w:t>INDEPENDENT REGISTERED PUBLIC ACCOUNTING FIRM</w:t>
      </w:r>
    </w:p>
    <w:p>
      <w:pPr>
        <w:spacing w:line="200" w:lineRule="exact" w:before="0"/>
        <w:ind w:left="100" w:right="2889" w:firstLine="0"/>
        <w:jc w:val="left"/>
        <w:rPr>
          <w:rFonts w:ascii="Arial"/>
          <w:sz w:val="18"/>
        </w:rPr>
      </w:pPr>
      <w:r>
        <w:rPr>
          <w:rFonts w:ascii="Arial"/>
          <w:color w:val="231F20"/>
          <w:sz w:val="18"/>
        </w:rPr>
        <w:t>Ernst &amp; Young LLP Dallas, Texas</w:t>
      </w:r>
    </w:p>
    <w:p>
      <w:pPr>
        <w:spacing w:after="0" w:line="200" w:lineRule="exact"/>
        <w:jc w:val="left"/>
        <w:rPr>
          <w:rFonts w:ascii="Arial"/>
          <w:sz w:val="18"/>
        </w:rPr>
        <w:sectPr>
          <w:type w:val="continuous"/>
          <w:pgSz w:w="11880" w:h="15480"/>
          <w:pgMar w:top="1200" w:bottom="280" w:left="1280" w:right="1260"/>
          <w:cols w:num="2" w:equalWidth="0">
            <w:col w:w="4371" w:space="429"/>
            <w:col w:w="4540"/>
          </w:cols>
        </w:sectPr>
      </w:pPr>
    </w:p>
    <w:p>
      <w:pPr>
        <w:spacing w:before="10"/>
        <w:ind w:left="440" w:right="457" w:firstLine="0"/>
        <w:jc w:val="center"/>
        <w:rPr>
          <w:rFonts w:ascii="Arial"/>
          <w:b/>
          <w:sz w:val="18"/>
        </w:rPr>
      </w:pPr>
      <w:r>
        <w:rPr>
          <w:rFonts w:ascii="Arial"/>
          <w:b/>
          <w:color w:val="231F20"/>
          <w:sz w:val="18"/>
        </w:rPr>
        <w:t>2013 SOUTHWEST AIRLINES ONE REPORT</w:t>
      </w:r>
    </w:p>
    <w:p>
      <w:pPr>
        <w:spacing w:line="180" w:lineRule="exact" w:before="66"/>
        <w:ind w:left="100" w:right="237"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fifth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2013 Southwest Airlines One Report at </w:t>
      </w:r>
      <w:hyperlink r:id="rId47">
        <w:r>
          <w:rPr>
            <w:i/>
            <w:color w:val="231F20"/>
            <w:sz w:val="18"/>
          </w:rPr>
          <w:t>http://southwest.com/citizenship</w:t>
        </w:r>
      </w:hyperlink>
      <w:r>
        <w:rPr>
          <w:i/>
          <w:color w:val="231F20"/>
          <w:sz w:val="18"/>
        </w:rPr>
        <w:t> </w:t>
      </w:r>
      <w:r>
        <w:rPr>
          <w:color w:val="231F20"/>
          <w:sz w:val="18"/>
        </w:rPr>
        <w:t>or </w:t>
      </w:r>
      <w:hyperlink r:id="rId48">
        <w:r>
          <w:rPr>
            <w:i/>
            <w:color w:val="231F20"/>
            <w:sz w:val="18"/>
          </w:rPr>
          <w:t>http://southwest.investorroom.com/.</w:t>
        </w:r>
      </w:hyperlink>
    </w:p>
    <w:p>
      <w:pPr>
        <w:spacing w:before="152"/>
        <w:ind w:left="440" w:right="457" w:firstLine="0"/>
        <w:jc w:val="center"/>
        <w:rPr>
          <w:rFonts w:ascii="Arial"/>
          <w:b/>
          <w:sz w:val="18"/>
        </w:rPr>
      </w:pPr>
      <w:r>
        <w:rPr>
          <w:rFonts w:ascii="Arial"/>
          <w:b/>
          <w:color w:val="231F20"/>
          <w:sz w:val="18"/>
        </w:rPr>
        <w:t>CAUTIONARY STATEMENT REGARDING FORWARD-LOOKING STATEMENTS</w:t>
      </w:r>
    </w:p>
    <w:p>
      <w:pPr>
        <w:spacing w:line="180" w:lineRule="exact" w:before="135"/>
        <w:ind w:left="100" w:right="137"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financial outlook, targets, and projected results of operations; (ii) its strategic plan and initiatives and its related financial and operational plans, objectives, goals, and expectations; (iii) its plans and expectations related to its integration of AirTran, including anticipated integration timeframes and expected financial results associated with the integration; (iv) its network plans, including its network optimization opportunities, and its related financial and operational expectations; (v) its fleet plans, including its fleet modernization plans, and related financial and operational goals and expectations; (vi) its expectations with respect to liquidity and capital expenditures; (vii) its plans and expectations with respect to international operations; and (viii) its growth plans and expectations, including its capacity plans and expectations. These forward-looking statements are based on the Company’s current intent, expectations, and projections and are not guarantees of future performance. These statements involve risks, uncertainties, assumptions, and other factors that are difficult to predict and that could cause actual results to vary materially from those expressed in or indicated by them. Factors include, among others, (i) the demand for the Company’s services and the impact of economic conditions, fuel prices, and actions of competitors (including, without limitation, pricing, scheduling, and capacity decisions and consolidation and alliance activities) on the Company’s business decisions, plans, and strategies;</w:t>
      </w:r>
    </w:p>
    <w:p>
      <w:pPr>
        <w:spacing w:line="180" w:lineRule="exact" w:before="0"/>
        <w:ind w:left="100" w:right="142" w:firstLine="0"/>
        <w:jc w:val="left"/>
        <w:rPr>
          <w:sz w:val="18"/>
        </w:rPr>
      </w:pPr>
      <w:r>
        <w:rPr/>
        <w:pict>
          <v:group style="position:absolute;margin-left:397.579987pt;margin-top:67.857101pt;width:127.5pt;height:58.35pt;mso-position-horizontal-relative:page;mso-position-vertical-relative:paragraph;z-index:10552;mso-wrap-distance-left:0;mso-wrap-distance-right:0" coordorigin="7952,1357" coordsize="2550,1167">
            <v:shape style="position:absolute;left:7961;top:1366;width:2532;height:1149" coordorigin="7961,1366" coordsize="2532,1149" path="m8047,1366l10405,1366,10439,1373,10466,1391,10485,1419,10492,1452,10492,2429,10485,2462,10466,2489,10439,2508,10405,2515,8047,2515,8013,2508,7986,2489,7967,2462,7961,2429,7961,1452,7967,1419,7986,1391,8013,1373,8047,1366xe" filled="false" stroked="true" strokeweight=".859pt" strokecolor="#231f20">
              <v:path arrowok="t"/>
              <v:stroke dashstyle="solid"/>
            </v:shape>
            <v:shape style="position:absolute;left:8199;top:2347;width:76;height:55" coordorigin="8199,2347" coordsize="76,55" path="m8209,2347l8199,2347,8216,2402,8226,2402,8229,2390,8221,2390,8218,2378,8209,2347xm8245,2360l8237,2360,8239,2369,8248,2402,8257,2402,8261,2389,8253,2389,8250,2378,8245,2360xm8242,2347l8233,2347,8224,2379,8222,2386,8221,2390,8229,2390,8237,2360,8245,2360,8242,2347xm8275,2347l8266,2347,8256,2379,8253,2389,8261,2389,8275,2347xe" filled="true" fillcolor="#231f20" stroked="false">
              <v:path arrowok="t"/>
              <v:fill type="solid"/>
            </v:shape>
            <v:shape style="position:absolute;left:8278;top:2347;width:76;height:55" coordorigin="8278,2347" coordsize="76,55" path="m8287,2347l8278,2347,8295,2402,8304,2402,8307,2390,8299,2390,8296,2378,8287,2347xm8324,2360l8316,2360,8318,2369,8326,2402,8336,2402,8340,2389,8331,2389,8329,2378,8324,2360xm8321,2347l8311,2347,8302,2379,8301,2386,8299,2390,8307,2390,8316,2360,8324,2360,8321,2347xm8353,2347l8344,2347,8334,2379,8331,2389,8340,2389,8353,2347xe" filled="true" fillcolor="#231f20" stroked="false">
              <v:path arrowok="t"/>
              <v:fill type="solid"/>
            </v:shape>
            <v:shape style="position:absolute;left:8356;top:2347;width:76;height:55" coordorigin="8356,2347" coordsize="76,55" path="m8366,2347l8356,2347,8373,2402,8383,2402,8386,2390,8378,2390,8375,2378,8366,2347xm8402,2360l8394,2360,8396,2369,8405,2402,8414,2402,8418,2389,8410,2389,8402,2360xm8399,2347l8389,2347,8381,2379,8379,2386,8378,2390,8378,2390,8386,2390,8394,2360,8402,2360,8399,2347xm8432,2347l8423,2347,8410,2389,8418,2389,8432,2347xe" filled="true" fillcolor="#231f20" stroked="false">
              <v:path arrowok="t"/>
              <v:fill type="solid"/>
            </v:shape>
            <v:line style="position:absolute" from="8434,2396" to="8444,2396" stroked="true" strokeweight=".522pt" strokecolor="#231f20">
              <v:stroke dashstyle="solid"/>
            </v:line>
            <v:shape style="position:absolute;left:8452;top:2325;width:32;height:77" coordorigin="8452,2325" coordsize="32,77" path="m8478,2325l8471,2325,8468,2326,8463,2329,8462,2331,8460,2335,8460,2336,8460,2347,8452,2347,8452,2354,8460,2354,8460,2402,8469,2402,8469,2354,8480,2354,8480,2347,8469,2347,8469,2339,8470,2336,8472,2334,8474,2333,8483,2333,8484,2326,8481,2325,8478,2325xm8483,2333l8474,2333,8481,2334,8482,2334,8483,2333xe" filled="true" fillcolor="#231f20" stroked="false">
              <v:path arrowok="t"/>
              <v:fill type="solid"/>
            </v:shape>
            <v:shape style="position:absolute;left:8485;top:2346;width:46;height:58" coordorigin="8485,2346" coordsize="46,58" path="m8494,2384l8485,2385,8486,2391,8488,2395,8492,2398,8496,2401,8501,2403,8512,2403,8516,2402,8520,2401,8523,2399,8526,2397,8527,2395,8504,2395,8501,2394,8498,2392,8496,2390,8494,2388,8494,2384xm8511,2346l8504,2346,8501,2346,8498,2347,8496,2348,8494,2349,8493,2350,8491,2351,8489,2353,8488,2355,8487,2357,8487,2358,8486,2365,8487,2367,8490,2371,8492,2373,8494,2374,8497,2375,8502,2377,8508,2378,8513,2380,8517,2381,8518,2382,8520,2383,8521,2384,8521,2389,8520,2391,8515,2394,8512,2395,8527,2395,8529,2391,8530,2389,8530,2382,8529,2380,8528,2378,8526,2375,8524,2374,8522,2373,8519,2372,8515,2370,8508,2368,8504,2367,8501,2366,8498,2365,8497,2365,8496,2363,8495,2362,8495,2358,8496,2357,8500,2354,8503,2353,8525,2353,8523,2350,8521,2349,8518,2348,8514,2346,8511,2346xm8525,2353l8511,2353,8513,2354,8517,2357,8519,2360,8519,2362,8528,2361,8527,2358,8526,2355,8525,2353xe" filled="true" fillcolor="#231f20" stroked="false">
              <v:path arrowok="t"/>
              <v:fill type="solid"/>
            </v:shape>
            <v:shape style="position:absolute;left:8538;top:2346;width:48;height:58" coordorigin="8538,2346" coordsize="48,58" path="m8569,2346l8558,2346,8554,2347,8550,2349,8546,2351,8543,2355,8539,2363,8538,2369,8538,2384,8540,2391,8549,2400,8555,2403,8569,2403,8574,2401,8580,2395,8558,2395,8554,2394,8552,2390,8549,2387,8547,2382,8547,2367,8549,2362,8552,2358,8555,2355,8558,2353,8581,2353,8581,2353,8577,2350,8573,2347,8569,2346xm8576,2382l8576,2386,8574,2390,8572,2392,8569,2394,8566,2395,8580,2395,8582,2394,8584,2389,8585,2383,8576,2382xm8581,2353l8566,2353,8569,2354,8573,2358,8574,2361,8575,2364,8584,2363,8583,2358,8581,2353xe" filled="true" fillcolor="#231f20" stroked="false">
              <v:path arrowok="t"/>
              <v:fill type="solid"/>
            </v:shape>
            <v:line style="position:absolute" from="8595,2396" to="8606,2396" stroked="true" strokeweight=".522pt" strokecolor="#231f20">
              <v:stroke dashstyle="solid"/>
            </v:line>
            <v:shape style="position:absolute;left:8614;top:2346;width:52;height:58" coordorigin="8614,2346" coordsize="52,58" path="m8648,2346l8633,2346,8628,2348,8617,2357,8614,2364,8614,2384,8617,2391,8621,2396,8626,2400,8632,2403,8645,2403,8649,2402,8653,2400,8657,2397,8659,2395,8635,2395,8632,2394,8628,2390,8625,2387,8624,2381,8624,2367,8625,2362,8632,2355,8635,2353,8659,2353,8654,2348,8648,2346xm8659,2353l8645,2353,8648,2355,8652,2359,8655,2362,8656,2367,8656,2381,8655,2386,8655,2387,8649,2394,8645,2395,8659,2395,8660,2394,8665,2386,8666,2381,8666,2365,8663,2358,8659,2353xe" filled="true" fillcolor="#231f20" stroked="false">
              <v:path arrowok="t"/>
              <v:fill type="solid"/>
            </v:shape>
            <v:shape style="position:absolute;left:8676;top:2346;width:30;height:56" coordorigin="8676,2346" coordsize="30,56" path="m8685,2347l8676,2347,8676,2402,8686,2402,8686,2369,8686,2366,8688,2360,8689,2358,8691,2357,8692,2356,8694,2355,8703,2355,8704,2355,8685,2355,8685,2347xm8703,2355l8698,2355,8701,2356,8703,2357,8703,2355xm8700,2346l8694,2346,8692,2346,8689,2349,8687,2351,8685,2355,8704,2355,8706,2349,8703,2347,8700,2346xe" filled="true" fillcolor="#231f20" stroked="false">
              <v:path arrowok="t"/>
              <v:fill type="solid"/>
            </v:shape>
            <v:shape style="position:absolute;left:8707;top:2346;width:49;height:79" coordorigin="8707,2346" coordsize="49,79" path="m8709,2406l8709,2412,8711,2416,8719,2422,8724,2424,8736,2424,8741,2423,8744,2421,8748,2419,8751,2416,8727,2416,8724,2415,8721,2414,8720,2412,8719,2410,8718,2407,8709,2406xm8755,2394l8746,2394,8746,2402,8746,2405,8745,2406,8745,2409,8743,2412,8738,2415,8735,2416,8751,2416,8751,2416,8754,2409,8755,2403,8755,2394xm8737,2346l8726,2346,8722,2347,8715,2352,8712,2355,8710,2360,8708,2364,8707,2369,8707,2382,8709,2388,8717,2399,8723,2402,8737,2402,8742,2399,8746,2394,8755,2394,8755,2394,8727,2394,8724,2392,8721,2389,8718,2386,8717,2381,8717,2367,8718,2362,8721,2358,8724,2355,8727,2353,8746,2353,8743,2348,8737,2346xm8746,2353l8736,2353,8739,2355,8745,2362,8747,2367,8747,2381,8745,2386,8740,2392,8736,2394,8755,2394,8755,2354,8747,2354,8746,2353xm8755,2347l8747,2347,8747,2354,8755,2354,8755,2347xe" filled="true" fillcolor="#231f20" stroked="false">
              <v:path arrowok="t"/>
              <v:fill type="solid"/>
            </v:shape>
            <v:shape style="position:absolute;left:8074;top:1448;width:688;height:598" coordorigin="8074,1448" coordsize="688,598" path="m8450,1937l8401,1937,8401,2035,8414,2046,8552,2046,8563,2034,8563,1997,8451,1997,8450,1937xm8539,1884l8524,1884,8514,1896,8514,1997,8563,1997,8563,1941,8701,1941,8723,1927,8734,1912,8638,1912,8609,1907,8585,1898,8563,1888,8539,1884xm8100,1828l8092,1830,8084,1836,8075,1844,8074,1860,8084,1870,8196,1981,8204,1989,8215,1993,8226,1987,8238,1979,8240,1967,8240,1967,8253,1916,8201,1916,8173,1888,8119,1835,8110,1829,8100,1828xm8701,1941l8563,1941,8583,1951,8603,1957,8622,1960,8637,1961,8684,1953,8701,1941xm8440,1884l8422,1885,8337,1895,8326,1897,8317,1907,8317,1933,8328,1944,8348,1944,8347,1944,8401,1937,8450,1937,8450,1895,8440,1884xm8482,1448l8424,1460,8375,1492,8334,1541,8299,1604,8270,1676,8244,1755,8222,1836,8201,1916,8253,1916,8281,1803,8321,1682,8358,1598,8394,1544,8426,1514,8456,1500,8482,1497,8592,1497,8568,1474,8525,1454,8482,1448xm8592,1497l8482,1497,8518,1504,8551,1523,8575,1556,8585,1602,8632,1618,8662,1656,8668,1705,8643,1753,8674,1771,8695,1792,8708,1814,8712,1840,8707,1866,8691,1889,8668,1906,8638,1912,8734,1912,8751,1888,8761,1838,8753,1795,8736,1764,8718,1745,8710,1739,8719,1681,8704,1628,8672,1587,8629,1561,8604,1509,8592,1497xe" filled="true" fillcolor="#231f20" stroked="false">
              <v:path arrowok="t"/>
              <v:fill type="solid"/>
            </v:shape>
            <v:shape style="position:absolute;left:8074;top:1448;width:688;height:598" coordorigin="8074,1448" coordsize="688,598" path="m8450,1937l8401,1937,8401,2035,8414,2046,8552,2046,8563,2034,8563,1997,8451,1997,8450,1937xm8539,1884l8524,1884,8514,1896,8514,1997,8563,1997,8563,1941,8701,1941,8723,1927,8734,1912,8638,1912,8609,1907,8585,1898,8563,1888,8539,1884xm8100,1828l8092,1830,8084,1836,8075,1844,8074,1860,8084,1870,8196,1981,8204,1989,8215,1993,8226,1987,8238,1979,8240,1967,8240,1967,8253,1916,8201,1916,8173,1888,8119,1835,8110,1829,8100,1828xm8701,1941l8563,1941,8583,1951,8603,1957,8622,1960,8637,1961,8684,1953,8701,1941xm8440,1884l8422,1885,8337,1895,8326,1897,8317,1907,8317,1933,8328,1944,8348,1944,8347,1944,8401,1937,8450,1937,8450,1895,8440,1884xm8482,1448l8424,1460,8375,1492,8334,1541,8299,1604,8270,1676,8244,1755,8222,1836,8201,1916,8253,1916,8281,1803,8321,1682,8358,1598,8394,1544,8426,1514,8456,1500,8482,1497,8592,1497,8568,1474,8525,1454,8482,1448xm8592,1497l8482,1497,8518,1504,8551,1523,8575,1556,8585,1602,8632,1618,8662,1656,8668,1705,8643,1753,8674,1771,8695,1792,8708,1814,8712,1840,8707,1866,8691,1889,8668,1906,8638,1912,8734,1912,8751,1888,8761,1838,8753,1795,8736,1764,8718,1745,8710,1739,8719,1681,8704,1628,8672,1587,8629,1561,8604,1509,8592,1497xe" filled="true" fillcolor="#231f20" stroked="false">
              <v:path arrowok="t"/>
              <v:fill type="solid"/>
            </v:shape>
            <v:shape style="position:absolute;left:8199;top:2104;width:556;height:171" type="#_x0000_t75" stroked="false">
              <v:imagedata r:id="rId49" o:title=""/>
            </v:shape>
            <v:shape style="position:absolute;left:8680;top:1459;width:84;height:83" coordorigin="8680,1459" coordsize="84,83" path="m8733,1459l8711,1459,8701,1463,8693,1471,8684,1479,8680,1489,8680,1512,8684,1522,8695,1532,8701,1538,8711,1542,8734,1542,8743,1538,8746,1535,8712,1535,8704,1532,8691,1518,8687,1510,8687,1491,8691,1483,8704,1469,8712,1466,8746,1466,8743,1463,8733,1459xm8746,1466l8732,1466,8740,1469,8753,1483,8757,1491,8757,1510,8753,1518,8746,1525,8740,1532,8732,1535,8746,1535,8760,1521,8764,1512,8764,1489,8760,1479,8759,1479,8746,1466xm8724,1479l8704,1479,8704,1523,8711,1523,8711,1504,8729,1504,8728,1504,8726,1503,8726,1503,8730,1503,8733,1502,8735,1499,8736,1498,8711,1498,8711,1485,8737,1485,8734,1482,8732,1480,8730,1480,8727,1479,8724,1479xm8729,1504l8718,1504,8720,1505,8722,1506,8723,1508,8727,1513,8733,1523,8741,1523,8732,1508,8729,1504xm8737,1485l8724,1485,8727,1485,8728,1487,8730,1488,8730,1489,8731,1494,8730,1495,8728,1496,8727,1498,8724,1498,8736,1498,8737,1497,8738,1494,8738,1488,8738,1486,8737,1485xe" filled="true" fillcolor="#231f20" stroked="false">
              <v:path arrowok="t"/>
              <v:fill type="solid"/>
            </v:shape>
            <v:shape style="position:absolute;left:8711;top:1485;width:20;height:14" coordorigin="8711,1485" coordsize="20,14" path="m8711,1498l8720,1498,8724,1498,8727,1498,8728,1496,8730,1495,8731,1494,8731,1491,8731,1489,8730,1488,8728,1487,8727,1485,8724,1485,8719,1485,8711,1485,8711,1498xe" filled="false" stroked="true" strokeweight=".22pt" strokecolor="#231f20">
              <v:path arrowok="t"/>
              <v:stroke dashstyle="solid"/>
            </v:shape>
            <v:shape style="position:absolute;left:8704;top:1479;width:38;height:45" coordorigin="8704,1479" coordsize="38,45" path="m8741,1523l8733,1523,8727,1513,8723,1508,8722,1506,8720,1505,8718,1504,8715,1504,8711,1504,8711,1523,8704,1523,8704,1479,8719,1479,8724,1479,8727,1479,8730,1480,8732,1480,8734,1482,8736,1484,8738,1486,8738,1488,8738,1491,8738,1494,8737,1497,8735,1499,8733,1502,8730,1503,8726,1503,8728,1504,8732,1508,8736,1515,8741,1523xe" filled="false" stroked="true" strokeweight=".22pt" strokecolor="#231f20">
              <v:path arrowok="t"/>
              <v:stroke dashstyle="solid"/>
            </v:shape>
            <v:shape style="position:absolute;left:8687;top:1466;width:70;height:70" coordorigin="8687,1466" coordsize="70,70" path="m8722,1535l8732,1535,8740,1532,8746,1525,8753,1518,8757,1510,8757,1500,8757,1491,8753,1483,8747,1476,8740,1469,8732,1466,8722,1466,8712,1466,8687,1500,8687,1510,8691,1518,8697,1525,8704,1532,8712,1535,8722,1535xe" filled="false" stroked="true" strokeweight=".22pt" strokecolor="#231f20">
              <v:path arrowok="t"/>
              <v:stroke dashstyle="solid"/>
            </v:shape>
            <v:shape style="position:absolute;left:8680;top:1459;width:84;height:83" coordorigin="8680,1459" coordsize="84,83" path="m8722,1459l8733,1459,8743,1463,8751,1471,8760,1479,8764,1489,8764,1500,8764,1512,8760,1521,8751,1530,8743,1538,8734,1542,8722,1542,8711,1542,8701,1538,8693,1530,8684,1522,8680,1512,8680,1500,8680,1489,8684,1479,8693,1471,8701,1463,8711,1459,8722,1459xe" filled="false" stroked="true" strokeweight=".22pt" strokecolor="#231f20">
              <v:path arrowok="t"/>
              <v:stroke dashstyle="solid"/>
            </v:shape>
            <v:shape style="position:absolute;left:9510;top:1579;width:139;height:146" type="#_x0000_t75" stroked="false">
              <v:imagedata r:id="rId50" o:title=""/>
            </v:shape>
            <v:shape style="position:absolute;left:9682;top:1566;width:179;height:172" type="#_x0000_t75" stroked="false">
              <v:imagedata r:id="rId51" o:title=""/>
            </v:shape>
            <v:shape style="position:absolute;left:9303;top:1847;width:406;height:138" type="#_x0000_t75" stroked="false">
              <v:imagedata r:id="rId52" o:title=""/>
            </v:shape>
            <v:shape style="position:absolute;left:9754;top:1845;width:303;height:113" type="#_x0000_t75" stroked="false">
              <v:imagedata r:id="rId53" o:title=""/>
            </v:shape>
            <v:shape style="position:absolute;left:8989;top:1992;width:1384;height:147" type="#_x0000_t75" stroked="false">
              <v:imagedata r:id="rId54" o:title=""/>
            </v:shape>
            <v:shape style="position:absolute;left:9007;top:2256;width:464;height:150" type="#_x0000_t75" stroked="false">
              <v:imagedata r:id="rId55" o:title=""/>
            </v:shape>
            <v:shape style="position:absolute;left:9537;top:2256;width:130;height:150" type="#_x0000_t75" stroked="false">
              <v:imagedata r:id="rId56" o:title=""/>
            </v:shape>
            <v:shape style="position:absolute;left:9699;top:2261;width:52;height:139" coordorigin="9699,2261" coordsize="52,139" path="m9750,2292l9733,2292,9733,2400,9750,2400,9750,2292xm9750,2261l9739,2261,9733,2271,9724,2280,9713,2289,9699,2296,9699,2312,9714,2307,9725,2300,9733,2292,9750,2292,9750,2261xe" filled="true" fillcolor="#231f20" stroked="false">
              <v:path arrowok="t"/>
              <v:fill type="solid"/>
            </v:shape>
            <v:shape style="position:absolute;left:9699;top:2261;width:52;height:139" coordorigin="9699,2261" coordsize="52,139" path="m9750,2400l9733,2400,9733,2292,9725,2300,9714,2307,9699,2312,9699,2296,9713,2289,9724,2280,9733,2271,9739,2261,9750,2261,9750,2400xe" filled="false" stroked="true" strokeweight=".377pt" strokecolor="#231f20">
              <v:path arrowok="t"/>
              <v:stroke dashstyle="solid"/>
            </v:shape>
            <v:shape style="position:absolute;left:9802;top:2261;width:91;height:142" coordorigin="9802,2261" coordsize="91,142" path="m9847,2261l9832,2261,9821,2267,9813,2279,9808,2289,9805,2301,9803,2315,9802,2332,9805,2363,9813,2385,9827,2398,9847,2402,9862,2402,9873,2397,9878,2389,9847,2389,9841,2388,9836,2386,9827,2379,9824,2373,9820,2357,9819,2346,9819,2332,9820,2318,9821,2306,9823,2296,9826,2289,9831,2280,9838,2275,9877,2275,9867,2266,9847,2261xm9877,2275l9853,2275,9858,2277,9862,2281,9866,2285,9869,2291,9874,2307,9875,2318,9875,2332,9874,2346,9873,2358,9871,2368,9868,2375,9863,2384,9856,2389,9878,2389,9880,2385,9886,2375,9889,2363,9891,2349,9892,2332,9889,2301,9881,2279,9877,2275xe" filled="true" fillcolor="#231f20" stroked="false">
              <v:path arrowok="t"/>
              <v:fill type="solid"/>
            </v:shape>
            <v:shape style="position:absolute;left:9819;top:2275;width:56;height:114" coordorigin="9819,2275" coordsize="56,114" path="m9847,2389l9856,2389,9863,2384,9875,2332,9875,2318,9874,2307,9872,2299,9869,2291,9866,2285,9862,2281,9858,2277,9853,2275,9847,2275,9838,2275,9819,2332,9819,2346,9820,2357,9822,2365,9824,2373,9827,2379,9832,2383,9836,2386,9841,2388,9847,2389xe" filled="false" stroked="true" strokeweight=".377pt" strokecolor="#231f20">
              <v:path arrowok="t"/>
              <v:stroke dashstyle="solid"/>
            </v:shape>
            <v:shape style="position:absolute;left:9802;top:2261;width:91;height:142" coordorigin="9802,2261" coordsize="91,142" path="m9847,2261l9867,2266,9881,2279,9889,2301,9892,2332,9891,2349,9862,2402,9847,2402,9827,2398,9813,2385,9805,2363,9802,2332,9803,2315,9832,2261,9847,2261xe" filled="false" stroked="true" strokeweight=".377pt" strokecolor="#231f20">
              <v:path arrowok="t"/>
              <v:stroke dashstyle="solid"/>
            </v:shape>
            <v:shape style="position:absolute;left:9930;top:2261;width:52;height:139" coordorigin="9930,2261" coordsize="52,139" path="m9981,2292l9964,2292,9964,2400,9981,2400,9981,2292xm9981,2261l9970,2261,9963,2271,9954,2280,9943,2289,9930,2296,9930,2312,9944,2307,9955,2300,9964,2292,9981,2292,9981,2261xe" filled="true" fillcolor="#231f20" stroked="false">
              <v:path arrowok="t"/>
              <v:fill type="solid"/>
            </v:shape>
            <v:shape style="position:absolute;left:9930;top:2261;width:52;height:139" coordorigin="9930,2261" coordsize="52,139" path="m9981,2400l9964,2400,9964,2292,9955,2300,9944,2307,9930,2312,9930,2296,9943,2289,9954,2280,9963,2271,9970,2261,9981,2261,9981,2400xe" filled="false" stroked="true" strokeweight=".377pt" strokecolor="#231f20">
              <v:path arrowok="t"/>
              <v:stroke dashstyle="solid"/>
            </v:shape>
            <v:shape style="position:absolute;left:10028;top:2258;width:329;height:149" type="#_x0000_t75" stroked="false">
              <v:imagedata r:id="rId57" o:title=""/>
            </v:shape>
            <w10:wrap type="topAndBottom"/>
          </v:group>
        </w:pict>
      </w:r>
      <w:r>
        <w:rPr>
          <w:color w:val="231F20"/>
          <w:sz w:val="18"/>
        </w:rPr>
        <w:t>(ii) the Company’s ability to timely and effectively prioritize its strategic initiatives and related expenditures; (iii) its ability to timely and effectively implement, transition, and maintain the necessary information technology systems and infrastructure to support its operations and initiatives; (iv) its ability to successfully integrate AirTran and realize the expected synergies and other benefits from the integration; (v) its dependence on third parties with respect to certain of its initiatives; (vi) the impact of governmental action and regulation on the Company’s operations; and (vii) other factors, as described in the Company’s filings with the Securities and Exchange Commission, including the detailed factors discussed under the heading “Risk Factors” in the Company’s Annual Report on Form 10-K for the fiscal year ended December 31, 2013.</w:t>
      </w:r>
    </w:p>
    <w:sectPr>
      <w:type w:val="continuous"/>
      <w:pgSz w:w="11880" w:h="15480"/>
      <w:pgMar w:top="1200" w:bottom="28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2.25pt;margin-top:700.34198pt;width:9.5pt;height:14.05pt;mso-position-horizontal-relative:page;mso-position-vertical-relative:page;z-index:-33582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608" type="#_x0000_t202" filled="false" stroked="false">
          <v:textbox inset="0,0,0,0">
            <w:txbxContent>
              <w:p>
                <w:pPr>
                  <w:spacing w:before="7"/>
                  <w:ind w:left="20" w:right="0" w:firstLine="0"/>
                  <w:jc w:val="left"/>
                  <w:rPr>
                    <w:sz w:val="22"/>
                  </w:rPr>
                </w:pPr>
                <w:r>
                  <w:rPr>
                    <w:color w:val="231F20"/>
                    <w:sz w:val="22"/>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58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560" type="#_x0000_t202" filled="false" stroked="false">
          <v:textbox inset="0,0,0,0">
            <w:txbxContent>
              <w:p>
                <w:pPr>
                  <w:spacing w:before="7"/>
                  <w:ind w:left="20" w:right="0" w:firstLine="0"/>
                  <w:jc w:val="left"/>
                  <w:rPr>
                    <w:sz w:val="22"/>
                  </w:rPr>
                </w:pPr>
                <w:r>
                  <w:rPr>
                    <w:color w:val="231F20"/>
                    <w:sz w:val="22"/>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497009pt;margin-top:700.34198pt;width:15.05pt;height:14.05pt;mso-position-horizontal-relative:page;mso-position-vertical-relative:page;z-index:-33553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512" type="#_x0000_t202" filled="false" stroked="false">
          <v:textbox inset="0,0,0,0">
            <w:txbxContent>
              <w:p>
                <w:pPr>
                  <w:spacing w:before="7"/>
                  <w:ind w:left="20" w:right="0" w:firstLine="0"/>
                  <w:jc w:val="left"/>
                  <w:rPr>
                    <w:sz w:val="22"/>
                  </w:rPr>
                </w:pPr>
                <w:r>
                  <w:rPr>
                    <w:color w:val="231F20"/>
                    <w:sz w:val="22"/>
                  </w:rPr>
                  <w:t>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48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5.25pt;margin-top:677.119995pt;width:103.5pt;height:12.95pt;mso-position-horizontal-relative:page;mso-position-vertical-relative:page;z-index:-335464" type="#_x0000_t202" filled="false" stroked="false">
          <v:textbox inset="0,0,0,0">
            <w:txbxContent>
              <w:p>
                <w:pPr>
                  <w:pStyle w:val="BodyText"/>
                  <w:spacing w:before="9"/>
                  <w:ind w:left="20"/>
                </w:pPr>
                <w:r>
                  <w:rPr>
                    <w:color w:val="231F20"/>
                  </w:rPr>
                  <w:t>See accompanying notes.</w:t>
                </w:r>
              </w:p>
            </w:txbxContent>
          </v:textbox>
          <w10:wrap type="none"/>
        </v:shape>
      </w:pict>
    </w:r>
    <w:r>
      <w:rPr/>
      <w:pict>
        <v:shape style="position:absolute;margin-left:289.5pt;margin-top:700.34198pt;width:15pt;height:14.05pt;mso-position-horizontal-relative:page;mso-position-vertical-relative:page;z-index:-33544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5.25pt;margin-top:677.119995pt;width:103.5pt;height:12.95pt;mso-position-horizontal-relative:page;mso-position-vertical-relative:page;z-index:-335416" type="#_x0000_t202" filled="false" stroked="false">
          <v:textbox inset="0,0,0,0">
            <w:txbxContent>
              <w:p>
                <w:pPr>
                  <w:pStyle w:val="BodyText"/>
                  <w:spacing w:before="9"/>
                  <w:ind w:left="20"/>
                </w:pPr>
                <w:r>
                  <w:rPr>
                    <w:color w:val="231F20"/>
                  </w:rPr>
                  <w:t>See accompanying notes.</w:t>
                </w:r>
              </w:p>
            </w:txbxContent>
          </v:textbox>
          <w10:wrap type="none"/>
        </v:shape>
      </w:pict>
    </w:r>
    <w:r>
      <w:rPr/>
      <w:pict>
        <v:shape style="position:absolute;margin-left:290.5pt;margin-top:700.34198pt;width:13pt;height:14.05pt;mso-position-horizontal-relative:page;mso-position-vertical-relative:page;z-index:-335392" type="#_x0000_t202" filled="false" stroked="false">
          <v:textbox inset="0,0,0,0">
            <w:txbxContent>
              <w:p>
                <w:pPr>
                  <w:spacing w:before="7"/>
                  <w:ind w:left="20" w:right="0" w:firstLine="0"/>
                  <w:jc w:val="left"/>
                  <w:rPr>
                    <w:sz w:val="22"/>
                  </w:rPr>
                </w:pPr>
                <w:r>
                  <w:rPr>
                    <w:color w:val="231F20"/>
                    <w:sz w:val="22"/>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8pt;margin-top:677.219971pt;width:438.95pt;height:12.95pt;mso-position-horizontal-relative:page;mso-position-vertical-relative:page;z-index:-335368" type="#_x0000_t202" filled="false" stroked="false">
          <v:textbox inset="0,0,0,0">
            <w:txbxContent>
              <w:p>
                <w:pPr>
                  <w:pStyle w:val="BodyText"/>
                  <w:spacing w:before="9"/>
                  <w:ind w:left="20"/>
                </w:pPr>
                <w:r>
                  <w:rPr>
                    <w:color w:val="231F20"/>
                  </w:rPr>
                  <w:t>recognized in Accumulated other comprehensive income (loss) (“AOCI”) in the accompanying Consolidated</w:t>
                </w:r>
              </w:p>
            </w:txbxContent>
          </v:textbox>
          <w10:wrap type="none"/>
        </v:shape>
      </w:pict>
    </w:r>
    <w:r>
      <w:rPr/>
      <w:pict>
        <v:shape style="position:absolute;margin-left:290.5pt;margin-top:700.34198pt;width:13pt;height:14.05pt;mso-position-horizontal-relative:page;mso-position-vertical-relative:page;z-index:-335344" type="#_x0000_t202" filled="false" stroked="false">
          <v:textbox inset="0,0,0,0">
            <w:txbxContent>
              <w:p>
                <w:pPr>
                  <w:spacing w:before="7"/>
                  <w:ind w:left="20" w:right="0" w:firstLine="0"/>
                  <w:jc w:val="left"/>
                  <w:rPr>
                    <w:sz w:val="22"/>
                  </w:rPr>
                </w:pPr>
                <w:r>
                  <w:rPr>
                    <w:color w:val="231F20"/>
                    <w:sz w:val="22"/>
                  </w:rPr>
                  <w:t>81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320" type="#_x0000_t202" filled="false" stroked="false">
          <v:textbox inset="0,0,0,0">
            <w:txbxContent>
              <w:p>
                <w:pPr>
                  <w:spacing w:before="7"/>
                  <w:ind w:left="20" w:right="0" w:firstLine="0"/>
                  <w:jc w:val="left"/>
                  <w:rPr>
                    <w:sz w:val="22"/>
                  </w:rPr>
                </w:pPr>
                <w:r>
                  <w:rPr>
                    <w:color w:val="231F20"/>
                    <w:sz w:val="22"/>
                  </w:rPr>
                  <w:t>82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800" type="#_x0000_t202" filled="false" stroked="false">
          <v:textbox inset="0,0,0,0">
            <w:txbxContent>
              <w:p>
                <w:pPr>
                  <w:spacing w:before="7"/>
                  <w:ind w:left="20" w:right="0" w:firstLine="0"/>
                  <w:jc w:val="left"/>
                  <w:rPr>
                    <w:sz w:val="22"/>
                  </w:rPr>
                </w:pPr>
                <w:r>
                  <w:rPr>
                    <w:color w:val="231F20"/>
                    <w:sz w:val="22"/>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29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272" type="#_x0000_t202" filled="false" stroked="false">
          <v:textbox inset="0,0,0,0">
            <w:txbxContent>
              <w:p>
                <w:pPr>
                  <w:spacing w:before="7"/>
                  <w:ind w:left="20" w:right="0" w:firstLine="0"/>
                  <w:jc w:val="left"/>
                  <w:rPr>
                    <w:sz w:val="22"/>
                  </w:rPr>
                </w:pPr>
                <w:r>
                  <w:rPr>
                    <w:color w:val="231F20"/>
                    <w:sz w:val="22"/>
                  </w:rPr>
                  <w:t>90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24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91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35224" type="#_x0000_t202" filled="false" stroked="false">
          <v:textbox inset="0,0,0,0">
            <w:txbxContent>
              <w:p>
                <w:pPr>
                  <w:spacing w:before="7"/>
                  <w:ind w:left="20" w:right="0" w:firstLine="0"/>
                  <w:jc w:val="left"/>
                  <w:rPr>
                    <w:sz w:val="22"/>
                  </w:rPr>
                </w:pPr>
                <w:r>
                  <w:rPr>
                    <w:color w:val="231F20"/>
                    <w:sz w:val="22"/>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75pt;margin-top:700.34198pt;width:20.5pt;height:14.05pt;mso-position-horizontal-relative:page;mso-position-vertical-relative:page;z-index:-33520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35176" type="#_x0000_t202" filled="false" stroked="false">
          <v:textbox inset="0,0,0,0">
            <w:txbxContent>
              <w:p>
                <w:pPr>
                  <w:spacing w:before="7"/>
                  <w:ind w:left="20" w:right="0" w:firstLine="0"/>
                  <w:jc w:val="left"/>
                  <w:rPr>
                    <w:sz w:val="22"/>
                  </w:rPr>
                </w:pPr>
                <w:r>
                  <w:rPr>
                    <w:color w:val="231F20"/>
                    <w:sz w:val="22"/>
                  </w:rPr>
                  <w:t>110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75pt;margin-top:700.34198pt;width:20.5pt;height:14.05pt;mso-position-horizontal-relative:page;mso-position-vertical-relative:page;z-index:-33515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111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35128" type="#_x0000_t202" filled="false" stroked="false">
          <v:textbox inset="0,0,0,0">
            <w:txbxContent>
              <w:p>
                <w:pPr>
                  <w:spacing w:before="7"/>
                  <w:ind w:left="20" w:right="0" w:firstLine="0"/>
                  <w:jc w:val="left"/>
                  <w:rPr>
                    <w:sz w:val="22"/>
                  </w:rPr>
                </w:pPr>
                <w:r>
                  <w:rPr>
                    <w:color w:val="231F20"/>
                    <w:sz w:val="22"/>
                  </w:rPr>
                  <w:t>120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75pt;margin-top:700.34198pt;width:20.5pt;height:14.05pt;mso-position-horizontal-relative:page;mso-position-vertical-relative:page;z-index:-33510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121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35080" type="#_x0000_t202" filled="false" stroked="false">
          <v:textbox inset="0,0,0,0">
            <w:txbxContent>
              <w:p>
                <w:pPr>
                  <w:spacing w:before="7"/>
                  <w:ind w:left="20" w:right="0" w:firstLine="0"/>
                  <w:jc w:val="left"/>
                  <w:rPr>
                    <w:sz w:val="22"/>
                  </w:rPr>
                </w:pPr>
                <w:r>
                  <w:rPr>
                    <w:color w:val="231F20"/>
                    <w:sz w:val="22"/>
                  </w:rPr>
                  <w:t>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77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752" type="#_x0000_t202" filled="false" stroked="false">
          <v:textbox inset="0,0,0,0">
            <w:txbxContent>
              <w:p>
                <w:pPr>
                  <w:spacing w:before="7"/>
                  <w:ind w:left="20" w:right="0" w:firstLine="0"/>
                  <w:jc w:val="left"/>
                  <w:rPr>
                    <w:sz w:val="22"/>
                  </w:rPr>
                </w:pPr>
                <w:r>
                  <w:rPr>
                    <w:color w:val="231F20"/>
                    <w:sz w:val="22"/>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72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704" type="#_x0000_t202" filled="false" stroked="false">
          <v:textbox inset="0,0,0,0">
            <w:txbxContent>
              <w:p>
                <w:pPr>
                  <w:spacing w:before="7"/>
                  <w:ind w:left="20" w:right="0" w:firstLine="0"/>
                  <w:jc w:val="left"/>
                  <w:rPr>
                    <w:sz w:val="22"/>
                  </w:rPr>
                </w:pPr>
                <w:r>
                  <w:rPr>
                    <w:color w:val="231F20"/>
                    <w:sz w:val="22"/>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68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656" type="#_x0000_t202" filled="false" stroked="false">
          <v:textbox inset="0,0,0,0">
            <w:txbxContent>
              <w:p>
                <w:pPr>
                  <w:spacing w:before="7"/>
                  <w:ind w:left="20" w:right="0" w:firstLine="0"/>
                  <w:jc w:val="left"/>
                  <w:rPr>
                    <w:sz w:val="22"/>
                  </w:rPr>
                </w:pPr>
                <w:r>
                  <w:rPr>
                    <w:color w:val="231F20"/>
                    <w:sz w:val="22"/>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63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1">
      <w:start w:val="0"/>
      <w:numFmt w:val="bullet"/>
      <w:lvlText w:val="•"/>
      <w:lvlJc w:val="left"/>
      <w:pPr>
        <w:ind w:left="1904" w:hanging="366"/>
      </w:pPr>
      <w:rPr>
        <w:rFonts w:hint="default"/>
      </w:rPr>
    </w:lvl>
    <w:lvl w:ilvl="2">
      <w:start w:val="0"/>
      <w:numFmt w:val="bullet"/>
      <w:lvlText w:val="•"/>
      <w:lvlJc w:val="left"/>
      <w:pPr>
        <w:ind w:left="2728" w:hanging="366"/>
      </w:pPr>
      <w:rPr>
        <w:rFonts w:hint="default"/>
      </w:rPr>
    </w:lvl>
    <w:lvl w:ilvl="3">
      <w:start w:val="0"/>
      <w:numFmt w:val="bullet"/>
      <w:lvlText w:val="•"/>
      <w:lvlJc w:val="left"/>
      <w:pPr>
        <w:ind w:left="3552" w:hanging="366"/>
      </w:pPr>
      <w:rPr>
        <w:rFonts w:hint="default"/>
      </w:rPr>
    </w:lvl>
    <w:lvl w:ilvl="4">
      <w:start w:val="0"/>
      <w:numFmt w:val="bullet"/>
      <w:lvlText w:val="•"/>
      <w:lvlJc w:val="left"/>
      <w:pPr>
        <w:ind w:left="4376" w:hanging="366"/>
      </w:pPr>
      <w:rPr>
        <w:rFonts w:hint="default"/>
      </w:rPr>
    </w:lvl>
    <w:lvl w:ilvl="5">
      <w:start w:val="0"/>
      <w:numFmt w:val="bullet"/>
      <w:lvlText w:val="•"/>
      <w:lvlJc w:val="left"/>
      <w:pPr>
        <w:ind w:left="5200" w:hanging="366"/>
      </w:pPr>
      <w:rPr>
        <w:rFonts w:hint="default"/>
      </w:rPr>
    </w:lvl>
    <w:lvl w:ilvl="6">
      <w:start w:val="0"/>
      <w:numFmt w:val="bullet"/>
      <w:lvlText w:val="•"/>
      <w:lvlJc w:val="left"/>
      <w:pPr>
        <w:ind w:left="6024" w:hanging="366"/>
      </w:pPr>
      <w:rPr>
        <w:rFonts w:hint="default"/>
      </w:rPr>
    </w:lvl>
    <w:lvl w:ilvl="7">
      <w:start w:val="0"/>
      <w:numFmt w:val="bullet"/>
      <w:lvlText w:val="•"/>
      <w:lvlJc w:val="left"/>
      <w:pPr>
        <w:ind w:left="6848" w:hanging="366"/>
      </w:pPr>
      <w:rPr>
        <w:rFonts w:hint="default"/>
      </w:rPr>
    </w:lvl>
    <w:lvl w:ilvl="8">
      <w:start w:val="0"/>
      <w:numFmt w:val="bullet"/>
      <w:lvlText w:val="•"/>
      <w:lvlJc w:val="left"/>
      <w:pPr>
        <w:ind w:left="7672" w:hanging="366"/>
      </w:pPr>
      <w:rPr>
        <w:rFonts w:hint="default"/>
      </w:rPr>
    </w:lvl>
  </w:abstractNum>
  <w:abstractNum w:abstractNumId="25">
    <w:multiLevelType w:val="hybridMultilevel"/>
    <w:lvl w:ilvl="0">
      <w:start w:val="1"/>
      <w:numFmt w:val="decimal"/>
      <w:lvlText w:val="(%1)"/>
      <w:lvlJc w:val="left"/>
      <w:pPr>
        <w:ind w:left="610" w:hanging="49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900" w:hanging="490"/>
      </w:pPr>
      <w:rPr>
        <w:rFonts w:hint="default"/>
      </w:rPr>
    </w:lvl>
    <w:lvl w:ilvl="2">
      <w:start w:val="0"/>
      <w:numFmt w:val="bullet"/>
      <w:lvlText w:val="•"/>
      <w:lvlJc w:val="left"/>
      <w:pPr>
        <w:ind w:left="2208" w:hanging="490"/>
      </w:pPr>
      <w:rPr>
        <w:rFonts w:hint="default"/>
      </w:rPr>
    </w:lvl>
    <w:lvl w:ilvl="3">
      <w:start w:val="0"/>
      <w:numFmt w:val="bullet"/>
      <w:lvlText w:val="•"/>
      <w:lvlJc w:val="left"/>
      <w:pPr>
        <w:ind w:left="2517" w:hanging="490"/>
      </w:pPr>
      <w:rPr>
        <w:rFonts w:hint="default"/>
      </w:rPr>
    </w:lvl>
    <w:lvl w:ilvl="4">
      <w:start w:val="0"/>
      <w:numFmt w:val="bullet"/>
      <w:lvlText w:val="•"/>
      <w:lvlJc w:val="left"/>
      <w:pPr>
        <w:ind w:left="2826" w:hanging="490"/>
      </w:pPr>
      <w:rPr>
        <w:rFonts w:hint="default"/>
      </w:rPr>
    </w:lvl>
    <w:lvl w:ilvl="5">
      <w:start w:val="0"/>
      <w:numFmt w:val="bullet"/>
      <w:lvlText w:val="•"/>
      <w:lvlJc w:val="left"/>
      <w:pPr>
        <w:ind w:left="3135" w:hanging="490"/>
      </w:pPr>
      <w:rPr>
        <w:rFonts w:hint="default"/>
      </w:rPr>
    </w:lvl>
    <w:lvl w:ilvl="6">
      <w:start w:val="0"/>
      <w:numFmt w:val="bullet"/>
      <w:lvlText w:val="•"/>
      <w:lvlJc w:val="left"/>
      <w:pPr>
        <w:ind w:left="3444" w:hanging="490"/>
      </w:pPr>
      <w:rPr>
        <w:rFonts w:hint="default"/>
      </w:rPr>
    </w:lvl>
    <w:lvl w:ilvl="7">
      <w:start w:val="0"/>
      <w:numFmt w:val="bullet"/>
      <w:lvlText w:val="•"/>
      <w:lvlJc w:val="left"/>
      <w:pPr>
        <w:ind w:left="3753" w:hanging="490"/>
      </w:pPr>
      <w:rPr>
        <w:rFonts w:hint="default"/>
      </w:rPr>
    </w:lvl>
    <w:lvl w:ilvl="8">
      <w:start w:val="0"/>
      <w:numFmt w:val="bullet"/>
      <w:lvlText w:val="•"/>
      <w:lvlJc w:val="left"/>
      <w:pPr>
        <w:ind w:left="4062" w:hanging="490"/>
      </w:pPr>
      <w:rPr>
        <w:rFonts w:hint="default"/>
      </w:rPr>
    </w:lvl>
  </w:abstractNum>
  <w:abstractNum w:abstractNumId="24">
    <w:multiLevelType w:val="hybridMultilevel"/>
    <w:lvl w:ilvl="0">
      <w:start w:val="31"/>
      <w:numFmt w:val="decimal"/>
      <w:lvlText w:val="%1"/>
      <w:lvlJc w:val="left"/>
      <w:pPr>
        <w:ind w:left="120" w:hanging="1149"/>
        <w:jc w:val="left"/>
      </w:pPr>
      <w:rPr>
        <w:rFonts w:hint="default"/>
      </w:rPr>
    </w:lvl>
    <w:lvl w:ilvl="1">
      <w:start w:val="1"/>
      <w:numFmt w:val="decimal"/>
      <w:lvlText w:val="%1.%2"/>
      <w:lvlJc w:val="left"/>
      <w:pPr>
        <w:ind w:left="1269" w:hanging="1149"/>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157" w:hanging="1149"/>
      </w:pPr>
      <w:rPr>
        <w:rFonts w:hint="default"/>
      </w:rPr>
    </w:lvl>
    <w:lvl w:ilvl="3">
      <w:start w:val="0"/>
      <w:numFmt w:val="bullet"/>
      <w:lvlText w:val="•"/>
      <w:lvlJc w:val="left"/>
      <w:pPr>
        <w:ind w:left="3055" w:hanging="1149"/>
      </w:pPr>
      <w:rPr>
        <w:rFonts w:hint="default"/>
      </w:rPr>
    </w:lvl>
    <w:lvl w:ilvl="4">
      <w:start w:val="0"/>
      <w:numFmt w:val="bullet"/>
      <w:lvlText w:val="•"/>
      <w:lvlJc w:val="left"/>
      <w:pPr>
        <w:ind w:left="3953" w:hanging="1149"/>
      </w:pPr>
      <w:rPr>
        <w:rFonts w:hint="default"/>
      </w:rPr>
    </w:lvl>
    <w:lvl w:ilvl="5">
      <w:start w:val="0"/>
      <w:numFmt w:val="bullet"/>
      <w:lvlText w:val="•"/>
      <w:lvlJc w:val="left"/>
      <w:pPr>
        <w:ind w:left="4851" w:hanging="1149"/>
      </w:pPr>
      <w:rPr>
        <w:rFonts w:hint="default"/>
      </w:rPr>
    </w:lvl>
    <w:lvl w:ilvl="6">
      <w:start w:val="0"/>
      <w:numFmt w:val="bullet"/>
      <w:lvlText w:val="•"/>
      <w:lvlJc w:val="left"/>
      <w:pPr>
        <w:ind w:left="5748" w:hanging="1149"/>
      </w:pPr>
      <w:rPr>
        <w:rFonts w:hint="default"/>
      </w:rPr>
    </w:lvl>
    <w:lvl w:ilvl="7">
      <w:start w:val="0"/>
      <w:numFmt w:val="bullet"/>
      <w:lvlText w:val="•"/>
      <w:lvlJc w:val="left"/>
      <w:pPr>
        <w:ind w:left="6646" w:hanging="1149"/>
      </w:pPr>
      <w:rPr>
        <w:rFonts w:hint="default"/>
      </w:rPr>
    </w:lvl>
    <w:lvl w:ilvl="8">
      <w:start w:val="0"/>
      <w:numFmt w:val="bullet"/>
      <w:lvlText w:val="•"/>
      <w:lvlJc w:val="left"/>
      <w:pPr>
        <w:ind w:left="7544" w:hanging="1149"/>
      </w:pPr>
      <w:rPr>
        <w:rFonts w:hint="default"/>
      </w:rPr>
    </w:lvl>
  </w:abstractNum>
  <w:abstractNum w:abstractNumId="23">
    <w:multiLevelType w:val="hybridMultilevel"/>
    <w:lvl w:ilvl="0">
      <w:start w:val="10"/>
      <w:numFmt w:val="decimal"/>
      <w:lvlText w:val="%1"/>
      <w:lvlJc w:val="left"/>
      <w:pPr>
        <w:ind w:left="1249" w:hanging="391"/>
        <w:jc w:val="left"/>
      </w:pPr>
      <w:rPr>
        <w:rFonts w:hint="default"/>
      </w:rPr>
    </w:lvl>
    <w:lvl w:ilvl="1">
      <w:start w:val="1"/>
      <w:numFmt w:val="decimal"/>
      <w:lvlText w:val="%1.%2"/>
      <w:lvlJc w:val="left"/>
      <w:pPr>
        <w:ind w:left="1249" w:hanging="391"/>
        <w:jc w:val="right"/>
      </w:pPr>
      <w:rPr>
        <w:rFonts w:hint="default" w:ascii="Times New Roman" w:hAnsi="Times New Roman" w:eastAsia="Times New Roman" w:cs="Times New Roman"/>
        <w:color w:val="231F20"/>
        <w:spacing w:val="-2"/>
        <w:w w:val="100"/>
        <w:sz w:val="20"/>
        <w:szCs w:val="20"/>
      </w:rPr>
    </w:lvl>
    <w:lvl w:ilvl="2">
      <w:start w:val="0"/>
      <w:numFmt w:val="bullet"/>
      <w:lvlText w:val="•"/>
      <w:lvlJc w:val="left"/>
      <w:pPr>
        <w:ind w:left="2856" w:hanging="391"/>
      </w:pPr>
      <w:rPr>
        <w:rFonts w:hint="default"/>
      </w:rPr>
    </w:lvl>
    <w:lvl w:ilvl="3">
      <w:start w:val="0"/>
      <w:numFmt w:val="bullet"/>
      <w:lvlText w:val="•"/>
      <w:lvlJc w:val="left"/>
      <w:pPr>
        <w:ind w:left="3664" w:hanging="391"/>
      </w:pPr>
      <w:rPr>
        <w:rFonts w:hint="default"/>
      </w:rPr>
    </w:lvl>
    <w:lvl w:ilvl="4">
      <w:start w:val="0"/>
      <w:numFmt w:val="bullet"/>
      <w:lvlText w:val="•"/>
      <w:lvlJc w:val="left"/>
      <w:pPr>
        <w:ind w:left="4472" w:hanging="391"/>
      </w:pPr>
      <w:rPr>
        <w:rFonts w:hint="default"/>
      </w:rPr>
    </w:lvl>
    <w:lvl w:ilvl="5">
      <w:start w:val="0"/>
      <w:numFmt w:val="bullet"/>
      <w:lvlText w:val="•"/>
      <w:lvlJc w:val="left"/>
      <w:pPr>
        <w:ind w:left="5280" w:hanging="391"/>
      </w:pPr>
      <w:rPr>
        <w:rFonts w:hint="default"/>
      </w:rPr>
    </w:lvl>
    <w:lvl w:ilvl="6">
      <w:start w:val="0"/>
      <w:numFmt w:val="bullet"/>
      <w:lvlText w:val="•"/>
      <w:lvlJc w:val="left"/>
      <w:pPr>
        <w:ind w:left="6088" w:hanging="391"/>
      </w:pPr>
      <w:rPr>
        <w:rFonts w:hint="default"/>
      </w:rPr>
    </w:lvl>
    <w:lvl w:ilvl="7">
      <w:start w:val="0"/>
      <w:numFmt w:val="bullet"/>
      <w:lvlText w:val="•"/>
      <w:lvlJc w:val="left"/>
      <w:pPr>
        <w:ind w:left="6896" w:hanging="391"/>
      </w:pPr>
      <w:rPr>
        <w:rFonts w:hint="default"/>
      </w:rPr>
    </w:lvl>
    <w:lvl w:ilvl="8">
      <w:start w:val="0"/>
      <w:numFmt w:val="bullet"/>
      <w:lvlText w:val="•"/>
      <w:lvlJc w:val="left"/>
      <w:pPr>
        <w:ind w:left="7704" w:hanging="391"/>
      </w:pPr>
      <w:rPr>
        <w:rFonts w:hint="default"/>
      </w:rPr>
    </w:lvl>
  </w:abstractNum>
  <w:abstractNum w:abstractNumId="22">
    <w:multiLevelType w:val="hybridMultilevel"/>
    <w:lvl w:ilvl="0">
      <w:start w:val="4"/>
      <w:numFmt w:val="decimal"/>
      <w:lvlText w:val="%1"/>
      <w:lvlJc w:val="left"/>
      <w:pPr>
        <w:ind w:left="1249" w:hanging="1149"/>
        <w:jc w:val="left"/>
      </w:pPr>
      <w:rPr>
        <w:rFonts w:hint="default"/>
      </w:rPr>
    </w:lvl>
    <w:lvl w:ilvl="1">
      <w:start w:val="1"/>
      <w:numFmt w:val="decimal"/>
      <w:lvlText w:val="%1.%2"/>
      <w:lvlJc w:val="left"/>
      <w:pPr>
        <w:ind w:left="1249" w:hanging="1149"/>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852" w:hanging="1149"/>
      </w:pPr>
      <w:rPr>
        <w:rFonts w:hint="default"/>
      </w:rPr>
    </w:lvl>
    <w:lvl w:ilvl="3">
      <w:start w:val="0"/>
      <w:numFmt w:val="bullet"/>
      <w:lvlText w:val="•"/>
      <w:lvlJc w:val="left"/>
      <w:pPr>
        <w:ind w:left="3658" w:hanging="1149"/>
      </w:pPr>
      <w:rPr>
        <w:rFonts w:hint="default"/>
      </w:rPr>
    </w:lvl>
    <w:lvl w:ilvl="4">
      <w:start w:val="0"/>
      <w:numFmt w:val="bullet"/>
      <w:lvlText w:val="•"/>
      <w:lvlJc w:val="left"/>
      <w:pPr>
        <w:ind w:left="4464" w:hanging="1149"/>
      </w:pPr>
      <w:rPr>
        <w:rFonts w:hint="default"/>
      </w:rPr>
    </w:lvl>
    <w:lvl w:ilvl="5">
      <w:start w:val="0"/>
      <w:numFmt w:val="bullet"/>
      <w:lvlText w:val="•"/>
      <w:lvlJc w:val="left"/>
      <w:pPr>
        <w:ind w:left="5270" w:hanging="1149"/>
      </w:pPr>
      <w:rPr>
        <w:rFonts w:hint="default"/>
      </w:rPr>
    </w:lvl>
    <w:lvl w:ilvl="6">
      <w:start w:val="0"/>
      <w:numFmt w:val="bullet"/>
      <w:lvlText w:val="•"/>
      <w:lvlJc w:val="left"/>
      <w:pPr>
        <w:ind w:left="6076" w:hanging="1149"/>
      </w:pPr>
      <w:rPr>
        <w:rFonts w:hint="default"/>
      </w:rPr>
    </w:lvl>
    <w:lvl w:ilvl="7">
      <w:start w:val="0"/>
      <w:numFmt w:val="bullet"/>
      <w:lvlText w:val="•"/>
      <w:lvlJc w:val="left"/>
      <w:pPr>
        <w:ind w:left="6882" w:hanging="1149"/>
      </w:pPr>
      <w:rPr>
        <w:rFonts w:hint="default"/>
      </w:rPr>
    </w:lvl>
    <w:lvl w:ilvl="8">
      <w:start w:val="0"/>
      <w:numFmt w:val="bullet"/>
      <w:lvlText w:val="•"/>
      <w:lvlJc w:val="left"/>
      <w:pPr>
        <w:ind w:left="7688" w:hanging="1149"/>
      </w:pPr>
      <w:rPr>
        <w:rFonts w:hint="default"/>
      </w:rPr>
    </w:lvl>
  </w:abstractNum>
  <w:abstractNum w:abstractNumId="21">
    <w:multiLevelType w:val="hybridMultilevel"/>
    <w:lvl w:ilvl="0">
      <w:start w:val="3"/>
      <w:numFmt w:val="decimal"/>
      <w:lvlText w:val="%1"/>
      <w:lvlJc w:val="left"/>
      <w:pPr>
        <w:ind w:left="1249" w:hanging="1149"/>
        <w:jc w:val="left"/>
      </w:pPr>
      <w:rPr>
        <w:rFonts w:hint="default"/>
      </w:rPr>
    </w:lvl>
    <w:lvl w:ilvl="1">
      <w:start w:val="1"/>
      <w:numFmt w:val="decimal"/>
      <w:lvlText w:val="%1.%2"/>
      <w:lvlJc w:val="left"/>
      <w:pPr>
        <w:ind w:left="1249" w:hanging="1149"/>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852" w:hanging="1149"/>
      </w:pPr>
      <w:rPr>
        <w:rFonts w:hint="default"/>
      </w:rPr>
    </w:lvl>
    <w:lvl w:ilvl="3">
      <w:start w:val="0"/>
      <w:numFmt w:val="bullet"/>
      <w:lvlText w:val="•"/>
      <w:lvlJc w:val="left"/>
      <w:pPr>
        <w:ind w:left="3658" w:hanging="1149"/>
      </w:pPr>
      <w:rPr>
        <w:rFonts w:hint="default"/>
      </w:rPr>
    </w:lvl>
    <w:lvl w:ilvl="4">
      <w:start w:val="0"/>
      <w:numFmt w:val="bullet"/>
      <w:lvlText w:val="•"/>
      <w:lvlJc w:val="left"/>
      <w:pPr>
        <w:ind w:left="4464" w:hanging="1149"/>
      </w:pPr>
      <w:rPr>
        <w:rFonts w:hint="default"/>
      </w:rPr>
    </w:lvl>
    <w:lvl w:ilvl="5">
      <w:start w:val="0"/>
      <w:numFmt w:val="bullet"/>
      <w:lvlText w:val="•"/>
      <w:lvlJc w:val="left"/>
      <w:pPr>
        <w:ind w:left="5270" w:hanging="1149"/>
      </w:pPr>
      <w:rPr>
        <w:rFonts w:hint="default"/>
      </w:rPr>
    </w:lvl>
    <w:lvl w:ilvl="6">
      <w:start w:val="0"/>
      <w:numFmt w:val="bullet"/>
      <w:lvlText w:val="•"/>
      <w:lvlJc w:val="left"/>
      <w:pPr>
        <w:ind w:left="6076" w:hanging="1149"/>
      </w:pPr>
      <w:rPr>
        <w:rFonts w:hint="default"/>
      </w:rPr>
    </w:lvl>
    <w:lvl w:ilvl="7">
      <w:start w:val="0"/>
      <w:numFmt w:val="bullet"/>
      <w:lvlText w:val="•"/>
      <w:lvlJc w:val="left"/>
      <w:pPr>
        <w:ind w:left="6882" w:hanging="1149"/>
      </w:pPr>
      <w:rPr>
        <w:rFonts w:hint="default"/>
      </w:rPr>
    </w:lvl>
    <w:lvl w:ilvl="8">
      <w:start w:val="0"/>
      <w:numFmt w:val="bullet"/>
      <w:lvlText w:val="•"/>
      <w:lvlJc w:val="left"/>
      <w:pPr>
        <w:ind w:left="7688" w:hanging="1149"/>
      </w:pPr>
      <w:rPr>
        <w:rFonts w:hint="default"/>
      </w:rPr>
    </w:lvl>
  </w:abstractNum>
  <w:abstractNum w:abstractNumId="20">
    <w:multiLevelType w:val="hybridMultilevel"/>
    <w:lvl w:ilvl="0">
      <w:start w:val="2"/>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1100" w:hanging="49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2015" w:hanging="490"/>
      </w:pPr>
      <w:rPr>
        <w:rFonts w:hint="default"/>
      </w:rPr>
    </w:lvl>
    <w:lvl w:ilvl="3">
      <w:start w:val="0"/>
      <w:numFmt w:val="bullet"/>
      <w:lvlText w:val="•"/>
      <w:lvlJc w:val="left"/>
      <w:pPr>
        <w:ind w:left="2931" w:hanging="490"/>
      </w:pPr>
      <w:rPr>
        <w:rFonts w:hint="default"/>
      </w:rPr>
    </w:lvl>
    <w:lvl w:ilvl="4">
      <w:start w:val="0"/>
      <w:numFmt w:val="bullet"/>
      <w:lvlText w:val="•"/>
      <w:lvlJc w:val="left"/>
      <w:pPr>
        <w:ind w:left="3846" w:hanging="490"/>
      </w:pPr>
      <w:rPr>
        <w:rFonts w:hint="default"/>
      </w:rPr>
    </w:lvl>
    <w:lvl w:ilvl="5">
      <w:start w:val="0"/>
      <w:numFmt w:val="bullet"/>
      <w:lvlText w:val="•"/>
      <w:lvlJc w:val="left"/>
      <w:pPr>
        <w:ind w:left="4762" w:hanging="490"/>
      </w:pPr>
      <w:rPr>
        <w:rFonts w:hint="default"/>
      </w:rPr>
    </w:lvl>
    <w:lvl w:ilvl="6">
      <w:start w:val="0"/>
      <w:numFmt w:val="bullet"/>
      <w:lvlText w:val="•"/>
      <w:lvlJc w:val="left"/>
      <w:pPr>
        <w:ind w:left="5677" w:hanging="490"/>
      </w:pPr>
      <w:rPr>
        <w:rFonts w:hint="default"/>
      </w:rPr>
    </w:lvl>
    <w:lvl w:ilvl="7">
      <w:start w:val="0"/>
      <w:numFmt w:val="bullet"/>
      <w:lvlText w:val="•"/>
      <w:lvlJc w:val="left"/>
      <w:pPr>
        <w:ind w:left="6593" w:hanging="490"/>
      </w:pPr>
      <w:rPr>
        <w:rFonts w:hint="default"/>
      </w:rPr>
    </w:lvl>
    <w:lvl w:ilvl="8">
      <w:start w:val="0"/>
      <w:numFmt w:val="bullet"/>
      <w:lvlText w:val="•"/>
      <w:lvlJc w:val="left"/>
      <w:pPr>
        <w:ind w:left="7508" w:hanging="490"/>
      </w:pPr>
      <w:rPr>
        <w:rFonts w:hint="default"/>
      </w:rPr>
    </w:lvl>
  </w:abstractNum>
  <w:abstractNum w:abstractNumId="19">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36" w:hanging="400"/>
      </w:pPr>
      <w:rPr>
        <w:rFonts w:hint="default"/>
      </w:rPr>
    </w:lvl>
    <w:lvl w:ilvl="2">
      <w:start w:val="0"/>
      <w:numFmt w:val="bullet"/>
      <w:lvlText w:val="•"/>
      <w:lvlJc w:val="left"/>
      <w:pPr>
        <w:ind w:left="2312" w:hanging="400"/>
      </w:pPr>
      <w:rPr>
        <w:rFonts w:hint="default"/>
      </w:rPr>
    </w:lvl>
    <w:lvl w:ilvl="3">
      <w:start w:val="0"/>
      <w:numFmt w:val="bullet"/>
      <w:lvlText w:val="•"/>
      <w:lvlJc w:val="left"/>
      <w:pPr>
        <w:ind w:left="3188" w:hanging="400"/>
      </w:pPr>
      <w:rPr>
        <w:rFonts w:hint="default"/>
      </w:rPr>
    </w:lvl>
    <w:lvl w:ilvl="4">
      <w:start w:val="0"/>
      <w:numFmt w:val="bullet"/>
      <w:lvlText w:val="•"/>
      <w:lvlJc w:val="left"/>
      <w:pPr>
        <w:ind w:left="4064"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16" w:hanging="400"/>
      </w:pPr>
      <w:rPr>
        <w:rFonts w:hint="default"/>
      </w:rPr>
    </w:lvl>
    <w:lvl w:ilvl="7">
      <w:start w:val="0"/>
      <w:numFmt w:val="bullet"/>
      <w:lvlText w:val="•"/>
      <w:lvlJc w:val="left"/>
      <w:pPr>
        <w:ind w:left="6692" w:hanging="400"/>
      </w:pPr>
      <w:rPr>
        <w:rFonts w:hint="default"/>
      </w:rPr>
    </w:lvl>
    <w:lvl w:ilvl="8">
      <w:start w:val="0"/>
      <w:numFmt w:val="bullet"/>
      <w:lvlText w:val="•"/>
      <w:lvlJc w:val="left"/>
      <w:pPr>
        <w:ind w:left="7568" w:hanging="400"/>
      </w:pPr>
      <w:rPr>
        <w:rFonts w:hint="default"/>
      </w:rPr>
    </w:lvl>
  </w:abstractNum>
  <w:abstractNum w:abstractNumId="18">
    <w:multiLevelType w:val="hybridMultilevel"/>
    <w:lvl w:ilvl="0">
      <w:start w:val="1"/>
      <w:numFmt w:val="lowerLetter"/>
      <w:lvlText w:val="(%1)"/>
      <w:lvlJc w:val="left"/>
      <w:pPr>
        <w:ind w:left="560" w:hanging="400"/>
        <w:jc w:val="right"/>
      </w:pPr>
      <w:rPr>
        <w:rFonts w:hint="default"/>
        <w:w w:val="10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7">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6">
    <w:multiLevelType w:val="hybridMultilevel"/>
    <w:lvl w:ilvl="0">
      <w:start w:val="1"/>
      <w:numFmt w:val="lowerLetter"/>
      <w:lvlText w:val="(%1)"/>
      <w:lvlJc w:val="left"/>
      <w:pPr>
        <w:ind w:left="440" w:hanging="32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332" w:hanging="320"/>
      </w:pPr>
      <w:rPr>
        <w:rFonts w:hint="default"/>
      </w:rPr>
    </w:lvl>
    <w:lvl w:ilvl="2">
      <w:start w:val="0"/>
      <w:numFmt w:val="bullet"/>
      <w:lvlText w:val="•"/>
      <w:lvlJc w:val="left"/>
      <w:pPr>
        <w:ind w:left="2224" w:hanging="320"/>
      </w:pPr>
      <w:rPr>
        <w:rFonts w:hint="default"/>
      </w:rPr>
    </w:lvl>
    <w:lvl w:ilvl="3">
      <w:start w:val="0"/>
      <w:numFmt w:val="bullet"/>
      <w:lvlText w:val="•"/>
      <w:lvlJc w:val="left"/>
      <w:pPr>
        <w:ind w:left="3116" w:hanging="320"/>
      </w:pPr>
      <w:rPr>
        <w:rFonts w:hint="default"/>
      </w:rPr>
    </w:lvl>
    <w:lvl w:ilvl="4">
      <w:start w:val="0"/>
      <w:numFmt w:val="bullet"/>
      <w:lvlText w:val="•"/>
      <w:lvlJc w:val="left"/>
      <w:pPr>
        <w:ind w:left="4008" w:hanging="320"/>
      </w:pPr>
      <w:rPr>
        <w:rFonts w:hint="default"/>
      </w:rPr>
    </w:lvl>
    <w:lvl w:ilvl="5">
      <w:start w:val="0"/>
      <w:numFmt w:val="bullet"/>
      <w:lvlText w:val="•"/>
      <w:lvlJc w:val="left"/>
      <w:pPr>
        <w:ind w:left="4900" w:hanging="320"/>
      </w:pPr>
      <w:rPr>
        <w:rFonts w:hint="default"/>
      </w:rPr>
    </w:lvl>
    <w:lvl w:ilvl="6">
      <w:start w:val="0"/>
      <w:numFmt w:val="bullet"/>
      <w:lvlText w:val="•"/>
      <w:lvlJc w:val="left"/>
      <w:pPr>
        <w:ind w:left="5792" w:hanging="320"/>
      </w:pPr>
      <w:rPr>
        <w:rFonts w:hint="default"/>
      </w:rPr>
    </w:lvl>
    <w:lvl w:ilvl="7">
      <w:start w:val="0"/>
      <w:numFmt w:val="bullet"/>
      <w:lvlText w:val="•"/>
      <w:lvlJc w:val="left"/>
      <w:pPr>
        <w:ind w:left="6684" w:hanging="320"/>
      </w:pPr>
      <w:rPr>
        <w:rFonts w:hint="default"/>
      </w:rPr>
    </w:lvl>
    <w:lvl w:ilvl="8">
      <w:start w:val="0"/>
      <w:numFmt w:val="bullet"/>
      <w:lvlText w:val="•"/>
      <w:lvlJc w:val="left"/>
      <w:pPr>
        <w:ind w:left="7576" w:hanging="320"/>
      </w:pPr>
      <w:rPr>
        <w:rFonts w:hint="default"/>
      </w:rPr>
    </w:lvl>
  </w:abstractNum>
  <w:abstractNum w:abstractNumId="15">
    <w:multiLevelType w:val="hybridMultilevel"/>
    <w:lvl w:ilvl="0">
      <w:start w:val="1"/>
      <w:numFmt w:val="lowerLetter"/>
      <w:lvlText w:val="(%1)"/>
      <w:lvlJc w:val="left"/>
      <w:pPr>
        <w:ind w:left="480" w:hanging="32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376" w:hanging="320"/>
      </w:pPr>
      <w:rPr>
        <w:rFonts w:hint="default"/>
      </w:rPr>
    </w:lvl>
    <w:lvl w:ilvl="2">
      <w:start w:val="0"/>
      <w:numFmt w:val="bullet"/>
      <w:lvlText w:val="•"/>
      <w:lvlJc w:val="left"/>
      <w:pPr>
        <w:ind w:left="2272" w:hanging="320"/>
      </w:pPr>
      <w:rPr>
        <w:rFonts w:hint="default"/>
      </w:rPr>
    </w:lvl>
    <w:lvl w:ilvl="3">
      <w:start w:val="0"/>
      <w:numFmt w:val="bullet"/>
      <w:lvlText w:val="•"/>
      <w:lvlJc w:val="left"/>
      <w:pPr>
        <w:ind w:left="3168" w:hanging="320"/>
      </w:pPr>
      <w:rPr>
        <w:rFonts w:hint="default"/>
      </w:rPr>
    </w:lvl>
    <w:lvl w:ilvl="4">
      <w:start w:val="0"/>
      <w:numFmt w:val="bullet"/>
      <w:lvlText w:val="•"/>
      <w:lvlJc w:val="left"/>
      <w:pPr>
        <w:ind w:left="4064" w:hanging="320"/>
      </w:pPr>
      <w:rPr>
        <w:rFonts w:hint="default"/>
      </w:rPr>
    </w:lvl>
    <w:lvl w:ilvl="5">
      <w:start w:val="0"/>
      <w:numFmt w:val="bullet"/>
      <w:lvlText w:val="•"/>
      <w:lvlJc w:val="left"/>
      <w:pPr>
        <w:ind w:left="4960" w:hanging="320"/>
      </w:pPr>
      <w:rPr>
        <w:rFonts w:hint="default"/>
      </w:rPr>
    </w:lvl>
    <w:lvl w:ilvl="6">
      <w:start w:val="0"/>
      <w:numFmt w:val="bullet"/>
      <w:lvlText w:val="•"/>
      <w:lvlJc w:val="left"/>
      <w:pPr>
        <w:ind w:left="5856" w:hanging="320"/>
      </w:pPr>
      <w:rPr>
        <w:rFonts w:hint="default"/>
      </w:rPr>
    </w:lvl>
    <w:lvl w:ilvl="7">
      <w:start w:val="0"/>
      <w:numFmt w:val="bullet"/>
      <w:lvlText w:val="•"/>
      <w:lvlJc w:val="left"/>
      <w:pPr>
        <w:ind w:left="6752" w:hanging="320"/>
      </w:pPr>
      <w:rPr>
        <w:rFonts w:hint="default"/>
      </w:rPr>
    </w:lvl>
    <w:lvl w:ilvl="8">
      <w:start w:val="0"/>
      <w:numFmt w:val="bullet"/>
      <w:lvlText w:val="•"/>
      <w:lvlJc w:val="left"/>
      <w:pPr>
        <w:ind w:left="7648" w:hanging="320"/>
      </w:pPr>
      <w:rPr>
        <w:rFonts w:hint="default"/>
      </w:rPr>
    </w:lvl>
  </w:abstractNum>
  <w:abstractNum w:abstractNumId="14">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2" w:hanging="400"/>
      </w:pPr>
      <w:rPr>
        <w:rFonts w:hint="default"/>
      </w:rPr>
    </w:lvl>
    <w:lvl w:ilvl="2">
      <w:start w:val="0"/>
      <w:numFmt w:val="bullet"/>
      <w:lvlText w:val="•"/>
      <w:lvlJc w:val="left"/>
      <w:pPr>
        <w:ind w:left="2284" w:hanging="400"/>
      </w:pPr>
      <w:rPr>
        <w:rFonts w:hint="default"/>
      </w:rPr>
    </w:lvl>
    <w:lvl w:ilvl="3">
      <w:start w:val="0"/>
      <w:numFmt w:val="bullet"/>
      <w:lvlText w:val="•"/>
      <w:lvlJc w:val="left"/>
      <w:pPr>
        <w:ind w:left="3166" w:hanging="400"/>
      </w:pPr>
      <w:rPr>
        <w:rFonts w:hint="default"/>
      </w:rPr>
    </w:lvl>
    <w:lvl w:ilvl="4">
      <w:start w:val="0"/>
      <w:numFmt w:val="bullet"/>
      <w:lvlText w:val="•"/>
      <w:lvlJc w:val="left"/>
      <w:pPr>
        <w:ind w:left="4048" w:hanging="400"/>
      </w:pPr>
      <w:rPr>
        <w:rFonts w:hint="default"/>
      </w:rPr>
    </w:lvl>
    <w:lvl w:ilvl="5">
      <w:start w:val="0"/>
      <w:numFmt w:val="bullet"/>
      <w:lvlText w:val="•"/>
      <w:lvlJc w:val="left"/>
      <w:pPr>
        <w:ind w:left="4930" w:hanging="400"/>
      </w:pPr>
      <w:rPr>
        <w:rFonts w:hint="default"/>
      </w:rPr>
    </w:lvl>
    <w:lvl w:ilvl="6">
      <w:start w:val="0"/>
      <w:numFmt w:val="bullet"/>
      <w:lvlText w:val="•"/>
      <w:lvlJc w:val="left"/>
      <w:pPr>
        <w:ind w:left="5812" w:hanging="400"/>
      </w:pPr>
      <w:rPr>
        <w:rFonts w:hint="default"/>
      </w:rPr>
    </w:lvl>
    <w:lvl w:ilvl="7">
      <w:start w:val="0"/>
      <w:numFmt w:val="bullet"/>
      <w:lvlText w:val="•"/>
      <w:lvlJc w:val="left"/>
      <w:pPr>
        <w:ind w:left="6694" w:hanging="400"/>
      </w:pPr>
      <w:rPr>
        <w:rFonts w:hint="default"/>
      </w:rPr>
    </w:lvl>
    <w:lvl w:ilvl="8">
      <w:start w:val="0"/>
      <w:numFmt w:val="bullet"/>
      <w:lvlText w:val="•"/>
      <w:lvlJc w:val="left"/>
      <w:pPr>
        <w:ind w:left="7576" w:hanging="400"/>
      </w:pPr>
      <w:rPr>
        <w:rFonts w:hint="default"/>
      </w:rPr>
    </w:lvl>
  </w:abstractNum>
  <w:abstractNum w:abstractNumId="13">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2">
    <w:multiLevelType w:val="hybridMultilevel"/>
    <w:lvl w:ilvl="0">
      <w:start w:val="8"/>
      <w:numFmt w:val="decimal"/>
      <w:lvlText w:val="%1."/>
      <w:lvlJc w:val="left"/>
      <w:pPr>
        <w:ind w:left="360" w:hanging="200"/>
        <w:jc w:val="right"/>
      </w:pPr>
      <w:rPr>
        <w:rFonts w:hint="default" w:ascii="Times New Roman" w:hAnsi="Times New Roman" w:eastAsia="Times New Roman" w:cs="Times New Roman"/>
        <w:b/>
        <w:bCs/>
        <w:color w:val="231F20"/>
        <w:w w:val="99"/>
        <w:sz w:val="20"/>
        <w:szCs w:val="20"/>
      </w:rPr>
    </w:lvl>
    <w:lvl w:ilvl="1">
      <w:start w:val="2"/>
      <w:numFmt w:val="decimal"/>
      <w:lvlText w:val="%2."/>
      <w:lvlJc w:val="left"/>
      <w:pPr>
        <w:ind w:left="790" w:hanging="20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1744" w:hanging="200"/>
      </w:pPr>
      <w:rPr>
        <w:rFonts w:hint="default"/>
      </w:rPr>
    </w:lvl>
    <w:lvl w:ilvl="3">
      <w:start w:val="0"/>
      <w:numFmt w:val="bullet"/>
      <w:lvlText w:val="•"/>
      <w:lvlJc w:val="left"/>
      <w:pPr>
        <w:ind w:left="2688" w:hanging="200"/>
      </w:pPr>
      <w:rPr>
        <w:rFonts w:hint="default"/>
      </w:rPr>
    </w:lvl>
    <w:lvl w:ilvl="4">
      <w:start w:val="0"/>
      <w:numFmt w:val="bullet"/>
      <w:lvlText w:val="•"/>
      <w:lvlJc w:val="left"/>
      <w:pPr>
        <w:ind w:left="3633" w:hanging="200"/>
      </w:pPr>
      <w:rPr>
        <w:rFonts w:hint="default"/>
      </w:rPr>
    </w:lvl>
    <w:lvl w:ilvl="5">
      <w:start w:val="0"/>
      <w:numFmt w:val="bullet"/>
      <w:lvlText w:val="•"/>
      <w:lvlJc w:val="left"/>
      <w:pPr>
        <w:ind w:left="4577" w:hanging="200"/>
      </w:pPr>
      <w:rPr>
        <w:rFonts w:hint="default"/>
      </w:rPr>
    </w:lvl>
    <w:lvl w:ilvl="6">
      <w:start w:val="0"/>
      <w:numFmt w:val="bullet"/>
      <w:lvlText w:val="•"/>
      <w:lvlJc w:val="left"/>
      <w:pPr>
        <w:ind w:left="5522" w:hanging="200"/>
      </w:pPr>
      <w:rPr>
        <w:rFonts w:hint="default"/>
      </w:rPr>
    </w:lvl>
    <w:lvl w:ilvl="7">
      <w:start w:val="0"/>
      <w:numFmt w:val="bullet"/>
      <w:lvlText w:val="•"/>
      <w:lvlJc w:val="left"/>
      <w:pPr>
        <w:ind w:left="6466" w:hanging="200"/>
      </w:pPr>
      <w:rPr>
        <w:rFonts w:hint="default"/>
      </w:rPr>
    </w:lvl>
    <w:lvl w:ilvl="8">
      <w:start w:val="0"/>
      <w:numFmt w:val="bullet"/>
      <w:lvlText w:val="•"/>
      <w:lvlJc w:val="left"/>
      <w:pPr>
        <w:ind w:left="7411" w:hanging="200"/>
      </w:pPr>
      <w:rPr>
        <w:rFonts w:hint="default"/>
      </w:rPr>
    </w:lvl>
  </w:abstractNum>
  <w:abstractNum w:abstractNumId="11">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48" w:hanging="400"/>
      </w:pPr>
      <w:rPr>
        <w:rFonts w:hint="default"/>
      </w:rPr>
    </w:lvl>
    <w:lvl w:ilvl="2">
      <w:start w:val="0"/>
      <w:numFmt w:val="bullet"/>
      <w:lvlText w:val="•"/>
      <w:lvlJc w:val="left"/>
      <w:pPr>
        <w:ind w:left="2336" w:hanging="400"/>
      </w:pPr>
      <w:rPr>
        <w:rFonts w:hint="default"/>
      </w:rPr>
    </w:lvl>
    <w:lvl w:ilvl="3">
      <w:start w:val="0"/>
      <w:numFmt w:val="bullet"/>
      <w:lvlText w:val="•"/>
      <w:lvlJc w:val="left"/>
      <w:pPr>
        <w:ind w:left="3224" w:hanging="400"/>
      </w:pPr>
      <w:rPr>
        <w:rFonts w:hint="default"/>
      </w:rPr>
    </w:lvl>
    <w:lvl w:ilvl="4">
      <w:start w:val="0"/>
      <w:numFmt w:val="bullet"/>
      <w:lvlText w:val="•"/>
      <w:lvlJc w:val="left"/>
      <w:pPr>
        <w:ind w:left="4112" w:hanging="400"/>
      </w:pPr>
      <w:rPr>
        <w:rFonts w:hint="default"/>
      </w:rPr>
    </w:lvl>
    <w:lvl w:ilvl="5">
      <w:start w:val="0"/>
      <w:numFmt w:val="bullet"/>
      <w:lvlText w:val="•"/>
      <w:lvlJc w:val="left"/>
      <w:pPr>
        <w:ind w:left="5000" w:hanging="400"/>
      </w:pPr>
      <w:rPr>
        <w:rFonts w:hint="default"/>
      </w:rPr>
    </w:lvl>
    <w:lvl w:ilvl="6">
      <w:start w:val="0"/>
      <w:numFmt w:val="bullet"/>
      <w:lvlText w:val="•"/>
      <w:lvlJc w:val="left"/>
      <w:pPr>
        <w:ind w:left="5888" w:hanging="400"/>
      </w:pPr>
      <w:rPr>
        <w:rFonts w:hint="default"/>
      </w:rPr>
    </w:lvl>
    <w:lvl w:ilvl="7">
      <w:start w:val="0"/>
      <w:numFmt w:val="bullet"/>
      <w:lvlText w:val="•"/>
      <w:lvlJc w:val="left"/>
      <w:pPr>
        <w:ind w:left="6776" w:hanging="400"/>
      </w:pPr>
      <w:rPr>
        <w:rFonts w:hint="default"/>
      </w:rPr>
    </w:lvl>
    <w:lvl w:ilvl="8">
      <w:start w:val="0"/>
      <w:numFmt w:val="bullet"/>
      <w:lvlText w:val="•"/>
      <w:lvlJc w:val="left"/>
      <w:pPr>
        <w:ind w:left="7664" w:hanging="400"/>
      </w:pPr>
      <w:rPr>
        <w:rFonts w:hint="default"/>
      </w:rPr>
    </w:lvl>
  </w:abstractNum>
  <w:abstractNum w:abstractNumId="10">
    <w:multiLevelType w:val="hybridMultilevel"/>
    <w:lvl w:ilvl="0">
      <w:start w:val="1"/>
      <w:numFmt w:val="decimal"/>
      <w:lvlText w:val="%1."/>
      <w:lvlJc w:val="left"/>
      <w:pPr>
        <w:ind w:left="320" w:hanging="200"/>
        <w:jc w:val="left"/>
      </w:pPr>
      <w:rPr>
        <w:rFonts w:hint="default" w:ascii="Times New Roman" w:hAnsi="Times New Roman" w:eastAsia="Times New Roman" w:cs="Times New Roman"/>
        <w:b/>
        <w:bCs/>
        <w:color w:val="231F20"/>
        <w:spacing w:val="-2"/>
        <w:w w:val="99"/>
        <w:sz w:val="20"/>
        <w:szCs w:val="20"/>
      </w:rPr>
    </w:lvl>
    <w:lvl w:ilvl="1">
      <w:start w:val="0"/>
      <w:numFmt w:val="bullet"/>
      <w:lvlText w:val="•"/>
      <w:lvlJc w:val="left"/>
      <w:pPr>
        <w:ind w:left="1222" w:hanging="200"/>
      </w:pPr>
      <w:rPr>
        <w:rFonts w:hint="default"/>
      </w:rPr>
    </w:lvl>
    <w:lvl w:ilvl="2">
      <w:start w:val="0"/>
      <w:numFmt w:val="bullet"/>
      <w:lvlText w:val="•"/>
      <w:lvlJc w:val="left"/>
      <w:pPr>
        <w:ind w:left="2124" w:hanging="200"/>
      </w:pPr>
      <w:rPr>
        <w:rFonts w:hint="default"/>
      </w:rPr>
    </w:lvl>
    <w:lvl w:ilvl="3">
      <w:start w:val="0"/>
      <w:numFmt w:val="bullet"/>
      <w:lvlText w:val="•"/>
      <w:lvlJc w:val="left"/>
      <w:pPr>
        <w:ind w:left="3026" w:hanging="200"/>
      </w:pPr>
      <w:rPr>
        <w:rFonts w:hint="default"/>
      </w:rPr>
    </w:lvl>
    <w:lvl w:ilvl="4">
      <w:start w:val="0"/>
      <w:numFmt w:val="bullet"/>
      <w:lvlText w:val="•"/>
      <w:lvlJc w:val="left"/>
      <w:pPr>
        <w:ind w:left="3928" w:hanging="200"/>
      </w:pPr>
      <w:rPr>
        <w:rFonts w:hint="default"/>
      </w:rPr>
    </w:lvl>
    <w:lvl w:ilvl="5">
      <w:start w:val="0"/>
      <w:numFmt w:val="bullet"/>
      <w:lvlText w:val="•"/>
      <w:lvlJc w:val="left"/>
      <w:pPr>
        <w:ind w:left="4830" w:hanging="200"/>
      </w:pPr>
      <w:rPr>
        <w:rFonts w:hint="default"/>
      </w:rPr>
    </w:lvl>
    <w:lvl w:ilvl="6">
      <w:start w:val="0"/>
      <w:numFmt w:val="bullet"/>
      <w:lvlText w:val="•"/>
      <w:lvlJc w:val="left"/>
      <w:pPr>
        <w:ind w:left="5732" w:hanging="200"/>
      </w:pPr>
      <w:rPr>
        <w:rFonts w:hint="default"/>
      </w:rPr>
    </w:lvl>
    <w:lvl w:ilvl="7">
      <w:start w:val="0"/>
      <w:numFmt w:val="bullet"/>
      <w:lvlText w:val="•"/>
      <w:lvlJc w:val="left"/>
      <w:pPr>
        <w:ind w:left="6634" w:hanging="200"/>
      </w:pPr>
      <w:rPr>
        <w:rFonts w:hint="default"/>
      </w:rPr>
    </w:lvl>
    <w:lvl w:ilvl="8">
      <w:start w:val="0"/>
      <w:numFmt w:val="bullet"/>
      <w:lvlText w:val="•"/>
      <w:lvlJc w:val="left"/>
      <w:pPr>
        <w:ind w:left="7536" w:hanging="200"/>
      </w:pPr>
      <w:rPr>
        <w:rFonts w:hint="default"/>
      </w:rPr>
    </w:lvl>
  </w:abstractNum>
  <w:abstractNum w:abstractNumId="9">
    <w:multiLevelType w:val="hybridMultilevel"/>
    <w:lvl w:ilvl="0">
      <w:start w:val="1"/>
      <w:numFmt w:val="decimal"/>
      <w:lvlText w:val="(%1)"/>
      <w:lvlJc w:val="left"/>
      <w:pPr>
        <w:ind w:left="520" w:hanging="360"/>
        <w:jc w:val="left"/>
      </w:pPr>
      <w:rPr>
        <w:rFonts w:hint="default" w:ascii="Times New Roman" w:hAnsi="Times New Roman" w:eastAsia="Times New Roman" w:cs="Times New Roman"/>
        <w:color w:val="231F20"/>
        <w:spacing w:val="-1"/>
        <w:w w:val="99"/>
        <w:sz w:val="18"/>
        <w:szCs w:val="18"/>
      </w:rPr>
    </w:lvl>
    <w:lvl w:ilvl="1">
      <w:start w:val="0"/>
      <w:numFmt w:val="bullet"/>
      <w:lvlText w:val="•"/>
      <w:lvlJc w:val="left"/>
      <w:pPr>
        <w:ind w:left="141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196"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64" w:hanging="360"/>
      </w:pPr>
      <w:rPr>
        <w:rFonts w:hint="default"/>
      </w:rPr>
    </w:lvl>
    <w:lvl w:ilvl="8">
      <w:start w:val="0"/>
      <w:numFmt w:val="bullet"/>
      <w:lvlText w:val="•"/>
      <w:lvlJc w:val="left"/>
      <w:pPr>
        <w:ind w:left="7656" w:hanging="360"/>
      </w:pPr>
      <w:rPr>
        <w:rFonts w:hint="default"/>
      </w:rPr>
    </w:lvl>
  </w:abstractNum>
  <w:abstractNum w:abstractNumId="8">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480" w:hanging="320"/>
        <w:jc w:val="left"/>
      </w:pPr>
      <w:rPr>
        <w:rFonts w:hint="default" w:ascii="Times New Roman" w:hAnsi="Times New Roman" w:eastAsia="Times New Roman" w:cs="Times New Roman"/>
        <w:color w:val="231F20"/>
        <w:w w:val="100"/>
        <w:sz w:val="16"/>
        <w:szCs w:val="16"/>
      </w:rPr>
    </w:lvl>
    <w:lvl w:ilvl="2">
      <w:start w:val="0"/>
      <w:numFmt w:val="bullet"/>
      <w:lvlText w:val="•"/>
      <w:lvlJc w:val="left"/>
      <w:pPr>
        <w:ind w:left="1480" w:hanging="320"/>
      </w:pPr>
      <w:rPr>
        <w:rFonts w:hint="default"/>
      </w:rPr>
    </w:lvl>
    <w:lvl w:ilvl="3">
      <w:start w:val="0"/>
      <w:numFmt w:val="bullet"/>
      <w:lvlText w:val="•"/>
      <w:lvlJc w:val="left"/>
      <w:pPr>
        <w:ind w:left="2460" w:hanging="320"/>
      </w:pPr>
      <w:rPr>
        <w:rFonts w:hint="default"/>
      </w:rPr>
    </w:lvl>
    <w:lvl w:ilvl="4">
      <w:start w:val="0"/>
      <w:numFmt w:val="bullet"/>
      <w:lvlText w:val="•"/>
      <w:lvlJc w:val="left"/>
      <w:pPr>
        <w:ind w:left="3440" w:hanging="320"/>
      </w:pPr>
      <w:rPr>
        <w:rFonts w:hint="default"/>
      </w:rPr>
    </w:lvl>
    <w:lvl w:ilvl="5">
      <w:start w:val="0"/>
      <w:numFmt w:val="bullet"/>
      <w:lvlText w:val="•"/>
      <w:lvlJc w:val="left"/>
      <w:pPr>
        <w:ind w:left="4420" w:hanging="320"/>
      </w:pPr>
      <w:rPr>
        <w:rFonts w:hint="default"/>
      </w:rPr>
    </w:lvl>
    <w:lvl w:ilvl="6">
      <w:start w:val="0"/>
      <w:numFmt w:val="bullet"/>
      <w:lvlText w:val="•"/>
      <w:lvlJc w:val="left"/>
      <w:pPr>
        <w:ind w:left="5400" w:hanging="320"/>
      </w:pPr>
      <w:rPr>
        <w:rFonts w:hint="default"/>
      </w:rPr>
    </w:lvl>
    <w:lvl w:ilvl="7">
      <w:start w:val="0"/>
      <w:numFmt w:val="bullet"/>
      <w:lvlText w:val="•"/>
      <w:lvlJc w:val="left"/>
      <w:pPr>
        <w:ind w:left="6380" w:hanging="320"/>
      </w:pPr>
      <w:rPr>
        <w:rFonts w:hint="default"/>
      </w:rPr>
    </w:lvl>
    <w:lvl w:ilvl="8">
      <w:start w:val="0"/>
      <w:numFmt w:val="bullet"/>
      <w:lvlText w:val="•"/>
      <w:lvlJc w:val="left"/>
      <w:pPr>
        <w:ind w:left="7360" w:hanging="320"/>
      </w:pPr>
      <w:rPr>
        <w:rFonts w:hint="default"/>
      </w:rPr>
    </w:lvl>
  </w:abstractNum>
  <w:abstractNum w:abstractNumId="7">
    <w:multiLevelType w:val="hybridMultilevel"/>
    <w:lvl w:ilvl="0">
      <w:start w:val="2"/>
      <w:numFmt w:val="lowerRoman"/>
      <w:lvlText w:val="(%1)"/>
      <w:lvlJc w:val="left"/>
      <w:pPr>
        <w:ind w:left="900" w:hanging="296"/>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742" w:hanging="296"/>
      </w:pPr>
      <w:rPr>
        <w:rFonts w:hint="default"/>
      </w:rPr>
    </w:lvl>
    <w:lvl w:ilvl="2">
      <w:start w:val="0"/>
      <w:numFmt w:val="bullet"/>
      <w:lvlText w:val="•"/>
      <w:lvlJc w:val="left"/>
      <w:pPr>
        <w:ind w:left="2584" w:hanging="296"/>
      </w:pPr>
      <w:rPr>
        <w:rFonts w:hint="default"/>
      </w:rPr>
    </w:lvl>
    <w:lvl w:ilvl="3">
      <w:start w:val="0"/>
      <w:numFmt w:val="bullet"/>
      <w:lvlText w:val="•"/>
      <w:lvlJc w:val="left"/>
      <w:pPr>
        <w:ind w:left="3426" w:hanging="296"/>
      </w:pPr>
      <w:rPr>
        <w:rFonts w:hint="default"/>
      </w:rPr>
    </w:lvl>
    <w:lvl w:ilvl="4">
      <w:start w:val="0"/>
      <w:numFmt w:val="bullet"/>
      <w:lvlText w:val="•"/>
      <w:lvlJc w:val="left"/>
      <w:pPr>
        <w:ind w:left="4268" w:hanging="296"/>
      </w:pPr>
      <w:rPr>
        <w:rFonts w:hint="default"/>
      </w:rPr>
    </w:lvl>
    <w:lvl w:ilvl="5">
      <w:start w:val="0"/>
      <w:numFmt w:val="bullet"/>
      <w:lvlText w:val="•"/>
      <w:lvlJc w:val="left"/>
      <w:pPr>
        <w:ind w:left="5110" w:hanging="296"/>
      </w:pPr>
      <w:rPr>
        <w:rFonts w:hint="default"/>
      </w:rPr>
    </w:lvl>
    <w:lvl w:ilvl="6">
      <w:start w:val="0"/>
      <w:numFmt w:val="bullet"/>
      <w:lvlText w:val="•"/>
      <w:lvlJc w:val="left"/>
      <w:pPr>
        <w:ind w:left="5952" w:hanging="296"/>
      </w:pPr>
      <w:rPr>
        <w:rFonts w:hint="default"/>
      </w:rPr>
    </w:lvl>
    <w:lvl w:ilvl="7">
      <w:start w:val="0"/>
      <w:numFmt w:val="bullet"/>
      <w:lvlText w:val="•"/>
      <w:lvlJc w:val="left"/>
      <w:pPr>
        <w:ind w:left="6794" w:hanging="296"/>
      </w:pPr>
      <w:rPr>
        <w:rFonts w:hint="default"/>
      </w:rPr>
    </w:lvl>
    <w:lvl w:ilvl="8">
      <w:start w:val="0"/>
      <w:numFmt w:val="bullet"/>
      <w:lvlText w:val="•"/>
      <w:lvlJc w:val="left"/>
      <w:pPr>
        <w:ind w:left="7636" w:hanging="296"/>
      </w:pPr>
      <w:rPr>
        <w:rFonts w:hint="default"/>
      </w:rPr>
    </w:lvl>
  </w:abstractNum>
  <w:abstractNum w:abstractNumId="6">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300"/>
      </w:pPr>
      <w:rPr>
        <w:rFonts w:hint="default"/>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5">
    <w:multiLevelType w:val="hybridMultilevel"/>
    <w:lvl w:ilvl="0">
      <w:start w:val="1"/>
      <w:numFmt w:val="decimal"/>
      <w:lvlText w:val="(%1)"/>
      <w:lvlJc w:val="left"/>
      <w:pPr>
        <w:ind w:left="480" w:hanging="320"/>
        <w:jc w:val="left"/>
      </w:pPr>
      <w:rPr>
        <w:rFonts w:hint="default" w:ascii="Times New Roman" w:hAnsi="Times New Roman" w:eastAsia="Times New Roman" w:cs="Times New Roman"/>
        <w:color w:val="231F20"/>
        <w:spacing w:val="-2"/>
        <w:w w:val="99"/>
        <w:sz w:val="16"/>
        <w:szCs w:val="16"/>
      </w:rPr>
    </w:lvl>
    <w:lvl w:ilvl="1">
      <w:start w:val="1"/>
      <w:numFmt w:val="lowerLetter"/>
      <w:lvlText w:val="(%2)"/>
      <w:lvlJc w:val="left"/>
      <w:pPr>
        <w:ind w:left="480" w:hanging="320"/>
        <w:jc w:val="left"/>
      </w:pPr>
      <w:rPr>
        <w:rFonts w:hint="default" w:ascii="Times New Roman" w:hAnsi="Times New Roman" w:eastAsia="Times New Roman" w:cs="Times New Roman"/>
        <w:color w:val="231F20"/>
        <w:w w:val="100"/>
        <w:sz w:val="16"/>
        <w:szCs w:val="16"/>
      </w:rPr>
    </w:lvl>
    <w:lvl w:ilvl="2">
      <w:start w:val="0"/>
      <w:numFmt w:val="bullet"/>
      <w:lvlText w:val="•"/>
      <w:lvlJc w:val="left"/>
      <w:pPr>
        <w:ind w:left="2260" w:hanging="320"/>
      </w:pPr>
      <w:rPr>
        <w:rFonts w:hint="default"/>
      </w:rPr>
    </w:lvl>
    <w:lvl w:ilvl="3">
      <w:start w:val="0"/>
      <w:numFmt w:val="bullet"/>
      <w:lvlText w:val="•"/>
      <w:lvlJc w:val="left"/>
      <w:pPr>
        <w:ind w:left="3150" w:hanging="320"/>
      </w:pPr>
      <w:rPr>
        <w:rFonts w:hint="default"/>
      </w:rPr>
    </w:lvl>
    <w:lvl w:ilvl="4">
      <w:start w:val="0"/>
      <w:numFmt w:val="bullet"/>
      <w:lvlText w:val="•"/>
      <w:lvlJc w:val="left"/>
      <w:pPr>
        <w:ind w:left="4040" w:hanging="320"/>
      </w:pPr>
      <w:rPr>
        <w:rFonts w:hint="default"/>
      </w:rPr>
    </w:lvl>
    <w:lvl w:ilvl="5">
      <w:start w:val="0"/>
      <w:numFmt w:val="bullet"/>
      <w:lvlText w:val="•"/>
      <w:lvlJc w:val="left"/>
      <w:pPr>
        <w:ind w:left="4930" w:hanging="320"/>
      </w:pPr>
      <w:rPr>
        <w:rFonts w:hint="default"/>
      </w:rPr>
    </w:lvl>
    <w:lvl w:ilvl="6">
      <w:start w:val="0"/>
      <w:numFmt w:val="bullet"/>
      <w:lvlText w:val="•"/>
      <w:lvlJc w:val="left"/>
      <w:pPr>
        <w:ind w:left="5820" w:hanging="320"/>
      </w:pPr>
      <w:rPr>
        <w:rFonts w:hint="default"/>
      </w:rPr>
    </w:lvl>
    <w:lvl w:ilvl="7">
      <w:start w:val="0"/>
      <w:numFmt w:val="bullet"/>
      <w:lvlText w:val="•"/>
      <w:lvlJc w:val="left"/>
      <w:pPr>
        <w:ind w:left="6710" w:hanging="320"/>
      </w:pPr>
      <w:rPr>
        <w:rFonts w:hint="default"/>
      </w:rPr>
    </w:lvl>
    <w:lvl w:ilvl="8">
      <w:start w:val="0"/>
      <w:numFmt w:val="bullet"/>
      <w:lvlText w:val="•"/>
      <w:lvlJc w:val="left"/>
      <w:pPr>
        <w:ind w:left="7600" w:hanging="320"/>
      </w:pPr>
      <w:rPr>
        <w:rFonts w:hint="default"/>
      </w:rPr>
    </w:lvl>
  </w:abstractNum>
  <w:abstractNum w:abstractNumId="4">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3">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2">
    <w:multiLevelType w:val="hybridMultilevel"/>
    <w:lvl w:ilvl="0">
      <w:start w:val="2"/>
      <w:numFmt w:val="lowerRoman"/>
      <w:lvlText w:val="(%1)"/>
      <w:lvlJc w:val="left"/>
      <w:pPr>
        <w:ind w:left="100" w:hanging="296"/>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1">
    <w:multiLevelType w:val="hybridMultilevel"/>
    <w:lvl w:ilvl="0">
      <w:start w:val="1"/>
      <w:numFmt w:val="lowerRoman"/>
      <w:lvlText w:val="(%1)"/>
      <w:lvlJc w:val="left"/>
      <w:pPr>
        <w:ind w:left="12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num w:numId="1">
    <w:abstractNumId w:val="0"/>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50"/>
      <w:ind w:left="100"/>
    </w:pPr>
    <w:rPr>
      <w:rFonts w:ascii="Times New Roman" w:hAnsi="Times New Roman" w:eastAsia="Times New Roman" w:cs="Times New Roman"/>
      <w:sz w:val="20"/>
      <w:szCs w:val="20"/>
    </w:rPr>
  </w:style>
  <w:style w:styleId="TOC2" w:type="paragraph">
    <w:name w:val="TOC 2"/>
    <w:basedOn w:val="Normal"/>
    <w:uiPriority w:val="1"/>
    <w:qFormat/>
    <w:pPr>
      <w:spacing w:before="130"/>
      <w:ind w:left="440" w:right="50"/>
      <w:jc w:val="center"/>
    </w:pPr>
    <w:rPr>
      <w:rFonts w:ascii="Times New Roman" w:hAnsi="Times New Roman" w:eastAsia="Times New Roman" w:cs="Times New Roman"/>
      <w:b/>
      <w:bCs/>
      <w:sz w:val="20"/>
      <w:szCs w:val="20"/>
    </w:rPr>
  </w:style>
  <w:style w:styleId="TOC3" w:type="paragraph">
    <w:name w:val="TOC 3"/>
    <w:basedOn w:val="Normal"/>
    <w:uiPriority w:val="1"/>
    <w:qFormat/>
    <w:pPr>
      <w:spacing w:before="50"/>
      <w:ind w:left="1012"/>
    </w:pPr>
    <w:rPr>
      <w:rFonts w:ascii="Times New Roman" w:hAnsi="Times New Roman" w:eastAsia="Times New Roman" w:cs="Times New Roman"/>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5"/>
      <w:ind w:left="440" w:right="2539"/>
      <w:jc w:val="center"/>
      <w:outlineLvl w:val="1"/>
    </w:pPr>
    <w:rPr>
      <w:rFonts w:ascii="Arial" w:hAnsi="Arial" w:eastAsia="Arial" w:cs="Arial"/>
      <w:b/>
      <w:bCs/>
      <w:sz w:val="24"/>
      <w:szCs w:val="24"/>
    </w:rPr>
  </w:style>
  <w:style w:styleId="Heading2" w:type="paragraph">
    <w:name w:val="Heading 2"/>
    <w:basedOn w:val="Normal"/>
    <w:uiPriority w:val="1"/>
    <w:qFormat/>
    <w:pPr>
      <w:spacing w:before="7"/>
      <w:ind w:left="20"/>
      <w:outlineLvl w:val="2"/>
    </w:pPr>
    <w:rPr>
      <w:rFonts w:ascii="Times New Roman" w:hAnsi="Times New Roman" w:eastAsia="Times New Roman" w:cs="Times New Roman"/>
      <w:sz w:val="22"/>
      <w:szCs w:val="22"/>
    </w:rPr>
  </w:style>
  <w:style w:styleId="Heading3" w:type="paragraph">
    <w:name w:val="Heading 3"/>
    <w:basedOn w:val="Normal"/>
    <w:uiPriority w:val="1"/>
    <w:qFormat/>
    <w:pPr>
      <w:ind w:left="100"/>
      <w:outlineLvl w:val="3"/>
    </w:pPr>
    <w:rPr>
      <w:rFonts w:ascii="Times New Roman" w:hAnsi="Times New Roman" w:eastAsia="Times New Roman" w:cs="Times New Roman"/>
      <w:b/>
      <w:bCs/>
      <w:sz w:val="20"/>
      <w:szCs w:val="20"/>
    </w:rPr>
  </w:style>
  <w:style w:styleId="Heading4" w:type="paragraph">
    <w:name w:val="Heading 4"/>
    <w:basedOn w:val="Normal"/>
    <w:uiPriority w:val="1"/>
    <w:qFormat/>
    <w:pPr>
      <w:ind w:left="350"/>
      <w:outlineLvl w:val="4"/>
    </w:pPr>
    <w:rPr>
      <w:rFonts w:ascii="Times New Roman" w:hAnsi="Times New Roman" w:eastAsia="Times New Roman" w:cs="Times New Roman"/>
      <w:b/>
      <w:bCs/>
      <w:i/>
      <w:sz w:val="20"/>
      <w:szCs w:val="20"/>
    </w:rPr>
  </w:style>
  <w:style w:styleId="ListParagraph" w:type="paragraph">
    <w:name w:val="List Paragraph"/>
    <w:basedOn w:val="Normal"/>
    <w:uiPriority w:val="1"/>
    <w:qFormat/>
    <w:pPr>
      <w:ind w:left="1078" w:hanging="366"/>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png"/><Relationship Id="rId26" Type="http://schemas.openxmlformats.org/officeDocument/2006/relationships/footer" Target="footer12.xml"/><Relationship Id="rId39" Type="http://schemas.openxmlformats.org/officeDocument/2006/relationships/footer" Target="footer25.xml"/><Relationship Id="rId21" Type="http://schemas.openxmlformats.org/officeDocument/2006/relationships/image" Target="media/image7.png"/><Relationship Id="rId34" Type="http://schemas.openxmlformats.org/officeDocument/2006/relationships/footer" Target="footer20.xml"/><Relationship Id="rId42" Type="http://schemas.openxmlformats.org/officeDocument/2006/relationships/footer" Target="footer28.xml"/><Relationship Id="rId47" Type="http://schemas.openxmlformats.org/officeDocument/2006/relationships/hyperlink" Target="http://southwest.com/citizenship" TargetMode="External"/><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footer" Target="footer1.xml"/><Relationship Id="rId2" Type="http://schemas.openxmlformats.org/officeDocument/2006/relationships/fontTable" Target="fontTable.xml"/><Relationship Id="rId16" Type="http://schemas.openxmlformats.org/officeDocument/2006/relationships/footer" Target="footer9.xml"/><Relationship Id="rId29" Type="http://schemas.openxmlformats.org/officeDocument/2006/relationships/footer" Target="footer15.xml"/><Relationship Id="rId11" Type="http://schemas.openxmlformats.org/officeDocument/2006/relationships/footer" Target="footer5.xml"/><Relationship Id="rId24" Type="http://schemas.openxmlformats.org/officeDocument/2006/relationships/footer" Target="footer10.xml"/><Relationship Id="rId32" Type="http://schemas.openxmlformats.org/officeDocument/2006/relationships/footer" Target="footer18.xml"/><Relationship Id="rId37" Type="http://schemas.openxmlformats.org/officeDocument/2006/relationships/footer" Target="footer23.xml"/><Relationship Id="rId40" Type="http://schemas.openxmlformats.org/officeDocument/2006/relationships/footer" Target="footer26.xml"/><Relationship Id="rId45" Type="http://schemas.openxmlformats.org/officeDocument/2006/relationships/footer" Target="footer31.xml"/><Relationship Id="rId53" Type="http://schemas.openxmlformats.org/officeDocument/2006/relationships/image" Target="media/image14.png"/><Relationship Id="rId58" Type="http://schemas.openxmlformats.org/officeDocument/2006/relationships/numbering" Target="numbering.xml"/><Relationship Id="rId5" Type="http://schemas.openxmlformats.org/officeDocument/2006/relationships/image" Target="media/image1.png"/><Relationship Id="rId61" Type="http://schemas.openxmlformats.org/officeDocument/2006/relationships/customXml" Target="../customXml/item3.xml"/><Relationship Id="rId19" Type="http://schemas.openxmlformats.org/officeDocument/2006/relationships/image" Target="media/image5.png"/><Relationship Id="rId14" Type="http://schemas.openxmlformats.org/officeDocument/2006/relationships/footer" Target="footer7.xml"/><Relationship Id="rId22" Type="http://schemas.openxmlformats.org/officeDocument/2006/relationships/image" Target="media/image8.png"/><Relationship Id="rId27" Type="http://schemas.openxmlformats.org/officeDocument/2006/relationships/footer" Target="footer13.xml"/><Relationship Id="rId30" Type="http://schemas.openxmlformats.org/officeDocument/2006/relationships/footer" Target="footer16.xml"/><Relationship Id="rId35" Type="http://schemas.openxmlformats.org/officeDocument/2006/relationships/footer" Target="footer21.xml"/><Relationship Id="rId43" Type="http://schemas.openxmlformats.org/officeDocument/2006/relationships/footer" Target="footer29.xml"/><Relationship Id="rId48" Type="http://schemas.openxmlformats.org/officeDocument/2006/relationships/hyperlink" Target="http://southwest.investorroom.com/" TargetMode="External"/><Relationship Id="rId56" Type="http://schemas.openxmlformats.org/officeDocument/2006/relationships/image" Target="media/image17.png"/><Relationship Id="rId8" Type="http://schemas.openxmlformats.org/officeDocument/2006/relationships/footer" Target="footer2.xml"/><Relationship Id="rId51" Type="http://schemas.openxmlformats.org/officeDocument/2006/relationships/image" Target="media/image12.png"/><Relationship Id="rId3" Type="http://schemas.openxmlformats.org/officeDocument/2006/relationships/theme" Target="theme/theme1.xml"/><Relationship Id="rId12" Type="http://schemas.openxmlformats.org/officeDocument/2006/relationships/hyperlink" Target="http://www.southwest.com/" TargetMode="External"/><Relationship Id="rId17" Type="http://schemas.openxmlformats.org/officeDocument/2006/relationships/image" Target="media/image3.png"/><Relationship Id="rId25" Type="http://schemas.openxmlformats.org/officeDocument/2006/relationships/footer" Target="footer11.xml"/><Relationship Id="rId33" Type="http://schemas.openxmlformats.org/officeDocument/2006/relationships/footer" Target="footer19.xml"/><Relationship Id="rId38" Type="http://schemas.openxmlformats.org/officeDocument/2006/relationships/footer" Target="footer24.xml"/><Relationship Id="rId46" Type="http://schemas.openxmlformats.org/officeDocument/2006/relationships/hyperlink" Target="http://www.shareowneronline.com/" TargetMode="External"/><Relationship Id="rId59" Type="http://schemas.openxmlformats.org/officeDocument/2006/relationships/customXml" Target="../customXml/item1.xml"/><Relationship Id="rId20" Type="http://schemas.openxmlformats.org/officeDocument/2006/relationships/image" Target="media/image6.png"/><Relationship Id="rId41" Type="http://schemas.openxmlformats.org/officeDocument/2006/relationships/footer" Target="footer27.xml"/><Relationship Id="rId54"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footer" Target="footer8.xml"/><Relationship Id="rId23" Type="http://schemas.openxmlformats.org/officeDocument/2006/relationships/image" Target="media/image9.png"/><Relationship Id="rId28" Type="http://schemas.openxmlformats.org/officeDocument/2006/relationships/footer" Target="footer14.xml"/><Relationship Id="rId36" Type="http://schemas.openxmlformats.org/officeDocument/2006/relationships/footer" Target="footer22.xm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footer" Target="footer4.xml"/><Relationship Id="rId31" Type="http://schemas.openxmlformats.org/officeDocument/2006/relationships/footer" Target="footer17.xml"/><Relationship Id="rId44" Type="http://schemas.openxmlformats.org/officeDocument/2006/relationships/footer" Target="footer30.xml"/><Relationship Id="rId52" Type="http://schemas.openxmlformats.org/officeDocument/2006/relationships/image" Target="media/image13.png"/><Relationship Id="rId6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A47382-B249-4974-ABEC-8A7BA414B5C8}"/>
</file>

<file path=customXml/itemProps2.xml><?xml version="1.0" encoding="utf-8"?>
<ds:datastoreItem xmlns:ds="http://schemas.openxmlformats.org/officeDocument/2006/customXml" ds:itemID="{3D523EC1-F445-48FC-BF45-9B9BFD7A5BE2}"/>
</file>

<file path=customXml/itemProps3.xml><?xml version="1.0" encoding="utf-8"?>
<ds:datastoreItem xmlns:ds="http://schemas.openxmlformats.org/officeDocument/2006/customXml" ds:itemID="{65611F24-E01A-4EBB-8851-BD94C4BA937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668069_002_.p</dc:title>
  <dcterms:created xsi:type="dcterms:W3CDTF">2018-01-03T22:50:40Z</dcterms:created>
  <dcterms:modified xsi:type="dcterms:W3CDTF">2018-01-03T22:50:40Z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2014-03-28T00:00:00Z</vt:filetime>
  </property>
  <property fmtid="{D5CDD505-2E9C-101B-9397-08002B2CF9AE}" pid="3" name="Creator">
    <vt:lpwstr>PDFL 7.0</vt:lpwstr>
  </property>
  <property fmtid="{D5CDD505-2E9C-101B-9397-08002B2CF9AE}" pid="4" name="LastSaved">
    <vt:filetime>2018-01-04T00:00:00Z</vt:filetime>
  </property>
  <property fmtid="{D5CDD505-2E9C-101B-9397-08002B2CF9AE}" pid="5" name="ContentTypeId">
    <vt:lpwstr>0x010100F1A24584C23FDF4BB8656E52E9AA5D01</vt:lpwstr>
  </property>
</Properties>
</file>