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70958"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70958" cy="295465"/>
                    </a:xfrm>
                    <a:prstGeom prst="rect">
                      <a:avLst/>
                    </a:prstGeom>
                  </pic:spPr>
                </pic:pic>
              </a:graphicData>
            </a:graphic>
          </wp:inline>
        </w:drawing>
      </w:r>
      <w:r>
        <w:rPr>
          <w:sz w:val="20"/>
        </w:rPr>
      </w:r>
    </w:p>
    <w:p>
      <w:pPr>
        <w:pStyle w:val="BodyText"/>
        <w:spacing w:before="7"/>
        <w:rPr>
          <w:sz w:val="12"/>
        </w:rPr>
      </w:pPr>
    </w:p>
    <w:p>
      <w:pPr>
        <w:spacing w:line="258" w:lineRule="exact" w:before="101"/>
        <w:ind w:left="94" w:right="95" w:firstLine="0"/>
        <w:jc w:val="center"/>
        <w:rPr>
          <w:rFonts w:ascii="Arial"/>
          <w:b/>
          <w:sz w:val="24"/>
        </w:rPr>
      </w:pPr>
      <w:r>
        <w:rPr>
          <w:rFonts w:ascii="Arial"/>
          <w:b/>
          <w:color w:val="231F20"/>
          <w:sz w:val="24"/>
        </w:rPr>
        <w:t>SOUTHWEST AIRLINES CO.</w:t>
      </w:r>
    </w:p>
    <w:p>
      <w:pPr>
        <w:spacing w:line="258" w:lineRule="exact" w:before="0"/>
        <w:ind w:left="96" w:right="95" w:firstLine="0"/>
        <w:jc w:val="center"/>
        <w:rPr>
          <w:rFonts w:ascii="Arial"/>
          <w:b/>
          <w:sz w:val="24"/>
        </w:rPr>
      </w:pPr>
      <w:r>
        <w:rPr>
          <w:rFonts w:ascii="Arial"/>
          <w:b/>
          <w:color w:val="231F20"/>
          <w:sz w:val="24"/>
        </w:rPr>
        <w:t>2015 ANNUAL REPORT TO SHAREHOLDERS</w:t>
      </w:r>
    </w:p>
    <w:p>
      <w:pPr>
        <w:spacing w:before="240"/>
        <w:ind w:left="120" w:right="0" w:firstLine="0"/>
        <w:jc w:val="left"/>
        <w:rPr>
          <w:rFonts w:ascii="Arial"/>
          <w:sz w:val="23"/>
        </w:rPr>
      </w:pPr>
      <w:r>
        <w:rPr>
          <w:rFonts w:ascii="Arial"/>
          <w:color w:val="231F20"/>
          <w:sz w:val="23"/>
        </w:rPr>
        <w:t>To our Shareholders:</w:t>
      </w:r>
    </w:p>
    <w:p>
      <w:pPr>
        <w:pStyle w:val="BodyText"/>
        <w:rPr>
          <w:rFonts w:ascii="Arial"/>
          <w:sz w:val="21"/>
        </w:rPr>
      </w:pPr>
    </w:p>
    <w:p>
      <w:pPr>
        <w:spacing w:line="244" w:lineRule="auto" w:before="0"/>
        <w:ind w:left="119" w:right="163" w:firstLine="720"/>
        <w:jc w:val="left"/>
        <w:rPr>
          <w:rFonts w:ascii="Arial" w:hAnsi="Arial"/>
          <w:sz w:val="23"/>
        </w:rPr>
      </w:pPr>
      <w:r>
        <w:rPr>
          <w:rFonts w:ascii="Arial" w:hAnsi="Arial"/>
          <w:color w:val="231F20"/>
          <w:sz w:val="23"/>
        </w:rPr>
        <w:t>The year 2015 was a gratifying, successful, and record-setting year. After five years of intense work on five strategic initiatives, 2015 was the first full year to demonstrate results – and the results were superb. Record traffic, record revenues, record profits, and a record year-end stock price (LUV). Southwest</w:t>
      </w:r>
      <w:r>
        <w:rPr>
          <w:rFonts w:ascii="Arial" w:hAnsi="Arial"/>
          <w:color w:val="231F20"/>
          <w:position w:val="6"/>
          <w:sz w:val="17"/>
        </w:rPr>
        <w:t>® </w:t>
      </w:r>
      <w:r>
        <w:rPr>
          <w:rFonts w:ascii="Arial" w:hAnsi="Arial"/>
          <w:color w:val="231F20"/>
          <w:sz w:val="23"/>
        </w:rPr>
        <w:t>boosted its available seat miles (capacity) 43 percent since 2010, driven by the acquisition of AirTran in 2011. And, Southwest achieved an all-time high pre-tax return on invested capital, excluding special items</w:t>
      </w:r>
      <w:r>
        <w:rPr>
          <w:rFonts w:ascii="Arial" w:hAnsi="Arial"/>
          <w:color w:val="231F20"/>
          <w:position w:val="6"/>
          <w:sz w:val="15"/>
        </w:rPr>
        <w:t>1 </w:t>
      </w:r>
      <w:r>
        <w:rPr>
          <w:rFonts w:ascii="Arial" w:hAnsi="Arial"/>
          <w:color w:val="231F20"/>
          <w:sz w:val="23"/>
        </w:rPr>
        <w:t>(ROIC), of 32.7 percent. All combined, since 2010, Shareholder value has increased more than 3 fold; dividends per share have increased more than 16 fold; and</w:t>
      </w:r>
    </w:p>
    <w:p>
      <w:pPr>
        <w:spacing w:line="244" w:lineRule="auto" w:before="0"/>
        <w:ind w:left="119" w:right="297" w:firstLine="0"/>
        <w:jc w:val="left"/>
        <w:rPr>
          <w:rFonts w:ascii="Arial"/>
          <w:sz w:val="23"/>
        </w:rPr>
      </w:pPr>
      <w:r>
        <w:rPr>
          <w:rFonts w:ascii="Arial"/>
          <w:color w:val="231F20"/>
          <w:sz w:val="23"/>
        </w:rPr>
        <w:t>$4.3 billion has been returned to Shareholders in dividends and share repurchases. Southwest has transformed, as the results so clearly demonstrate. Our results were further enhanced by dramatically lower jet fuel costs, driven by a collapse in oil prices. It was our 43</w:t>
      </w:r>
      <w:r>
        <w:rPr>
          <w:rFonts w:ascii="Arial"/>
          <w:color w:val="231F20"/>
          <w:position w:val="6"/>
          <w:sz w:val="15"/>
        </w:rPr>
        <w:t>rd </w:t>
      </w:r>
      <w:r>
        <w:rPr>
          <w:rFonts w:ascii="Arial"/>
          <w:color w:val="231F20"/>
          <w:sz w:val="23"/>
        </w:rPr>
        <w:t>consecutive year of profitability, an unprecedented achievement in the domestic airline industry.</w:t>
      </w:r>
    </w:p>
    <w:p>
      <w:pPr>
        <w:pStyle w:val="BodyText"/>
        <w:spacing w:before="7"/>
        <w:rPr>
          <w:rFonts w:ascii="Arial"/>
          <w:sz w:val="20"/>
        </w:rPr>
      </w:pPr>
    </w:p>
    <w:p>
      <w:pPr>
        <w:spacing w:line="244" w:lineRule="auto" w:before="0"/>
        <w:ind w:left="119" w:right="220" w:firstLine="720"/>
        <w:jc w:val="left"/>
        <w:rPr>
          <w:rFonts w:ascii="Arial"/>
          <w:sz w:val="23"/>
        </w:rPr>
      </w:pPr>
      <w:r>
        <w:rPr>
          <w:rFonts w:ascii="Arial"/>
          <w:color w:val="231F20"/>
          <w:sz w:val="23"/>
        </w:rPr>
        <w:t>Our 2015 net income was a record $2.2 billion, or $3.27 per diluted share, easily surpassing the previous record, set a year ago. Excluding special items, our record 2015 earnings were $2.4 billion, or $3.52 per diluted share, which was 75.1 percent higher compared with 2014.</w:t>
      </w:r>
    </w:p>
    <w:p>
      <w:pPr>
        <w:pStyle w:val="BodyText"/>
        <w:spacing w:before="6"/>
        <w:rPr>
          <w:rFonts w:ascii="Arial"/>
          <w:sz w:val="20"/>
        </w:rPr>
      </w:pPr>
    </w:p>
    <w:p>
      <w:pPr>
        <w:spacing w:line="244" w:lineRule="auto" w:before="0"/>
        <w:ind w:left="119" w:right="163" w:firstLine="720"/>
        <w:jc w:val="left"/>
        <w:rPr>
          <w:rFonts w:ascii="Arial"/>
          <w:sz w:val="23"/>
        </w:rPr>
      </w:pPr>
      <w:r>
        <w:rPr>
          <w:rFonts w:ascii="Arial"/>
          <w:color w:val="231F20"/>
          <w:sz w:val="23"/>
        </w:rPr>
        <w:t>Total operating revenues were up 6.5 percent to $19.8 billion, on a healthy capacity increase of 7.2 percent, compared with 2014. Given the continuing sluggishness of the overall domestic economy, our 2015 capacity increase appears aggressive, at first blush; however, Southwest capitalized on several secular opportunities that converged in 2014/2015. First, the long-awaited October 2014 repeal of the domestic restrictions at Dallas Love Field allowed us to increase the flight activity at Love by 50 percent resulting in over half of our year-over-year capacity growth in 2015. Our Dallas market presence, coupled with the pent up demand for low fares, drove a nearly 150 percent increase in our traffic (as measured by revenue passenger miles), and an extraordinary, all-around success with our Dallas Love Field expansion.</w:t>
      </w:r>
    </w:p>
    <w:p>
      <w:pPr>
        <w:pStyle w:val="BodyText"/>
        <w:spacing w:before="6"/>
        <w:rPr>
          <w:rFonts w:ascii="Arial"/>
          <w:sz w:val="20"/>
        </w:rPr>
      </w:pPr>
    </w:p>
    <w:p>
      <w:pPr>
        <w:spacing w:line="244" w:lineRule="auto" w:before="0"/>
        <w:ind w:left="119" w:right="374" w:firstLine="720"/>
        <w:jc w:val="left"/>
        <w:rPr>
          <w:rFonts w:ascii="Arial" w:hAnsi="Arial"/>
          <w:sz w:val="23"/>
        </w:rPr>
      </w:pPr>
      <w:r>
        <w:rPr>
          <w:rFonts w:ascii="Arial" w:hAnsi="Arial"/>
          <w:color w:val="231F20"/>
          <w:sz w:val="23"/>
        </w:rPr>
        <w:t>Next, we were able to acquire scarce slots and gates at Washington Reagan National and New York LaGuardia Airports, adding 28 and 6 daily flights, respectively. While we don’t have the presence in these two airports we have in the DFW Metroplex, we are very pleased with the performance of these new flights.</w:t>
      </w:r>
    </w:p>
    <w:p>
      <w:pPr>
        <w:pStyle w:val="BodyText"/>
        <w:spacing w:before="6"/>
        <w:rPr>
          <w:rFonts w:ascii="Arial"/>
          <w:sz w:val="20"/>
        </w:rPr>
      </w:pPr>
    </w:p>
    <w:p>
      <w:pPr>
        <w:spacing w:line="244" w:lineRule="auto" w:before="0"/>
        <w:ind w:left="119" w:right="126" w:firstLine="720"/>
        <w:jc w:val="left"/>
        <w:rPr>
          <w:rFonts w:ascii="Arial"/>
          <w:sz w:val="23"/>
        </w:rPr>
      </w:pPr>
      <w:r>
        <w:rPr>
          <w:rFonts w:ascii="Arial"/>
          <w:color w:val="231F20"/>
          <w:sz w:val="23"/>
        </w:rPr>
        <w:t>Following the integration of AirTran into Southwest in 2014, including the launch of Southwest international service in July 2014, we opened four new international destinations in 2015: San Jose, Costa Rica; Puerto Vallarta, Mexico; Belize City, Belize; and Liberia, Costa Rica. These destinations were timed in 2015 to support the opening of</w:t>
      </w:r>
    </w:p>
    <w:p>
      <w:pPr>
        <w:spacing w:line="254" w:lineRule="auto" w:before="197"/>
        <w:ind w:left="120" w:right="163" w:firstLine="0"/>
        <w:jc w:val="left"/>
        <w:rPr>
          <w:sz w:val="18"/>
        </w:rPr>
      </w:pPr>
      <w:r>
        <w:rPr>
          <w:color w:val="231F20"/>
          <w:position w:val="4"/>
          <w:sz w:val="11"/>
        </w:rPr>
        <w:t>1 </w:t>
      </w:r>
      <w:r>
        <w:rPr>
          <w:color w:val="231F20"/>
          <w:sz w:val="18"/>
        </w:rPr>
        <w:t>Additional information regarding non-GAAP financial measures is included in the accompanying Form 10-K for the fiscal year ended December 31, 2015.</w:t>
      </w:r>
    </w:p>
    <w:p>
      <w:pPr>
        <w:spacing w:after="0" w:line="254" w:lineRule="auto"/>
        <w:jc w:val="left"/>
        <w:rPr>
          <w:sz w:val="18"/>
        </w:rPr>
        <w:sectPr>
          <w:type w:val="continuous"/>
          <w:pgSz w:w="11880" w:h="15480"/>
          <w:pgMar w:top="1260" w:bottom="280" w:left="1260" w:right="1260"/>
        </w:sectPr>
      </w:pPr>
    </w:p>
    <w:p>
      <w:pPr>
        <w:spacing w:line="244" w:lineRule="auto" w:before="74"/>
        <w:ind w:left="120" w:right="261" w:firstLine="0"/>
        <w:jc w:val="both"/>
        <w:rPr>
          <w:rFonts w:ascii="Arial" w:hAnsi="Arial"/>
          <w:sz w:val="23"/>
        </w:rPr>
      </w:pPr>
      <w:r>
        <w:rPr>
          <w:rFonts w:ascii="Arial" w:hAnsi="Arial"/>
          <w:color w:val="231F20"/>
          <w:sz w:val="23"/>
        </w:rPr>
        <w:t>a brand new five-gate international terminal and customs facility at Houston’s William P. Hobby Airport in October 2015. That marked the first international scheduled service out of Hobby Airport since 1969.</w:t>
      </w:r>
    </w:p>
    <w:p>
      <w:pPr>
        <w:pStyle w:val="BodyText"/>
        <w:spacing w:before="10"/>
        <w:rPr>
          <w:rFonts w:ascii="Arial"/>
          <w:sz w:val="25"/>
        </w:rPr>
      </w:pPr>
    </w:p>
    <w:p>
      <w:pPr>
        <w:spacing w:line="244" w:lineRule="auto" w:before="0"/>
        <w:ind w:left="120" w:right="131" w:firstLine="720"/>
        <w:jc w:val="left"/>
        <w:rPr>
          <w:rFonts w:ascii="Arial"/>
          <w:sz w:val="23"/>
        </w:rPr>
      </w:pPr>
      <w:r>
        <w:rPr>
          <w:rFonts w:ascii="Arial"/>
          <w:color w:val="231F20"/>
          <w:sz w:val="23"/>
        </w:rPr>
        <w:t>Finally, the last AirTran branded flights operated on December 28, 2014. So, 2015 represented the first year Southwest operated all of the former AirTran flights in the Southwest livery and brand.</w:t>
      </w:r>
    </w:p>
    <w:p>
      <w:pPr>
        <w:pStyle w:val="BodyText"/>
        <w:spacing w:before="10"/>
        <w:rPr>
          <w:rFonts w:ascii="Arial"/>
          <w:sz w:val="25"/>
        </w:rPr>
      </w:pPr>
    </w:p>
    <w:p>
      <w:pPr>
        <w:spacing w:line="244" w:lineRule="auto" w:before="0"/>
        <w:ind w:left="120" w:right="147" w:firstLine="720"/>
        <w:jc w:val="left"/>
        <w:rPr>
          <w:rFonts w:ascii="Arial"/>
          <w:sz w:val="23"/>
        </w:rPr>
      </w:pPr>
      <w:r>
        <w:rPr>
          <w:rFonts w:ascii="Arial"/>
          <w:color w:val="231F20"/>
          <w:sz w:val="23"/>
        </w:rPr>
        <w:t>Taken all together, it was an exceptionally ambitious and successful year of network growth and development. Despite the stout increase in capacity, we were able to drive even stronger traffic growth, with load factors increasing in 2015 to an annual record 83.6 percent.</w:t>
      </w:r>
    </w:p>
    <w:p>
      <w:pPr>
        <w:pStyle w:val="BodyText"/>
        <w:spacing w:before="6"/>
        <w:rPr>
          <w:rFonts w:ascii="Arial"/>
          <w:sz w:val="25"/>
        </w:rPr>
      </w:pPr>
    </w:p>
    <w:p>
      <w:pPr>
        <w:spacing w:line="244" w:lineRule="auto" w:before="1"/>
        <w:ind w:left="119" w:right="98" w:firstLine="720"/>
        <w:jc w:val="left"/>
        <w:rPr>
          <w:rFonts w:ascii="Arial" w:hAnsi="Arial"/>
          <w:sz w:val="23"/>
        </w:rPr>
      </w:pPr>
      <w:r>
        <w:rPr>
          <w:rFonts w:ascii="Arial" w:hAnsi="Arial"/>
          <w:color w:val="231F20"/>
          <w:sz w:val="23"/>
        </w:rPr>
        <w:t>In addition, our award-winning frequent flyer program, Rapid Rewards</w:t>
      </w:r>
      <w:r>
        <w:rPr>
          <w:rFonts w:ascii="Arial" w:hAnsi="Arial"/>
          <w:color w:val="231F20"/>
          <w:position w:val="6"/>
          <w:sz w:val="17"/>
        </w:rPr>
        <w:t>®</w:t>
      </w:r>
      <w:r>
        <w:rPr>
          <w:rFonts w:ascii="Arial" w:hAnsi="Arial"/>
          <w:color w:val="231F20"/>
          <w:sz w:val="23"/>
        </w:rPr>
        <w:t>, delivered another year of significant revenue growth. Most notably, in July 2015, we were delighted to</w:t>
      </w:r>
      <w:r>
        <w:rPr>
          <w:rFonts w:ascii="Arial" w:hAnsi="Arial"/>
          <w:color w:val="231F20"/>
          <w:spacing w:val="-15"/>
          <w:sz w:val="23"/>
        </w:rPr>
        <w:t> </w:t>
      </w:r>
      <w:r>
        <w:rPr>
          <w:rFonts w:ascii="Arial" w:hAnsi="Arial"/>
          <w:color w:val="231F20"/>
          <w:sz w:val="23"/>
        </w:rPr>
        <w:t>amend</w:t>
      </w:r>
      <w:r>
        <w:rPr>
          <w:rFonts w:ascii="Arial" w:hAnsi="Arial"/>
          <w:color w:val="231F20"/>
          <w:spacing w:val="-15"/>
          <w:sz w:val="23"/>
        </w:rPr>
        <w:t> </w:t>
      </w:r>
      <w:r>
        <w:rPr>
          <w:rFonts w:ascii="Arial" w:hAnsi="Arial"/>
          <w:color w:val="231F20"/>
          <w:sz w:val="23"/>
        </w:rPr>
        <w:t>and</w:t>
      </w:r>
      <w:r>
        <w:rPr>
          <w:rFonts w:ascii="Arial" w:hAnsi="Arial"/>
          <w:color w:val="231F20"/>
          <w:spacing w:val="-15"/>
          <w:sz w:val="23"/>
        </w:rPr>
        <w:t> </w:t>
      </w:r>
      <w:r>
        <w:rPr>
          <w:rFonts w:ascii="Arial" w:hAnsi="Arial"/>
          <w:color w:val="231F20"/>
          <w:sz w:val="23"/>
        </w:rPr>
        <w:t>extend</w:t>
      </w:r>
      <w:r>
        <w:rPr>
          <w:rFonts w:ascii="Arial" w:hAnsi="Arial"/>
          <w:color w:val="231F20"/>
          <w:spacing w:val="-15"/>
          <w:sz w:val="23"/>
        </w:rPr>
        <w:t> </w:t>
      </w:r>
      <w:r>
        <w:rPr>
          <w:rFonts w:ascii="Arial" w:hAnsi="Arial"/>
          <w:color w:val="231F20"/>
          <w:sz w:val="23"/>
        </w:rPr>
        <w:t>our</w:t>
      </w:r>
      <w:r>
        <w:rPr>
          <w:rFonts w:ascii="Arial" w:hAnsi="Arial"/>
          <w:color w:val="231F20"/>
          <w:spacing w:val="-15"/>
          <w:sz w:val="23"/>
        </w:rPr>
        <w:t> </w:t>
      </w:r>
      <w:r>
        <w:rPr>
          <w:rFonts w:ascii="Arial" w:hAnsi="Arial"/>
          <w:color w:val="231F20"/>
          <w:sz w:val="23"/>
        </w:rPr>
        <w:t>co-branded</w:t>
      </w:r>
      <w:r>
        <w:rPr>
          <w:rFonts w:ascii="Arial" w:hAnsi="Arial"/>
          <w:color w:val="231F20"/>
          <w:spacing w:val="-15"/>
          <w:sz w:val="23"/>
        </w:rPr>
        <w:t> </w:t>
      </w:r>
      <w:r>
        <w:rPr>
          <w:rFonts w:ascii="Arial" w:hAnsi="Arial"/>
          <w:color w:val="231F20"/>
          <w:sz w:val="23"/>
        </w:rPr>
        <w:t>credit</w:t>
      </w:r>
      <w:r>
        <w:rPr>
          <w:rFonts w:ascii="Arial" w:hAnsi="Arial"/>
          <w:color w:val="231F20"/>
          <w:spacing w:val="-15"/>
          <w:sz w:val="23"/>
        </w:rPr>
        <w:t> </w:t>
      </w:r>
      <w:r>
        <w:rPr>
          <w:rFonts w:ascii="Arial" w:hAnsi="Arial"/>
          <w:color w:val="231F20"/>
          <w:sz w:val="23"/>
        </w:rPr>
        <w:t>card</w:t>
      </w:r>
      <w:r>
        <w:rPr>
          <w:rFonts w:ascii="Arial" w:hAnsi="Arial"/>
          <w:color w:val="231F20"/>
          <w:spacing w:val="-15"/>
          <w:sz w:val="23"/>
        </w:rPr>
        <w:t> </w:t>
      </w:r>
      <w:r>
        <w:rPr>
          <w:rFonts w:ascii="Arial" w:hAnsi="Arial"/>
          <w:color w:val="231F20"/>
          <w:sz w:val="23"/>
        </w:rPr>
        <w:t>agreement</w:t>
      </w:r>
      <w:r>
        <w:rPr>
          <w:rFonts w:ascii="Arial" w:hAnsi="Arial"/>
          <w:color w:val="231F20"/>
          <w:spacing w:val="-15"/>
          <w:sz w:val="23"/>
        </w:rPr>
        <w:t> </w:t>
      </w:r>
      <w:r>
        <w:rPr>
          <w:rFonts w:ascii="Arial" w:hAnsi="Arial"/>
          <w:color w:val="231F20"/>
          <w:sz w:val="23"/>
        </w:rPr>
        <w:t>with</w:t>
      </w:r>
      <w:r>
        <w:rPr>
          <w:rFonts w:ascii="Arial" w:hAnsi="Arial"/>
          <w:color w:val="231F20"/>
          <w:spacing w:val="-15"/>
          <w:sz w:val="23"/>
        </w:rPr>
        <w:t> </w:t>
      </w:r>
      <w:r>
        <w:rPr>
          <w:rFonts w:ascii="Arial" w:hAnsi="Arial"/>
          <w:color w:val="231F20"/>
          <w:sz w:val="23"/>
        </w:rPr>
        <w:t>our</w:t>
      </w:r>
      <w:r>
        <w:rPr>
          <w:rFonts w:ascii="Arial" w:hAnsi="Arial"/>
          <w:color w:val="231F20"/>
          <w:spacing w:val="-15"/>
          <w:sz w:val="23"/>
        </w:rPr>
        <w:t> </w:t>
      </w:r>
      <w:r>
        <w:rPr>
          <w:rFonts w:ascii="Arial" w:hAnsi="Arial"/>
          <w:color w:val="231F20"/>
          <w:sz w:val="23"/>
        </w:rPr>
        <w:t>long-standing</w:t>
      </w:r>
      <w:r>
        <w:rPr>
          <w:rFonts w:ascii="Arial" w:hAnsi="Arial"/>
          <w:color w:val="231F20"/>
          <w:spacing w:val="-15"/>
          <w:sz w:val="23"/>
        </w:rPr>
        <w:t> </w:t>
      </w:r>
      <w:r>
        <w:rPr>
          <w:rFonts w:ascii="Arial" w:hAnsi="Arial"/>
          <w:color w:val="231F20"/>
          <w:sz w:val="23"/>
        </w:rPr>
        <w:t>Partner, Chase</w:t>
      </w:r>
      <w:r>
        <w:rPr>
          <w:rFonts w:ascii="Arial" w:hAnsi="Arial"/>
          <w:color w:val="231F20"/>
          <w:spacing w:val="-12"/>
          <w:sz w:val="23"/>
        </w:rPr>
        <w:t> </w:t>
      </w:r>
      <w:r>
        <w:rPr>
          <w:rFonts w:ascii="Arial" w:hAnsi="Arial"/>
          <w:color w:val="231F20"/>
          <w:sz w:val="23"/>
        </w:rPr>
        <w:t>Bank</w:t>
      </w:r>
      <w:r>
        <w:rPr>
          <w:rFonts w:ascii="Arial" w:hAnsi="Arial"/>
          <w:color w:val="231F20"/>
          <w:spacing w:val="-12"/>
          <w:sz w:val="23"/>
        </w:rPr>
        <w:t> </w:t>
      </w:r>
      <w:r>
        <w:rPr>
          <w:rFonts w:ascii="Arial" w:hAnsi="Arial"/>
          <w:color w:val="231F20"/>
          <w:sz w:val="23"/>
        </w:rPr>
        <w:t>USA,</w:t>
      </w:r>
      <w:r>
        <w:rPr>
          <w:rFonts w:ascii="Arial" w:hAnsi="Arial"/>
          <w:color w:val="231F20"/>
          <w:spacing w:val="-12"/>
          <w:sz w:val="23"/>
        </w:rPr>
        <w:t> </w:t>
      </w:r>
      <w:r>
        <w:rPr>
          <w:rFonts w:ascii="Arial" w:hAnsi="Arial"/>
          <w:color w:val="231F20"/>
          <w:sz w:val="23"/>
        </w:rPr>
        <w:t>N.A.</w:t>
      </w:r>
      <w:r>
        <w:rPr>
          <w:rFonts w:ascii="Arial" w:hAnsi="Arial"/>
          <w:color w:val="231F20"/>
          <w:spacing w:val="-12"/>
          <w:sz w:val="23"/>
        </w:rPr>
        <w:t> </w:t>
      </w:r>
      <w:r>
        <w:rPr>
          <w:rFonts w:ascii="Arial" w:hAnsi="Arial"/>
          <w:color w:val="231F20"/>
          <w:sz w:val="23"/>
        </w:rPr>
        <w:t>Since</w:t>
      </w:r>
      <w:r>
        <w:rPr>
          <w:rFonts w:ascii="Arial" w:hAnsi="Arial"/>
          <w:color w:val="231F20"/>
          <w:spacing w:val="-12"/>
          <w:sz w:val="23"/>
        </w:rPr>
        <w:t> </w:t>
      </w:r>
      <w:r>
        <w:rPr>
          <w:rFonts w:ascii="Arial" w:hAnsi="Arial"/>
          <w:color w:val="231F20"/>
          <w:sz w:val="23"/>
        </w:rPr>
        <w:t>we</w:t>
      </w:r>
      <w:r>
        <w:rPr>
          <w:rFonts w:ascii="Arial" w:hAnsi="Arial"/>
          <w:color w:val="231F20"/>
          <w:spacing w:val="-12"/>
          <w:sz w:val="23"/>
        </w:rPr>
        <w:t> </w:t>
      </w:r>
      <w:r>
        <w:rPr>
          <w:rFonts w:ascii="Arial" w:hAnsi="Arial"/>
          <w:color w:val="231F20"/>
          <w:sz w:val="23"/>
        </w:rPr>
        <w:t>re-launched</w:t>
      </w:r>
      <w:r>
        <w:rPr>
          <w:rFonts w:ascii="Arial" w:hAnsi="Arial"/>
          <w:color w:val="231F20"/>
          <w:spacing w:val="-12"/>
          <w:sz w:val="23"/>
        </w:rPr>
        <w:t> </w:t>
      </w:r>
      <w:r>
        <w:rPr>
          <w:rFonts w:ascii="Arial" w:hAnsi="Arial"/>
          <w:color w:val="231F20"/>
          <w:sz w:val="23"/>
        </w:rPr>
        <w:t>Rapid</w:t>
      </w:r>
      <w:r>
        <w:rPr>
          <w:rFonts w:ascii="Arial" w:hAnsi="Arial"/>
          <w:color w:val="231F20"/>
          <w:spacing w:val="-12"/>
          <w:sz w:val="23"/>
        </w:rPr>
        <w:t> </w:t>
      </w:r>
      <w:r>
        <w:rPr>
          <w:rFonts w:ascii="Arial" w:hAnsi="Arial"/>
          <w:color w:val="231F20"/>
          <w:sz w:val="23"/>
        </w:rPr>
        <w:t>Rewards</w:t>
      </w:r>
      <w:r>
        <w:rPr>
          <w:rFonts w:ascii="Arial" w:hAnsi="Arial"/>
          <w:color w:val="231F20"/>
          <w:spacing w:val="-12"/>
          <w:sz w:val="23"/>
        </w:rPr>
        <w:t> </w:t>
      </w:r>
      <w:r>
        <w:rPr>
          <w:rFonts w:ascii="Arial" w:hAnsi="Arial"/>
          <w:color w:val="231F20"/>
          <w:sz w:val="23"/>
        </w:rPr>
        <w:t>in</w:t>
      </w:r>
      <w:r>
        <w:rPr>
          <w:rFonts w:ascii="Arial" w:hAnsi="Arial"/>
          <w:color w:val="231F20"/>
          <w:spacing w:val="-12"/>
          <w:sz w:val="23"/>
        </w:rPr>
        <w:t> </w:t>
      </w:r>
      <w:r>
        <w:rPr>
          <w:rFonts w:ascii="Arial" w:hAnsi="Arial"/>
          <w:color w:val="231F20"/>
          <w:sz w:val="23"/>
        </w:rPr>
        <w:t>2011,</w:t>
      </w:r>
      <w:r>
        <w:rPr>
          <w:rFonts w:ascii="Arial" w:hAnsi="Arial"/>
          <w:color w:val="231F20"/>
          <w:spacing w:val="-12"/>
          <w:sz w:val="23"/>
        </w:rPr>
        <w:t> </w:t>
      </w:r>
      <w:r>
        <w:rPr>
          <w:rFonts w:ascii="Arial" w:hAnsi="Arial"/>
          <w:color w:val="231F20"/>
          <w:sz w:val="23"/>
        </w:rPr>
        <w:t>we</w:t>
      </w:r>
      <w:r>
        <w:rPr>
          <w:rFonts w:ascii="Arial" w:hAnsi="Arial"/>
          <w:color w:val="231F20"/>
          <w:spacing w:val="-12"/>
          <w:sz w:val="23"/>
        </w:rPr>
        <w:t> </w:t>
      </w:r>
      <w:r>
        <w:rPr>
          <w:rFonts w:ascii="Arial" w:hAnsi="Arial"/>
          <w:color w:val="231F20"/>
          <w:sz w:val="23"/>
        </w:rPr>
        <w:t>have</w:t>
      </w:r>
      <w:r>
        <w:rPr>
          <w:rFonts w:ascii="Arial" w:hAnsi="Arial"/>
          <w:color w:val="231F20"/>
          <w:spacing w:val="-12"/>
          <w:sz w:val="23"/>
        </w:rPr>
        <w:t> </w:t>
      </w:r>
      <w:r>
        <w:rPr>
          <w:rFonts w:ascii="Arial" w:hAnsi="Arial"/>
          <w:color w:val="231F20"/>
          <w:sz w:val="23"/>
        </w:rPr>
        <w:t>more</w:t>
      </w:r>
      <w:r>
        <w:rPr>
          <w:rFonts w:ascii="Arial" w:hAnsi="Arial"/>
          <w:color w:val="231F20"/>
          <w:spacing w:val="-12"/>
          <w:sz w:val="23"/>
        </w:rPr>
        <w:t> </w:t>
      </w:r>
      <w:r>
        <w:rPr>
          <w:rFonts w:ascii="Arial" w:hAnsi="Arial"/>
          <w:color w:val="231F20"/>
          <w:sz w:val="23"/>
        </w:rPr>
        <w:t>than doubled</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membership,</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credit</w:t>
      </w:r>
      <w:r>
        <w:rPr>
          <w:rFonts w:ascii="Arial" w:hAnsi="Arial"/>
          <w:color w:val="231F20"/>
          <w:spacing w:val="-14"/>
          <w:sz w:val="23"/>
        </w:rPr>
        <w:t> </w:t>
      </w:r>
      <w:r>
        <w:rPr>
          <w:rFonts w:ascii="Arial" w:hAnsi="Arial"/>
          <w:color w:val="231F20"/>
          <w:sz w:val="23"/>
        </w:rPr>
        <w:t>card</w:t>
      </w:r>
      <w:r>
        <w:rPr>
          <w:rFonts w:ascii="Arial" w:hAnsi="Arial"/>
          <w:color w:val="231F20"/>
          <w:spacing w:val="-14"/>
          <w:sz w:val="23"/>
        </w:rPr>
        <w:t> </w:t>
      </w:r>
      <w:r>
        <w:rPr>
          <w:rFonts w:ascii="Arial" w:hAnsi="Arial"/>
          <w:color w:val="231F20"/>
          <w:sz w:val="23"/>
        </w:rPr>
        <w:t>holders,</w:t>
      </w:r>
      <w:r>
        <w:rPr>
          <w:rFonts w:ascii="Arial" w:hAnsi="Arial"/>
          <w:color w:val="231F20"/>
          <w:spacing w:val="-14"/>
          <w:sz w:val="23"/>
        </w:rPr>
        <w:t> </w:t>
      </w:r>
      <w:r>
        <w:rPr>
          <w:rFonts w:ascii="Arial" w:hAnsi="Arial"/>
          <w:color w:val="231F20"/>
          <w:sz w:val="23"/>
        </w:rPr>
        <w:t>and</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revenues</w:t>
      </w:r>
      <w:r>
        <w:rPr>
          <w:rFonts w:ascii="Arial" w:hAnsi="Arial"/>
          <w:color w:val="231F20"/>
          <w:spacing w:val="-14"/>
          <w:sz w:val="23"/>
        </w:rPr>
        <w:t> </w:t>
      </w:r>
      <w:r>
        <w:rPr>
          <w:rFonts w:ascii="Arial" w:hAnsi="Arial"/>
          <w:color w:val="231F20"/>
          <w:sz w:val="23"/>
        </w:rPr>
        <w:t>from</w:t>
      </w:r>
      <w:r>
        <w:rPr>
          <w:rFonts w:ascii="Arial" w:hAnsi="Arial"/>
          <w:color w:val="231F20"/>
          <w:spacing w:val="-14"/>
          <w:sz w:val="23"/>
        </w:rPr>
        <w:t> </w:t>
      </w:r>
      <w:r>
        <w:rPr>
          <w:rFonts w:ascii="Arial" w:hAnsi="Arial"/>
          <w:color w:val="231F20"/>
          <w:sz w:val="23"/>
        </w:rPr>
        <w:t>the</w:t>
      </w:r>
      <w:r>
        <w:rPr>
          <w:rFonts w:ascii="Arial" w:hAnsi="Arial"/>
          <w:color w:val="231F20"/>
          <w:spacing w:val="-14"/>
          <w:sz w:val="23"/>
        </w:rPr>
        <w:t> </w:t>
      </w:r>
      <w:r>
        <w:rPr>
          <w:rFonts w:ascii="Arial" w:hAnsi="Arial"/>
          <w:color w:val="231F20"/>
          <w:sz w:val="23"/>
        </w:rPr>
        <w:t>program.</w:t>
      </w:r>
    </w:p>
    <w:p>
      <w:pPr>
        <w:pStyle w:val="BodyText"/>
        <w:spacing w:before="11"/>
        <w:rPr>
          <w:rFonts w:ascii="Arial"/>
          <w:sz w:val="25"/>
        </w:rPr>
      </w:pPr>
    </w:p>
    <w:p>
      <w:pPr>
        <w:spacing w:line="244" w:lineRule="auto" w:before="0"/>
        <w:ind w:left="119" w:right="98" w:firstLine="720"/>
        <w:jc w:val="left"/>
        <w:rPr>
          <w:rFonts w:ascii="Arial"/>
          <w:sz w:val="23"/>
        </w:rPr>
      </w:pPr>
      <w:r>
        <w:rPr>
          <w:rFonts w:ascii="Arial"/>
          <w:color w:val="231F20"/>
          <w:sz w:val="23"/>
        </w:rPr>
        <w:t>While operating revenues grew, operating expenses fell due to a 29.1 percent plunge in economic jet fuel costs per gallon. Even excluding jet fuel costs, Southwest compared well with the year ago period as CASM (operating expenses per available seat mile), excluding fuel and special items, was virtually flat. And, 2015 costs included a significant increase in ProfitSharing for our Employees correlating with the increased profits. Of note, the continuing work to modernize the fleet, including the retirement of the Boeing 717s, the accelerated retirement and declining mix of the Boeing 737 Classics, and the increasing mix of Boeing 737-800s, are all continuing to pay dividends in terms of lower fuel burn, lower maintenance, and more seats per departure. Lastly, our fleet utilization was less than optimal during the conversion of AirTran into Southwest. With the conversion behind us, we began to gradually restore our fleet utilization to more historic levels throughout 2015. All combined, we had an excellent cost performance in 2015.</w:t>
      </w:r>
    </w:p>
    <w:p>
      <w:pPr>
        <w:pStyle w:val="BodyText"/>
        <w:spacing w:before="10"/>
        <w:rPr>
          <w:rFonts w:ascii="Arial"/>
          <w:sz w:val="25"/>
        </w:rPr>
      </w:pPr>
    </w:p>
    <w:p>
      <w:pPr>
        <w:spacing w:line="244" w:lineRule="auto" w:before="1"/>
        <w:ind w:left="119" w:right="131" w:firstLine="720"/>
        <w:jc w:val="left"/>
        <w:rPr>
          <w:rFonts w:ascii="Arial"/>
          <w:sz w:val="23"/>
        </w:rPr>
      </w:pPr>
      <w:r>
        <w:rPr>
          <w:rFonts w:ascii="Arial"/>
          <w:color w:val="231F20"/>
          <w:sz w:val="23"/>
        </w:rPr>
        <w:t>With revenues up and costs down, our operating profit surged 85 percent. That resulted in record cash flow from operations of $3.2 billion and strong free cash flow</w:t>
      </w:r>
      <w:r>
        <w:rPr>
          <w:rFonts w:ascii="Arial"/>
          <w:color w:val="231F20"/>
          <w:position w:val="6"/>
          <w:sz w:val="15"/>
        </w:rPr>
        <w:t>2 </w:t>
      </w:r>
      <w:r>
        <w:rPr>
          <w:rFonts w:ascii="Arial"/>
          <w:color w:val="231F20"/>
          <w:sz w:val="23"/>
        </w:rPr>
        <w:t>of</w:t>
      </w:r>
    </w:p>
    <w:p>
      <w:pPr>
        <w:spacing w:line="244" w:lineRule="auto" w:before="0"/>
        <w:ind w:left="120" w:right="123" w:firstLine="0"/>
        <w:jc w:val="left"/>
        <w:rPr>
          <w:rFonts w:ascii="Arial" w:hAnsi="Arial"/>
          <w:sz w:val="23"/>
        </w:rPr>
      </w:pPr>
      <w:r>
        <w:rPr>
          <w:rFonts w:ascii="Arial" w:hAnsi="Arial"/>
          <w:color w:val="231F20"/>
          <w:sz w:val="23"/>
        </w:rPr>
        <w:t>$1.1 billion. Our financial position strengthened, as did our investment grade credit ratings with an upgrade to Baa1 with Moody’s Investor Service and an upgrade to BBB+ with Fitch Ratings. We were able to return $1.4 billion to Shareholders in 2015 in the form of dividends and share repurchases. And, we were able to maintain strong liquidity</w:t>
      </w:r>
      <w:r>
        <w:rPr>
          <w:rFonts w:ascii="Arial" w:hAnsi="Arial"/>
          <w:color w:val="231F20"/>
          <w:spacing w:val="-1"/>
          <w:sz w:val="23"/>
        </w:rPr>
        <w:t> </w:t>
      </w:r>
      <w:r>
        <w:rPr>
          <w:rFonts w:ascii="Arial" w:hAnsi="Arial"/>
          <w:color w:val="231F20"/>
          <w:sz w:val="23"/>
        </w:rPr>
        <w:t>with</w:t>
      </w:r>
    </w:p>
    <w:p>
      <w:pPr>
        <w:spacing w:line="244" w:lineRule="auto" w:before="0"/>
        <w:ind w:left="120" w:right="248" w:firstLine="0"/>
        <w:jc w:val="both"/>
        <w:rPr>
          <w:rFonts w:ascii="Arial"/>
          <w:sz w:val="23"/>
        </w:rPr>
      </w:pPr>
      <w:r>
        <w:rPr>
          <w:rFonts w:ascii="Arial"/>
          <w:color w:val="231F20"/>
          <w:sz w:val="23"/>
        </w:rPr>
        <w:t>$3.1 billion of cash and short-term investments at year-end 2015, along with a $1 billion, fully-available, bank line-of-credit. In May 2015, our Board of Directors authorized a $1.5 billion share repurchase program and increased the quarterly dividend by 25 percent to</w:t>
      </w:r>
    </w:p>
    <w:p>
      <w:pPr>
        <w:spacing w:before="0"/>
        <w:ind w:left="120" w:right="0" w:firstLine="0"/>
        <w:jc w:val="both"/>
        <w:rPr>
          <w:rFonts w:ascii="Arial"/>
          <w:sz w:val="23"/>
        </w:rPr>
      </w:pPr>
      <w:r>
        <w:rPr>
          <w:rFonts w:ascii="Arial"/>
          <w:color w:val="231F20"/>
          <w:sz w:val="23"/>
        </w:rPr>
        <w:t>$0.075 per share.</w:t>
      </w:r>
    </w:p>
    <w:p>
      <w:pPr>
        <w:pStyle w:val="BodyText"/>
        <w:spacing w:before="4"/>
        <w:rPr>
          <w:rFonts w:ascii="Arial"/>
          <w:sz w:val="26"/>
        </w:rPr>
      </w:pPr>
    </w:p>
    <w:p>
      <w:pPr>
        <w:spacing w:line="244" w:lineRule="auto" w:before="0"/>
        <w:ind w:left="120" w:right="322" w:firstLine="720"/>
        <w:jc w:val="left"/>
        <w:rPr>
          <w:rFonts w:ascii="Arial" w:hAnsi="Arial"/>
          <w:sz w:val="23"/>
        </w:rPr>
      </w:pPr>
      <w:r>
        <w:rPr>
          <w:rFonts w:ascii="Arial" w:hAnsi="Arial"/>
          <w:color w:val="231F20"/>
          <w:sz w:val="23"/>
        </w:rPr>
        <w:t>We ended the year 2015 with 704 aircraft – all Boeing 737s (B737). By year-end 2014, we completed the retirement of the 88 Boeing 717s acquired via the AirTran</w:t>
      </w:r>
    </w:p>
    <w:p>
      <w:pPr>
        <w:spacing w:line="254" w:lineRule="auto" w:before="198"/>
        <w:ind w:left="119" w:right="131" w:firstLine="0"/>
        <w:jc w:val="left"/>
        <w:rPr>
          <w:sz w:val="18"/>
        </w:rPr>
      </w:pPr>
      <w:r>
        <w:rPr>
          <w:color w:val="231F20"/>
          <w:position w:val="4"/>
          <w:sz w:val="11"/>
        </w:rPr>
        <w:t>2 </w:t>
      </w:r>
      <w:r>
        <w:rPr>
          <w:color w:val="231F20"/>
          <w:sz w:val="18"/>
        </w:rPr>
        <w:t>Free cash flow is calculated as operating cash flows of $3.24 billion less capital expenditures of $2.04 billion less assets constructed for others of $102 million plus reimbursements for assets constructed for others of $24 million.</w:t>
      </w:r>
    </w:p>
    <w:p>
      <w:pPr>
        <w:spacing w:after="0" w:line="254" w:lineRule="auto"/>
        <w:jc w:val="left"/>
        <w:rPr>
          <w:sz w:val="18"/>
        </w:rPr>
        <w:sectPr>
          <w:pgSz w:w="11880" w:h="15480"/>
          <w:pgMar w:top="1240" w:bottom="280" w:left="1260" w:right="1280"/>
        </w:sectPr>
      </w:pPr>
    </w:p>
    <w:p>
      <w:pPr>
        <w:spacing w:line="244" w:lineRule="auto" w:before="74"/>
        <w:ind w:left="120" w:right="288" w:firstLine="0"/>
        <w:jc w:val="left"/>
        <w:rPr>
          <w:rFonts w:ascii="Arial"/>
          <w:sz w:val="23"/>
        </w:rPr>
      </w:pPr>
      <w:r>
        <w:rPr>
          <w:rFonts w:ascii="Arial"/>
          <w:color w:val="231F20"/>
          <w:sz w:val="23"/>
        </w:rPr>
        <w:t>acquisition in 2011, and we have successfully placed all of those aircraft on lease or sublease. Currently, we plan to grow the B737 fleet by approximately 15 aircraft in 2016 and estimate year-over-year fleet growth through 2018 of no more than two percent, on average. We plan to grow capacity between five and six percent in 2016, as compared with 2015.</w:t>
      </w:r>
    </w:p>
    <w:p>
      <w:pPr>
        <w:pStyle w:val="BodyText"/>
        <w:spacing w:before="5"/>
        <w:rPr>
          <w:rFonts w:ascii="Arial"/>
          <w:sz w:val="23"/>
        </w:rPr>
      </w:pPr>
    </w:p>
    <w:p>
      <w:pPr>
        <w:spacing w:line="244" w:lineRule="auto" w:before="0"/>
        <w:ind w:left="120" w:right="225" w:firstLine="720"/>
        <w:jc w:val="left"/>
        <w:rPr>
          <w:rFonts w:ascii="Arial"/>
          <w:sz w:val="23"/>
        </w:rPr>
      </w:pPr>
      <w:r>
        <w:rPr>
          <w:rFonts w:ascii="Arial"/>
          <w:color w:val="231F20"/>
          <w:sz w:val="23"/>
        </w:rPr>
        <w:t>Overall, our near-term outlook is upbeat. We are enjoying one of the strongest starts to a year in over 15 years, in terms of the combination of operational reliability and Customer satisfaction. While the U.S. economy continues to be sluggish, energy prices are low, and travel demand is strong. Industry seat growth is robust, too. We also are encouraged by the continuing growth of our Rapid Rewards program, continuing improvement of our subset of developing markets, and our continuing revenue management enhancements. We will manage our growth carefully, in part by adding fewer new markets, with a goal of producing unit revenue gains in 2016.</w:t>
      </w:r>
    </w:p>
    <w:p>
      <w:pPr>
        <w:pStyle w:val="BodyText"/>
        <w:spacing w:before="5"/>
        <w:rPr>
          <w:rFonts w:ascii="Arial"/>
          <w:sz w:val="23"/>
        </w:rPr>
      </w:pPr>
    </w:p>
    <w:p>
      <w:pPr>
        <w:spacing w:line="244" w:lineRule="auto" w:before="0"/>
        <w:ind w:left="119" w:right="277" w:firstLine="720"/>
        <w:jc w:val="left"/>
        <w:rPr>
          <w:rFonts w:ascii="Arial" w:hAnsi="Arial"/>
          <w:sz w:val="23"/>
        </w:rPr>
      </w:pPr>
      <w:r>
        <w:rPr>
          <w:rFonts w:ascii="Arial" w:hAnsi="Arial"/>
          <w:color w:val="231F20"/>
          <w:sz w:val="23"/>
        </w:rPr>
        <w:t>As far as new markets are concerned, we are planning on modest 2016 capacity allocations for new service to Cuba, if approved by the U.S. Department of Transportation, and to Long Beach, California. Both of these initiatives fit well within our overall network strategy focused on expanding our presence in North America, boosting our strong presence in California and Florida, and supporting our expansion in the Caribbean. In all, we have close to 50 additional destinations to consider serving within North and South America with the B737. As America’s largest air carrier in terms of originating Customers</w:t>
      </w:r>
      <w:r>
        <w:rPr>
          <w:rFonts w:ascii="Arial" w:hAnsi="Arial"/>
          <w:color w:val="231F20"/>
          <w:position w:val="6"/>
          <w:sz w:val="15"/>
        </w:rPr>
        <w:t>3</w:t>
      </w:r>
      <w:r>
        <w:rPr>
          <w:rFonts w:ascii="Arial" w:hAnsi="Arial"/>
          <w:color w:val="231F20"/>
          <w:sz w:val="23"/>
        </w:rPr>
        <w:t>, we are in a superb position to continue our growth considering our outstanding service and low operating costs and fares.</w:t>
      </w:r>
    </w:p>
    <w:p>
      <w:pPr>
        <w:pStyle w:val="BodyText"/>
        <w:spacing w:before="5"/>
        <w:rPr>
          <w:rFonts w:ascii="Arial"/>
          <w:sz w:val="23"/>
        </w:rPr>
      </w:pPr>
    </w:p>
    <w:p>
      <w:pPr>
        <w:spacing w:line="244" w:lineRule="auto" w:before="0"/>
        <w:ind w:left="119" w:right="131" w:firstLine="720"/>
        <w:jc w:val="left"/>
        <w:rPr>
          <w:rFonts w:ascii="Arial" w:hAnsi="Arial"/>
          <w:sz w:val="23"/>
        </w:rPr>
      </w:pPr>
      <w:r>
        <w:rPr>
          <w:rFonts w:ascii="Arial" w:hAnsi="Arial"/>
          <w:color w:val="231F20"/>
          <w:sz w:val="23"/>
        </w:rPr>
        <w:t>Speaking of fares, in 2015 we launched our Transfarency</w:t>
      </w:r>
      <w:r>
        <w:rPr>
          <w:rFonts w:ascii="Arial" w:hAnsi="Arial"/>
          <w:color w:val="231F20"/>
          <w:position w:val="6"/>
          <w:sz w:val="15"/>
        </w:rPr>
        <w:t>SM </w:t>
      </w:r>
      <w:r>
        <w:rPr>
          <w:rFonts w:ascii="Arial" w:hAnsi="Arial"/>
          <w:color w:val="231F20"/>
          <w:sz w:val="23"/>
        </w:rPr>
        <w:t>advertising campaign, which has been enthusiastically received– except by our competitors! Why? Because we lay bare hidden fees. At Southwest, bags fly free</w:t>
      </w:r>
      <w:r>
        <w:rPr>
          <w:rFonts w:ascii="Arial" w:hAnsi="Arial"/>
          <w:color w:val="231F20"/>
          <w:position w:val="6"/>
          <w:sz w:val="15"/>
        </w:rPr>
        <w:t>4</w:t>
      </w:r>
      <w:r>
        <w:rPr>
          <w:rFonts w:ascii="Arial" w:hAnsi="Arial"/>
          <w:color w:val="231F20"/>
          <w:sz w:val="23"/>
        </w:rPr>
        <w:t>, there are no change fees</w:t>
      </w:r>
      <w:r>
        <w:rPr>
          <w:rFonts w:ascii="Arial" w:hAnsi="Arial"/>
          <w:color w:val="231F20"/>
          <w:position w:val="6"/>
          <w:sz w:val="15"/>
        </w:rPr>
        <w:t>5</w:t>
      </w:r>
      <w:r>
        <w:rPr>
          <w:rFonts w:ascii="Arial" w:hAnsi="Arial"/>
          <w:color w:val="231F20"/>
          <w:sz w:val="23"/>
        </w:rPr>
        <w:t>, and we believe we offer the most generous, award-winning frequent flyer program on the planet. All that, in addition to everyday low fares delivered with Hospitality, Southwest style.</w:t>
      </w:r>
    </w:p>
    <w:p>
      <w:pPr>
        <w:pStyle w:val="BodyText"/>
        <w:spacing w:before="5"/>
        <w:rPr>
          <w:rFonts w:ascii="Arial"/>
          <w:sz w:val="23"/>
        </w:rPr>
      </w:pPr>
    </w:p>
    <w:p>
      <w:pPr>
        <w:spacing w:line="244" w:lineRule="auto" w:before="0"/>
        <w:ind w:left="119" w:right="622" w:firstLine="720"/>
        <w:jc w:val="left"/>
        <w:rPr>
          <w:rFonts w:ascii="Arial" w:hAnsi="Arial"/>
          <w:sz w:val="23"/>
        </w:rPr>
      </w:pPr>
      <w:r>
        <w:rPr>
          <w:rFonts w:ascii="Arial" w:hAnsi="Arial"/>
          <w:color w:val="231F20"/>
          <w:sz w:val="23"/>
        </w:rPr>
        <w:t>Our goals for 2016 are straightforward and consistent with our record-setting 2015: grow earnings; meet or beat 2015’s record ROIC; and continue to improve our Reliability and Hospitality for which we are famous.</w:t>
      </w:r>
    </w:p>
    <w:p>
      <w:pPr>
        <w:pStyle w:val="BodyText"/>
        <w:spacing w:before="5"/>
        <w:rPr>
          <w:rFonts w:ascii="Arial"/>
          <w:sz w:val="23"/>
        </w:rPr>
      </w:pPr>
    </w:p>
    <w:p>
      <w:pPr>
        <w:spacing w:line="244" w:lineRule="auto" w:before="0"/>
        <w:ind w:left="119" w:right="98" w:firstLine="720"/>
        <w:jc w:val="left"/>
        <w:rPr>
          <w:rFonts w:ascii="Arial" w:hAnsi="Arial"/>
          <w:sz w:val="23"/>
        </w:rPr>
      </w:pPr>
      <w:r>
        <w:rPr>
          <w:rFonts w:ascii="Arial" w:hAnsi="Arial"/>
          <w:color w:val="231F20"/>
          <w:sz w:val="23"/>
        </w:rPr>
        <w:t>At the same time, we continue to invest in the future. Work continues at a vigorous pace on three major initiatives for 2017: as Boeing’s launch customer, delivery of the 737 MAX 8, the successor to the -800; deployment of a new Amadeus Altéa reservations system; and completion of a new five-gate international terminal, along with the launch of international flights originating from that terminal, in Ft. Lauderdale, Florida. We also are monitoring the status of the recent bilateral agreement between the U.S. and Mexico to relax flight restrictions between our two countries. Once approved, we will evaluate these new opportunities with a high priority since a number of city-pair markets are underserved and over-priced as a result of these decades-old restrictions.</w:t>
      </w:r>
    </w:p>
    <w:p>
      <w:pPr>
        <w:spacing w:line="254" w:lineRule="auto" w:before="197"/>
        <w:ind w:left="119" w:right="131" w:firstLine="0"/>
        <w:jc w:val="left"/>
        <w:rPr>
          <w:sz w:val="18"/>
        </w:rPr>
      </w:pPr>
      <w:r>
        <w:rPr>
          <w:color w:val="231F20"/>
          <w:position w:val="4"/>
          <w:sz w:val="11"/>
        </w:rPr>
        <w:t>3 </w:t>
      </w:r>
      <w:r>
        <w:rPr>
          <w:color w:val="231F20"/>
          <w:sz w:val="18"/>
        </w:rPr>
        <w:t>As measured by the number of originating domestic passengers boarded and based on data available from the U.S. Department of Transportation (DOT), as of September 30, 2015.</w:t>
      </w:r>
    </w:p>
    <w:p>
      <w:pPr>
        <w:spacing w:before="0"/>
        <w:ind w:left="120" w:right="0" w:firstLine="0"/>
        <w:jc w:val="left"/>
        <w:rPr>
          <w:sz w:val="18"/>
        </w:rPr>
      </w:pPr>
      <w:r>
        <w:rPr>
          <w:color w:val="231F20"/>
          <w:position w:val="4"/>
          <w:sz w:val="11"/>
        </w:rPr>
        <w:t>4 </w:t>
      </w:r>
      <w:r>
        <w:rPr>
          <w:color w:val="231F20"/>
          <w:sz w:val="18"/>
        </w:rPr>
        <w:t>First and second checked pieces of luggage, size and weight limits apply.</w:t>
      </w:r>
    </w:p>
    <w:p>
      <w:pPr>
        <w:spacing w:before="12"/>
        <w:ind w:left="120" w:right="0" w:firstLine="0"/>
        <w:jc w:val="left"/>
        <w:rPr>
          <w:sz w:val="18"/>
        </w:rPr>
      </w:pPr>
      <w:r>
        <w:rPr>
          <w:color w:val="231F20"/>
          <w:position w:val="4"/>
          <w:sz w:val="11"/>
        </w:rPr>
        <w:t>5 </w:t>
      </w:r>
      <w:r>
        <w:rPr>
          <w:color w:val="231F20"/>
          <w:sz w:val="18"/>
        </w:rPr>
        <w:t>Fare differences might apply.</w:t>
      </w:r>
    </w:p>
    <w:p>
      <w:pPr>
        <w:spacing w:after="0"/>
        <w:jc w:val="left"/>
        <w:rPr>
          <w:sz w:val="18"/>
        </w:rPr>
        <w:sectPr>
          <w:pgSz w:w="11880" w:h="15480"/>
          <w:pgMar w:top="1240" w:bottom="280" w:left="1260" w:right="1280"/>
        </w:sectPr>
      </w:pPr>
    </w:p>
    <w:p>
      <w:pPr>
        <w:spacing w:line="244" w:lineRule="auto" w:before="74"/>
        <w:ind w:left="120" w:right="101" w:firstLine="720"/>
        <w:jc w:val="left"/>
        <w:rPr>
          <w:rFonts w:ascii="Arial" w:hAnsi="Arial"/>
          <w:sz w:val="23"/>
        </w:rPr>
      </w:pPr>
      <w:r>
        <w:rPr>
          <w:rFonts w:ascii="Arial" w:hAnsi="Arial"/>
          <w:color w:val="231F20"/>
          <w:sz w:val="23"/>
        </w:rPr>
        <w:t>Our People have worked very hard to build Southwest into the extraordinary airline it is today. I am tremendously proud of them and how they persevered through the worst of times in the 2000s. I am overjoyed they are enjoying the fruits of their work and these long-sought best of times. We are all very well aware they don’t last forever, and as our Chairman Emeritus always told us, “we manage in good times to be prepared for the bad</w:t>
      </w:r>
      <w:r>
        <w:rPr>
          <w:rFonts w:ascii="Arial" w:hAnsi="Arial"/>
          <w:color w:val="231F20"/>
          <w:spacing w:val="-1"/>
          <w:sz w:val="23"/>
        </w:rPr>
        <w:t> </w:t>
      </w:r>
      <w:r>
        <w:rPr>
          <w:rFonts w:ascii="Arial" w:hAnsi="Arial"/>
          <w:color w:val="231F20"/>
          <w:sz w:val="23"/>
        </w:rPr>
        <w:t>times.”</w:t>
      </w:r>
    </w:p>
    <w:p>
      <w:pPr>
        <w:pStyle w:val="BodyText"/>
        <w:spacing w:before="10"/>
        <w:rPr>
          <w:rFonts w:ascii="Arial"/>
          <w:sz w:val="20"/>
        </w:rPr>
      </w:pPr>
    </w:p>
    <w:p>
      <w:pPr>
        <w:spacing w:line="244" w:lineRule="auto" w:before="0"/>
        <w:ind w:left="120" w:right="112" w:firstLine="720"/>
        <w:jc w:val="left"/>
        <w:rPr>
          <w:rFonts w:ascii="Arial"/>
          <w:sz w:val="23"/>
        </w:rPr>
      </w:pPr>
      <w:r>
        <w:rPr>
          <w:rFonts w:ascii="Arial"/>
          <w:color w:val="231F20"/>
          <w:sz w:val="23"/>
        </w:rPr>
        <w:t>We did just that. We more than just survived the 2000s. We grew; we did not have to retrench. We were profitable; we did not go bankrupt. We were job secure, and added more; we did not furlough or lay off Employees. We were prepared. And now, our People have transformed Southwest so it is stronger and better prepared than ever.</w:t>
      </w:r>
    </w:p>
    <w:p>
      <w:pPr>
        <w:pStyle w:val="BodyText"/>
        <w:spacing w:before="10"/>
        <w:rPr>
          <w:rFonts w:ascii="Arial"/>
          <w:sz w:val="20"/>
        </w:rPr>
      </w:pPr>
    </w:p>
    <w:p>
      <w:pPr>
        <w:spacing w:line="244" w:lineRule="auto" w:before="0"/>
        <w:ind w:left="120" w:right="154" w:firstLine="720"/>
        <w:jc w:val="left"/>
        <w:rPr>
          <w:rFonts w:ascii="Arial" w:hAnsi="Arial"/>
          <w:sz w:val="23"/>
        </w:rPr>
      </w:pPr>
      <w:r>
        <w:rPr>
          <w:rFonts w:ascii="Arial" w:hAnsi="Arial"/>
          <w:color w:val="231F20"/>
          <w:sz w:val="23"/>
        </w:rPr>
        <w:t>In 1971, the People of Southwest began a low fare revolution. It took time, but it ultimately gave America the Freedom to Fly. Now, the battle to best serve America’s travelers continues with more low fare competition than ever. But it is still </w:t>
      </w:r>
      <w:r>
        <w:rPr>
          <w:rFonts w:ascii="Arial" w:hAnsi="Arial"/>
          <w:color w:val="231F20"/>
          <w:sz w:val="23"/>
          <w:u w:val="single" w:color="231F20"/>
        </w:rPr>
        <w:t>only </w:t>
      </w:r>
      <w:r>
        <w:rPr>
          <w:rFonts w:ascii="Arial" w:hAnsi="Arial"/>
          <w:color w:val="231F20"/>
          <w:sz w:val="23"/>
        </w:rPr>
        <w:t>Southwest that fights for the Customer with low fares </w:t>
      </w:r>
      <w:r>
        <w:rPr>
          <w:rFonts w:ascii="Arial" w:hAnsi="Arial"/>
          <w:color w:val="231F20"/>
          <w:sz w:val="23"/>
          <w:u w:val="single" w:color="231F20"/>
        </w:rPr>
        <w:t>and </w:t>
      </w:r>
      <w:r>
        <w:rPr>
          <w:rFonts w:ascii="Arial" w:hAnsi="Arial"/>
          <w:color w:val="231F20"/>
          <w:sz w:val="23"/>
        </w:rPr>
        <w:t>great service. With low fares </w:t>
      </w:r>
      <w:r>
        <w:rPr>
          <w:rFonts w:ascii="Arial" w:hAnsi="Arial"/>
          <w:color w:val="231F20"/>
          <w:sz w:val="23"/>
          <w:u w:val="single" w:color="231F20"/>
        </w:rPr>
        <w:t>and </w:t>
      </w:r>
      <w:r>
        <w:rPr>
          <w:rFonts w:ascii="Arial" w:hAnsi="Arial"/>
          <w:color w:val="231F20"/>
          <w:sz w:val="23"/>
        </w:rPr>
        <w:t>lots of flights to lots of places. With low fares </w:t>
      </w:r>
      <w:r>
        <w:rPr>
          <w:rFonts w:ascii="Arial" w:hAnsi="Arial"/>
          <w:color w:val="231F20"/>
          <w:sz w:val="23"/>
          <w:u w:val="single" w:color="231F20"/>
        </w:rPr>
        <w:t>and </w:t>
      </w:r>
      <w:r>
        <w:rPr>
          <w:rFonts w:ascii="Arial" w:hAnsi="Arial"/>
          <w:color w:val="231F20"/>
          <w:sz w:val="23"/>
        </w:rPr>
        <w:t>Transfarency: no first and second checked bag fees</w:t>
      </w:r>
      <w:r>
        <w:rPr>
          <w:rFonts w:ascii="Arial" w:hAnsi="Arial"/>
          <w:color w:val="231F20"/>
          <w:position w:val="6"/>
          <w:sz w:val="15"/>
        </w:rPr>
        <w:t>6</w:t>
      </w:r>
      <w:r>
        <w:rPr>
          <w:rFonts w:ascii="Arial" w:hAnsi="Arial"/>
          <w:color w:val="231F20"/>
          <w:sz w:val="23"/>
        </w:rPr>
        <w:t>, no change fees, generous frequent flyer awards with low fares </w:t>
      </w:r>
      <w:r>
        <w:rPr>
          <w:rFonts w:ascii="Arial" w:hAnsi="Arial"/>
          <w:color w:val="231F20"/>
          <w:sz w:val="23"/>
          <w:u w:val="single" w:color="231F20"/>
        </w:rPr>
        <w:t>and </w:t>
      </w:r>
      <w:r>
        <w:rPr>
          <w:rFonts w:ascii="Arial" w:hAnsi="Arial"/>
          <w:color w:val="231F20"/>
          <w:sz w:val="23"/>
        </w:rPr>
        <w:t>no second class. After nearly 45 years, Southwest is still a category of one.</w:t>
      </w:r>
    </w:p>
    <w:p>
      <w:pPr>
        <w:pStyle w:val="BodyText"/>
        <w:spacing w:before="10"/>
        <w:rPr>
          <w:rFonts w:ascii="Arial"/>
          <w:sz w:val="20"/>
        </w:rPr>
      </w:pPr>
    </w:p>
    <w:p>
      <w:pPr>
        <w:spacing w:line="244" w:lineRule="auto" w:before="0"/>
        <w:ind w:left="119" w:right="129" w:firstLine="720"/>
        <w:jc w:val="left"/>
        <w:rPr>
          <w:rFonts w:ascii="Arial" w:hAnsi="Arial"/>
          <w:sz w:val="23"/>
        </w:rPr>
      </w:pPr>
      <w:r>
        <w:rPr>
          <w:rFonts w:ascii="Arial" w:hAnsi="Arial"/>
          <w:color w:val="231F20"/>
          <w:sz w:val="23"/>
        </w:rPr>
        <w:t>Our Purpose is to connect Customers to what’s important in their lives with friendly, reliable, and low-cost air travel. We take great care of our Employees, so they can take great care of our Customers. If we do that well, we can take great care of our Shareholders. And, we have. Whether it’s 45 years or the last 15, no domestic airline has performed better. For the 22</w:t>
      </w:r>
      <w:r>
        <w:rPr>
          <w:rFonts w:ascii="Arial" w:hAnsi="Arial"/>
          <w:color w:val="231F20"/>
          <w:position w:val="6"/>
          <w:sz w:val="15"/>
        </w:rPr>
        <w:t>nd </w:t>
      </w:r>
      <w:r>
        <w:rPr>
          <w:rFonts w:ascii="Arial" w:hAnsi="Arial"/>
          <w:color w:val="231F20"/>
          <w:sz w:val="23"/>
        </w:rPr>
        <w:t>consecutive year, Southwest has been named to </w:t>
      </w:r>
      <w:r>
        <w:rPr>
          <w:rFonts w:ascii="Arial" w:hAnsi="Arial"/>
          <w:i/>
          <w:color w:val="231F20"/>
          <w:sz w:val="23"/>
        </w:rPr>
        <w:t>FORTUNE</w:t>
      </w:r>
      <w:r>
        <w:rPr>
          <w:rFonts w:ascii="Arial" w:hAnsi="Arial"/>
          <w:color w:val="231F20"/>
          <w:sz w:val="23"/>
        </w:rPr>
        <w:t>’s list of World’s Most Admired Companies, coming in again at #7. Please know it is our Vision to become the world’s most loved, most flown, and most profitable airline. It is a passionate pursuit, and our People won’t give up.</w:t>
      </w:r>
    </w:p>
    <w:p>
      <w:pPr>
        <w:pStyle w:val="BodyText"/>
        <w:spacing w:before="10"/>
        <w:rPr>
          <w:rFonts w:ascii="Arial"/>
          <w:sz w:val="20"/>
        </w:rPr>
      </w:pPr>
    </w:p>
    <w:p>
      <w:pPr>
        <w:spacing w:line="244" w:lineRule="auto" w:before="0"/>
        <w:ind w:left="119" w:right="151" w:firstLine="720"/>
        <w:jc w:val="left"/>
        <w:rPr>
          <w:rFonts w:ascii="Arial" w:hAnsi="Arial"/>
          <w:sz w:val="23"/>
        </w:rPr>
      </w:pPr>
      <w:r>
        <w:rPr>
          <w:rFonts w:ascii="Arial" w:hAnsi="Arial"/>
          <w:color w:val="231F20"/>
          <w:sz w:val="23"/>
        </w:rPr>
        <w:t>As always, I’m extraordinarily proud of our People for these record results. Please join me in thanking them.</w:t>
      </w:r>
    </w:p>
    <w:p>
      <w:pPr>
        <w:pStyle w:val="BodyText"/>
        <w:spacing w:before="10"/>
        <w:rPr>
          <w:rFonts w:ascii="Arial"/>
          <w:sz w:val="20"/>
        </w:rPr>
      </w:pPr>
    </w:p>
    <w:p>
      <w:pPr>
        <w:spacing w:before="0"/>
        <w:ind w:left="1560" w:right="0" w:firstLine="0"/>
        <w:jc w:val="left"/>
        <w:rPr>
          <w:rFonts w:ascii="Arial"/>
          <w:sz w:val="23"/>
        </w:rPr>
      </w:pPr>
      <w:r>
        <w:rPr/>
        <w:drawing>
          <wp:anchor distT="0" distB="0" distL="0" distR="0" allowOverlap="1" layoutInCell="1" locked="0" behindDoc="0" simplePos="0" relativeHeight="0">
            <wp:simplePos x="0" y="0"/>
            <wp:positionH relativeFrom="page">
              <wp:posOffset>1790700</wp:posOffset>
            </wp:positionH>
            <wp:positionV relativeFrom="paragraph">
              <wp:posOffset>201577</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r>
        <w:rPr>
          <w:rFonts w:ascii="Arial"/>
          <w:color w:val="231F20"/>
          <w:sz w:val="23"/>
        </w:rPr>
        <w:t>Sincerely,</w:t>
      </w:r>
    </w:p>
    <w:p>
      <w:pPr>
        <w:pStyle w:val="BodyText"/>
        <w:spacing w:before="10"/>
        <w:rPr>
          <w:rFonts w:ascii="Arial"/>
        </w:rPr>
      </w:pPr>
    </w:p>
    <w:p>
      <w:pPr>
        <w:spacing w:before="0"/>
        <w:ind w:left="1560" w:right="0" w:firstLine="0"/>
        <w:jc w:val="left"/>
        <w:rPr>
          <w:rFonts w:ascii="Arial"/>
          <w:sz w:val="23"/>
        </w:rPr>
      </w:pPr>
      <w:r>
        <w:rPr>
          <w:rFonts w:ascii="Arial"/>
          <w:color w:val="231F20"/>
          <w:sz w:val="23"/>
        </w:rPr>
        <w:t>Gary C. Kelly</w:t>
      </w:r>
    </w:p>
    <w:p>
      <w:pPr>
        <w:spacing w:line="244" w:lineRule="auto" w:before="5"/>
        <w:ind w:left="1560" w:right="2728" w:firstLine="0"/>
        <w:jc w:val="left"/>
        <w:rPr>
          <w:rFonts w:ascii="Arial"/>
          <w:sz w:val="23"/>
        </w:rPr>
      </w:pPr>
      <w:r>
        <w:rPr>
          <w:rFonts w:ascii="Arial"/>
          <w:color w:val="231F20"/>
          <w:sz w:val="23"/>
        </w:rPr>
        <w:t>Chairman, President, and Chief Executive Officer March 15, 2016</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spacing w:before="194"/>
        <w:ind w:left="120" w:right="0" w:firstLine="0"/>
        <w:jc w:val="left"/>
        <w:rPr>
          <w:sz w:val="18"/>
        </w:rPr>
      </w:pPr>
      <w:r>
        <w:rPr>
          <w:color w:val="231F20"/>
          <w:position w:val="4"/>
          <w:sz w:val="11"/>
        </w:rPr>
        <w:t>6 </w:t>
      </w:r>
      <w:r>
        <w:rPr>
          <w:color w:val="231F20"/>
          <w:sz w:val="18"/>
        </w:rPr>
        <w:t>Size and weight limits apply. Some airlines may allow free checked bags on select routes or for qualified circumstances.</w:t>
      </w:r>
    </w:p>
    <w:p>
      <w:pPr>
        <w:spacing w:after="0"/>
        <w:jc w:val="left"/>
        <w:rPr>
          <w:sz w:val="18"/>
        </w:rPr>
        <w:sectPr>
          <w:pgSz w:w="11880" w:h="15480"/>
          <w:pgMar w:top="1240" w:bottom="280" w:left="1260" w:right="1300"/>
        </w:sectPr>
      </w:pPr>
    </w:p>
    <w:p>
      <w:pPr>
        <w:pStyle w:val="BodyText"/>
      </w:pPr>
    </w:p>
    <w:p>
      <w:pPr>
        <w:pStyle w:val="BodyText"/>
      </w:pPr>
    </w:p>
    <w:p>
      <w:pPr>
        <w:pStyle w:val="BodyText"/>
      </w:pPr>
    </w:p>
    <w:p>
      <w:pPr>
        <w:pStyle w:val="BodyText"/>
      </w:pPr>
    </w:p>
    <w:p>
      <w:pPr>
        <w:pStyle w:val="BodyText"/>
        <w:spacing w:before="6"/>
        <w:rPr>
          <w:sz w:val="29"/>
        </w:rPr>
      </w:pPr>
    </w:p>
    <w:p>
      <w:pPr>
        <w:spacing w:before="1"/>
        <w:ind w:left="120" w:right="0" w:firstLine="0"/>
        <w:jc w:val="left"/>
        <w:rPr>
          <w:sz w:val="20"/>
        </w:rPr>
      </w:pPr>
      <w:r>
        <w:rPr>
          <w:color w:val="231F20"/>
          <w:sz w:val="20"/>
        </w:rPr>
        <w:t>(Mark One)</w:t>
      </w:r>
    </w:p>
    <w:p>
      <w:pPr>
        <w:pStyle w:val="Heading1"/>
        <w:spacing w:line="241" w:lineRule="exact" w:before="134"/>
        <w:ind w:left="102" w:right="3010"/>
        <w:jc w:val="center"/>
      </w:pPr>
      <w:r>
        <w:rPr>
          <w:b w:val="0"/>
        </w:rPr>
        <w:br w:type="column"/>
      </w:r>
      <w:r>
        <w:rPr>
          <w:color w:val="231F20"/>
        </w:rPr>
        <w:t>UNITED STATES</w:t>
      </w:r>
    </w:p>
    <w:p>
      <w:pPr>
        <w:spacing w:line="230" w:lineRule="exact" w:before="0"/>
        <w:ind w:left="102" w:right="3010" w:firstLine="0"/>
        <w:jc w:val="center"/>
        <w:rPr>
          <w:b/>
          <w:sz w:val="22"/>
        </w:rPr>
      </w:pPr>
      <w:r>
        <w:rPr>
          <w:b/>
          <w:color w:val="231F20"/>
          <w:sz w:val="22"/>
        </w:rPr>
        <w:t>SECURITIES AND EXCHANGE COMMISSION</w:t>
      </w:r>
    </w:p>
    <w:p>
      <w:pPr>
        <w:spacing w:line="241" w:lineRule="exact" w:before="0"/>
        <w:ind w:left="101" w:right="3010" w:firstLine="0"/>
        <w:jc w:val="center"/>
        <w:rPr>
          <w:b/>
          <w:sz w:val="22"/>
        </w:rPr>
      </w:pPr>
      <w:r>
        <w:rPr>
          <w:b/>
          <w:color w:val="231F20"/>
          <w:sz w:val="22"/>
        </w:rPr>
        <w:t>Washington, D.C. 20549</w:t>
      </w:r>
    </w:p>
    <w:p>
      <w:pPr>
        <w:spacing w:before="160"/>
        <w:ind w:left="101" w:right="3010" w:firstLine="0"/>
        <w:jc w:val="center"/>
        <w:rPr>
          <w:b/>
          <w:sz w:val="24"/>
        </w:rPr>
      </w:pPr>
      <w:r>
        <w:rPr>
          <w:b/>
          <w:color w:val="231F20"/>
          <w:sz w:val="24"/>
        </w:rPr>
        <w:t>FORM 10-K</w:t>
      </w:r>
    </w:p>
    <w:p>
      <w:pPr>
        <w:spacing w:after="0"/>
        <w:jc w:val="center"/>
        <w:rPr>
          <w:sz w:val="24"/>
        </w:rPr>
        <w:sectPr>
          <w:pgSz w:w="11880" w:h="15480"/>
          <w:pgMar w:top="720" w:bottom="280" w:left="540" w:right="540"/>
          <w:cols w:num="2" w:equalWidth="0">
            <w:col w:w="1071" w:space="1839"/>
            <w:col w:w="7890"/>
          </w:cols>
        </w:sectPr>
      </w:pPr>
    </w:p>
    <w:p>
      <w:pPr>
        <w:tabs>
          <w:tab w:pos="919" w:val="left" w:leader="none"/>
        </w:tabs>
        <w:spacing w:line="210" w:lineRule="exact" w:before="95"/>
        <w:ind w:left="920" w:right="118" w:hanging="800"/>
        <w:jc w:val="left"/>
        <w:rPr>
          <w:b/>
          <w:sz w:val="20"/>
        </w:rPr>
      </w:pPr>
      <w:r>
        <w:rPr/>
        <w:pict>
          <v:group style="position:absolute;margin-left:32.75pt;margin-top:36pt;width:528.5pt;height:3.5pt;mso-position-horizontal-relative:page;mso-position-vertical-relative:page;z-index:1168" coordorigin="655,720" coordsize="10570,70">
            <v:line style="position:absolute" from="660,725" to="11220,725" stroked="true" strokeweight=".5pt" strokecolor="#231f20">
              <v:stroke dashstyle="solid"/>
            </v:line>
            <v:line style="position:absolute" from="660,785" to="11220,785" stroked="true" strokeweight=".5pt" strokecolor="#231f20">
              <v:stroke dashstyle="solid"/>
            </v:line>
            <w10:wrap type="none"/>
          </v:group>
        </w:pict>
      </w:r>
      <w:r>
        <w:rPr>
          <w:rFonts w:ascii="39251" w:hAnsi="39251"/>
          <w:color w:val="231F20"/>
          <w:sz w:val="20"/>
        </w:rPr>
        <w:t>Í</w:t>
        <w:tab/>
      </w:r>
      <w:r>
        <w:rPr>
          <w:b/>
          <w:color w:val="231F20"/>
          <w:sz w:val="20"/>
        </w:rPr>
        <w:t>ANNUAL</w:t>
      </w:r>
      <w:r>
        <w:rPr>
          <w:b/>
          <w:color w:val="231F20"/>
          <w:spacing w:val="31"/>
          <w:sz w:val="20"/>
        </w:rPr>
        <w:t> </w:t>
      </w:r>
      <w:r>
        <w:rPr>
          <w:b/>
          <w:color w:val="231F20"/>
          <w:sz w:val="20"/>
        </w:rPr>
        <w:t>REPORT</w:t>
      </w:r>
      <w:r>
        <w:rPr>
          <w:b/>
          <w:color w:val="231F20"/>
          <w:spacing w:val="32"/>
          <w:sz w:val="20"/>
        </w:rPr>
        <w:t> </w:t>
      </w:r>
      <w:r>
        <w:rPr>
          <w:b/>
          <w:color w:val="231F20"/>
          <w:sz w:val="20"/>
        </w:rPr>
        <w:t>PURSUANT</w:t>
      </w:r>
      <w:r>
        <w:rPr>
          <w:b/>
          <w:color w:val="231F20"/>
          <w:spacing w:val="30"/>
          <w:sz w:val="20"/>
        </w:rPr>
        <w:t> </w:t>
      </w:r>
      <w:r>
        <w:rPr>
          <w:b/>
          <w:color w:val="231F20"/>
          <w:sz w:val="20"/>
        </w:rPr>
        <w:t>TO</w:t>
      </w:r>
      <w:r>
        <w:rPr>
          <w:b/>
          <w:color w:val="231F20"/>
          <w:spacing w:val="33"/>
          <w:sz w:val="20"/>
        </w:rPr>
        <w:t> </w:t>
      </w:r>
      <w:r>
        <w:rPr>
          <w:b/>
          <w:color w:val="231F20"/>
          <w:sz w:val="20"/>
        </w:rPr>
        <w:t>SECTION</w:t>
      </w:r>
      <w:r>
        <w:rPr>
          <w:b/>
          <w:color w:val="231F20"/>
          <w:spacing w:val="31"/>
          <w:sz w:val="20"/>
        </w:rPr>
        <w:t> </w:t>
      </w:r>
      <w:r>
        <w:rPr>
          <w:b/>
          <w:color w:val="231F20"/>
          <w:sz w:val="20"/>
        </w:rPr>
        <w:t>13</w:t>
      </w:r>
      <w:r>
        <w:rPr>
          <w:b/>
          <w:color w:val="231F20"/>
          <w:spacing w:val="33"/>
          <w:sz w:val="20"/>
        </w:rPr>
        <w:t> </w:t>
      </w:r>
      <w:r>
        <w:rPr>
          <w:b/>
          <w:color w:val="231F20"/>
          <w:sz w:val="20"/>
        </w:rPr>
        <w:t>OR</w:t>
      </w:r>
      <w:r>
        <w:rPr>
          <w:b/>
          <w:color w:val="231F20"/>
          <w:spacing w:val="33"/>
          <w:sz w:val="20"/>
        </w:rPr>
        <w:t> </w:t>
      </w:r>
      <w:r>
        <w:rPr>
          <w:b/>
          <w:color w:val="231F20"/>
          <w:sz w:val="20"/>
        </w:rPr>
        <w:t>15(d)</w:t>
      </w:r>
      <w:r>
        <w:rPr>
          <w:b/>
          <w:color w:val="231F20"/>
          <w:spacing w:val="33"/>
          <w:sz w:val="20"/>
        </w:rPr>
        <w:t> </w:t>
      </w:r>
      <w:r>
        <w:rPr>
          <w:b/>
          <w:color w:val="231F20"/>
          <w:sz w:val="20"/>
        </w:rPr>
        <w:t>OF</w:t>
      </w:r>
      <w:r>
        <w:rPr>
          <w:b/>
          <w:color w:val="231F20"/>
          <w:spacing w:val="33"/>
          <w:sz w:val="20"/>
        </w:rPr>
        <w:t> </w:t>
      </w:r>
      <w:r>
        <w:rPr>
          <w:b/>
          <w:color w:val="231F20"/>
          <w:sz w:val="20"/>
        </w:rPr>
        <w:t>THE</w:t>
      </w:r>
      <w:r>
        <w:rPr>
          <w:b/>
          <w:color w:val="231F20"/>
          <w:spacing w:val="32"/>
          <w:sz w:val="20"/>
        </w:rPr>
        <w:t> </w:t>
      </w:r>
      <w:r>
        <w:rPr>
          <w:b/>
          <w:color w:val="231F20"/>
          <w:sz w:val="20"/>
        </w:rPr>
        <w:t>SECURITIES</w:t>
      </w:r>
      <w:r>
        <w:rPr>
          <w:b/>
          <w:color w:val="231F20"/>
          <w:spacing w:val="30"/>
          <w:sz w:val="20"/>
        </w:rPr>
        <w:t> </w:t>
      </w:r>
      <w:r>
        <w:rPr>
          <w:b/>
          <w:color w:val="231F20"/>
          <w:sz w:val="20"/>
        </w:rPr>
        <w:t>EXCHANGE</w:t>
      </w:r>
      <w:r>
        <w:rPr>
          <w:b/>
          <w:color w:val="231F20"/>
          <w:spacing w:val="31"/>
          <w:sz w:val="20"/>
        </w:rPr>
        <w:t> </w:t>
      </w:r>
      <w:r>
        <w:rPr>
          <w:b/>
          <w:color w:val="231F20"/>
          <w:sz w:val="20"/>
        </w:rPr>
        <w:t>ACT</w:t>
      </w:r>
      <w:r>
        <w:rPr>
          <w:b/>
          <w:color w:val="231F20"/>
          <w:spacing w:val="31"/>
          <w:sz w:val="20"/>
        </w:rPr>
        <w:t> </w:t>
      </w:r>
      <w:r>
        <w:rPr>
          <w:b/>
          <w:color w:val="231F20"/>
          <w:sz w:val="20"/>
        </w:rPr>
        <w:t>OF</w:t>
      </w:r>
      <w:r>
        <w:rPr>
          <w:b/>
          <w:color w:val="231F20"/>
          <w:w w:val="100"/>
          <w:sz w:val="20"/>
        </w:rPr>
        <w:t> </w:t>
      </w:r>
      <w:r>
        <w:rPr>
          <w:b/>
          <w:color w:val="231F20"/>
          <w:sz w:val="20"/>
        </w:rPr>
        <w:t>1934</w:t>
      </w:r>
    </w:p>
    <w:p>
      <w:pPr>
        <w:spacing w:line="268" w:lineRule="auto" w:before="29"/>
        <w:ind w:left="920" w:right="6261" w:firstLine="0"/>
        <w:jc w:val="left"/>
        <w:rPr>
          <w:sz w:val="20"/>
        </w:rPr>
      </w:pPr>
      <w:r>
        <w:rPr>
          <w:color w:val="231F20"/>
          <w:sz w:val="20"/>
        </w:rPr>
        <w:t>For the fiscal year ended December 31, 2015 or</w:t>
      </w:r>
    </w:p>
    <w:p>
      <w:pPr>
        <w:tabs>
          <w:tab w:pos="919" w:val="left" w:leader="none"/>
        </w:tabs>
        <w:spacing w:line="210" w:lineRule="exact" w:before="19"/>
        <w:ind w:left="920" w:right="118" w:hanging="800"/>
        <w:jc w:val="left"/>
        <w:rPr>
          <w:b/>
          <w:sz w:val="20"/>
        </w:rPr>
      </w:pPr>
      <w:r>
        <w:rPr>
          <w:rFonts w:ascii="39251" w:hAnsi="39251"/>
          <w:color w:val="231F20"/>
          <w:sz w:val="20"/>
        </w:rPr>
        <w:t>‘</w:t>
        <w:tab/>
      </w:r>
      <w:r>
        <w:rPr>
          <w:b/>
          <w:color w:val="231F20"/>
          <w:sz w:val="20"/>
        </w:rPr>
        <w:t>TRANSITION REPORT PURSUANT TO SECTION 13 OR 15(d) OF THE SECURITIES EXCHANGE</w:t>
      </w:r>
      <w:r>
        <w:rPr>
          <w:b/>
          <w:color w:val="231F20"/>
          <w:spacing w:val="14"/>
          <w:sz w:val="20"/>
        </w:rPr>
        <w:t> </w:t>
      </w:r>
      <w:r>
        <w:rPr>
          <w:b/>
          <w:color w:val="231F20"/>
          <w:sz w:val="20"/>
        </w:rPr>
        <w:t>ACT</w:t>
      </w:r>
      <w:r>
        <w:rPr>
          <w:b/>
          <w:color w:val="231F20"/>
          <w:spacing w:val="-1"/>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28"/>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27"/>
        <w:ind w:left="0" w:right="0" w:firstLine="0"/>
        <w:jc w:val="center"/>
        <w:rPr>
          <w:sz w:val="20"/>
        </w:rPr>
      </w:pPr>
      <w:r>
        <w:rPr/>
        <w:pict>
          <v:group style="position:absolute;margin-left:126pt;margin-top:19.786938pt;width:316.850pt;height:51.55pt;mso-position-horizontal-relative:page;mso-position-vertical-relative:paragraph;z-index:1048;mso-wrap-distance-left:0;mso-wrap-distance-right:0" coordorigin="2520,396" coordsize="6337,1031">
            <v:shape style="position:absolute;left:2520;top:396;width:6226;height:1031" coordorigin="2520,396" coordsize="6226,1031" path="m5022,529l4818,529,4818,712,4721,712,4721,887,4818,887,4818,1170,4821,1231,4835,1290,4861,1343,4904,1386,4967,1415,5054,1425,5098,1423,5139,1417,5179,1409,5219,1398,5192,1246,5104,1246,5060,1240,5036,1222,5024,1194,5022,1157,5022,887,5208,887,5208,712,5022,712,5022,529xm5189,1232l5168,1238,5147,1242,5126,1245,5104,1246,5192,1246,5189,1232xm5208,887l5022,887,5208,887,5208,887xm8549,529l8345,529,8345,712,8248,712,8248,887,8345,887,8344,1170,8348,1231,8361,1290,8388,1343,8431,1386,8494,1415,8580,1425,8624,1423,8665,1417,8705,1409,8745,1398,8719,1246,8631,1246,8587,1240,8562,1222,8551,1194,8548,1157,8549,887,8735,887,8735,712,8549,712,8549,529xm8716,1232l8695,1238,8674,1242,8652,1245,8631,1246,8719,1246,8716,1232xm8735,887l8549,887,8735,887,8735,887xm7342,692l7266,698,7197,718,7136,750,7084,794,7042,848,7010,913,6991,987,6984,1070,6990,1147,7008,1217,7037,1277,7078,1329,7129,1370,7191,1401,7263,1419,7345,1426,7419,1421,7488,1408,7554,1389,7619,1363,7598,1250,7378,1250,7301,1241,7248,1215,7216,1176,7202,1126,7650,1126,7654,1080,7656,1054,7656,1041,7657,1030,7652,974,7448,974,7205,974,7218,930,7242,892,7280,866,7333,857,7619,857,7599,818,7554,766,7496,726,7425,701,7342,692xm6122,712l5910,712,6129,1411,6312,1411,6419,1107,6236,1107,6122,712xm6643,1015l6452,1015,6584,1411,6768,1411,6874,1112,6674,1112,6643,1015xm7589,1198l7539,1219,7488,1235,7435,1246,7378,1250,7598,1250,7589,1198xm7650,1126l7202,1126,7650,1126,7650,1126xm7016,712l6799,712,6674,1112,6874,1112,7016,712xm6545,712l6375,712,6236,1107,6419,1107,6452,1015,6643,1015,6545,712xm7619,857l7333,857,7387,868,7422,897,7441,935,7448,974,7652,974,7650,952,7631,881,7619,857xm7729,1218l7698,1389,7761,1405,7824,1417,7888,1424,7954,1427,8044,1419,8117,1396,8172,1360,8211,1314,8234,1259,8234,1257,7937,1257,7884,1254,7832,1247,7781,1235,7729,1218xm7988,692l7901,700,7828,722,7772,757,7730,803,7705,858,7697,921,7705,985,7731,1037,7775,1080,7837,1114,7857,1122,7880,1131,7904,1139,7930,1148,7978,1162,8012,1175,8033,1190,8040,1211,8032,1231,8010,1246,7978,1254,7937,1257,8234,1257,8242,1197,8234,1135,8209,1081,8162,1036,8091,1002,8069,994,8046,987,8022,979,7951,959,7921,946,7904,931,7899,913,7904,892,7920,876,7948,865,7988,862,8186,862,8211,722,8157,711,8103,701,8047,695,7988,692xm8186,862l7988,862,8036,864,8084,871,8131,881,8180,894,8186,862xm5470,396l5265,396,5265,1411,5469,1411,5470,910,5498,900,5528,891,5561,885,5596,882,5893,882,5893,880,5872,812,5837,760,5789,725,5470,725,5470,396xm5893,882l5596,882,5644,888,5675,906,5691,938,5696,985,5695,1411,5900,1411,5900,963,5893,882xm5642,694l5594,697,5548,704,5506,713,5470,725,5789,725,5788,723,5723,701,5642,694xm4237,712l4033,712,4033,1153,4039,1227,4058,1289,4091,1339,4136,1377,4195,1403,4267,1419,4352,1424,4429,1421,4506,1413,4584,1398,4667,1379,4667,1238,4362,1238,4298,1231,4260,1211,4241,1178,4237,1133,4237,712xm4667,712l4463,712,4463,1227,4440,1232,4416,1235,4390,1237,4362,1238,4667,1238,4667,712xm2562,1163l2520,1360,2594,1387,2670,1407,2750,1420,2835,1425,2933,1417,3016,1395,3084,1360,3137,1313,3176,1258,3186,1230,2833,1230,2763,1225,2696,1212,2629,1191,2562,1163xm2897,443l2801,451,2718,472,2649,506,2595,551,2556,606,2532,667,2524,735,2534,819,2566,889,2620,944,2697,987,2724,997,2753,1008,2784,1018,2816,1028,2898,1055,2949,1079,2977,1104,2985,1137,2975,1177,2947,1206,2900,1224,2833,1230,3186,1230,3199,1195,3207,1127,3198,1053,3173,992,3133,942,3081,902,3018,872,2990,862,2960,852,2928,842,2896,833,2823,810,2776,788,2751,763,2743,730,2752,691,2779,664,2825,647,2893,642,3143,642,3174,498,3108,475,3041,458,2971,447,2897,443xm3143,642l2893,642,2955,646,3016,657,3074,673,3132,694,3143,642xm3615,691l3542,697,3473,716,3411,747,3357,790,3313,842,3279,905,3258,976,3251,1056,3258,1137,3279,1209,3312,1271,3357,1325,3411,1367,3473,1399,3541,1418,3615,1425,3689,1419,3757,1399,3819,1368,3873,1325,3917,1272,3939,1232,3615,1232,3554,1220,3504,1187,3471,1132,3459,1057,3459,1056,3471,982,3504,928,3553,895,3615,884,3940,884,3918,843,3873,790,3819,748,3758,717,3689,697,3615,691xm3940,884l3615,884,3677,895,3726,928,3758,982,3770,1056,3770,1057,3758,1132,3725,1187,3676,1221,3615,1232,3939,1232,3951,1209,3972,1137,3980,1057,3972,977,3951,905,3940,884xe" filled="true" fillcolor="#231f20" stroked="false">
              <v:path arrowok="t"/>
              <v:fill type="solid"/>
            </v:shape>
            <v:shape style="position:absolute;left:8680;top:437;width:176;height:177" type="#_x0000_t75" stroked="false">
              <v:imagedata r:id="rId7" o:title=""/>
            </v:shape>
            <w10:wrap type="topAndBottom"/>
          </v:group>
        </w:pict>
      </w:r>
      <w:r>
        <w:rPr>
          <w:color w:val="231F20"/>
          <w:sz w:val="20"/>
        </w:rPr>
        <w:t>Commission File No. 1-7259</w:t>
      </w:r>
    </w:p>
    <w:p>
      <w:pPr>
        <w:pStyle w:val="BodyText"/>
        <w:spacing w:before="10"/>
        <w:rPr>
          <w:sz w:val="7"/>
        </w:rPr>
      </w:pPr>
    </w:p>
    <w:p>
      <w:pPr>
        <w:spacing w:line="261" w:lineRule="exact" w:before="99"/>
        <w:ind w:left="0" w:right="0" w:firstLine="0"/>
        <w:jc w:val="center"/>
        <w:rPr>
          <w:b/>
          <w:sz w:val="24"/>
        </w:rPr>
      </w:pPr>
      <w:r>
        <w:rPr/>
        <w:pict>
          <v:group style="position:absolute;margin-left:442.373993pt;margin-top:-30.629864pt;width:25.65pt;height:24.6pt;mso-position-horizontal-relative:page;mso-position-vertical-relative:paragraph;z-index:-394264" coordorigin="8847,-613" coordsize="513,492">
            <v:shape style="position:absolute;left:8847;top:-613;width:513;height:491" type="#_x0000_t75" stroked="false">
              <v:imagedata r:id="rId8" o:title=""/>
            </v:shape>
            <v:shape style="position:absolute;left:8862;top:-487;width:338;height:349" type="#_x0000_t75" stroked="false">
              <v:imagedata r:id="rId9" o:title=""/>
            </v:shape>
            <v:shape style="position:absolute;left:8867;top:-598;width:468;height:363" type="#_x0000_t75" stroked="false">
              <v:imagedata r:id="rId10" o:title=""/>
            </v:shape>
            <v:shape style="position:absolute;left:9118;top:-598;width:227;height:170" type="#_x0000_t75" stroked="false">
              <v:imagedata r:id="rId11" o:title=""/>
            </v:shape>
            <v:shape style="position:absolute;left:8847;top:-613;width:513;height:491" type="#_x0000_t75" stroked="false">
              <v:imagedata r:id="rId12" o:title=""/>
            </v:shape>
            <v:shape style="position:absolute;left:8862;top:-487;width:338;height:349" type="#_x0000_t75" stroked="false">
              <v:imagedata r:id="rId13" o:title=""/>
            </v:shape>
            <v:shape style="position:absolute;left:8867;top:-598;width:468;height:363" type="#_x0000_t75" stroked="false">
              <v:imagedata r:id="rId14" o:title=""/>
            </v:shape>
            <v:shape style="position:absolute;left:9118;top:-598;width:227;height:170" type="#_x0000_t75" stroked="false">
              <v:imagedata r:id="rId15" o:title=""/>
            </v:shape>
            <w10:wrap type="none"/>
          </v:group>
        </w:pict>
      </w:r>
      <w:r>
        <w:rPr>
          <w:b/>
          <w:color w:val="231F20"/>
          <w:sz w:val="24"/>
        </w:rPr>
        <w:t>Southwest Airlines Co.</w:t>
      </w:r>
    </w:p>
    <w:p>
      <w:pPr>
        <w:spacing w:line="192" w:lineRule="exact" w:before="0"/>
        <w:ind w:left="0" w:right="0" w:firstLine="0"/>
        <w:jc w:val="center"/>
        <w:rPr>
          <w:sz w:val="18"/>
        </w:rPr>
      </w:pPr>
      <w:r>
        <w:rPr>
          <w:color w:val="231F20"/>
          <w:sz w:val="18"/>
        </w:rPr>
        <w:t>(Exact name of registrant as specified in its charter)</w:t>
      </w:r>
    </w:p>
    <w:p>
      <w:pPr>
        <w:tabs>
          <w:tab w:pos="5279" w:val="left" w:leader="none"/>
        </w:tabs>
        <w:spacing w:line="198" w:lineRule="exact" w:before="79"/>
        <w:ind w:left="94" w:right="0" w:firstLine="0"/>
        <w:jc w:val="center"/>
        <w:rPr>
          <w:sz w:val="18"/>
        </w:rPr>
      </w:pPr>
      <w:r>
        <w:rPr>
          <w:color w:val="231F20"/>
          <w:sz w:val="18"/>
        </w:rPr>
        <w:t>TEXAS</w:t>
        <w:tab/>
        <w:t>74-1563240</w:t>
      </w:r>
    </w:p>
    <w:p>
      <w:pPr>
        <w:tabs>
          <w:tab w:pos="7491" w:val="left" w:leader="none"/>
        </w:tabs>
        <w:spacing w:line="190" w:lineRule="exact" w:before="0"/>
        <w:ind w:left="1665"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369" w:val="left" w:leader="none"/>
        </w:tabs>
        <w:spacing w:line="190" w:lineRule="exact" w:before="0"/>
        <w:ind w:left="1625" w:right="0" w:firstLine="0"/>
        <w:jc w:val="left"/>
        <w:rPr>
          <w:sz w:val="18"/>
        </w:rPr>
      </w:pPr>
      <w:r>
        <w:rPr>
          <w:color w:val="231F20"/>
          <w:sz w:val="18"/>
        </w:rPr>
        <w:t>incorporation or organization)</w:t>
        <w:tab/>
        <w:t>Identification No.)</w:t>
      </w:r>
    </w:p>
    <w:p>
      <w:pPr>
        <w:spacing w:line="190" w:lineRule="exact" w:before="0"/>
        <w:ind w:left="2130" w:right="0" w:firstLine="0"/>
        <w:jc w:val="left"/>
        <w:rPr>
          <w:sz w:val="18"/>
        </w:rPr>
      </w:pPr>
      <w:r>
        <w:rPr>
          <w:color w:val="231F20"/>
          <w:sz w:val="18"/>
        </w:rPr>
        <w:t>P.O. Box 36611</w:t>
      </w:r>
    </w:p>
    <w:p>
      <w:pPr>
        <w:tabs>
          <w:tab w:pos="5384" w:val="left" w:leader="none"/>
        </w:tabs>
        <w:spacing w:line="190" w:lineRule="exact" w:before="0"/>
        <w:ind w:left="0" w:right="103" w:firstLine="0"/>
        <w:jc w:val="center"/>
        <w:rPr>
          <w:sz w:val="18"/>
        </w:rPr>
      </w:pPr>
      <w:r>
        <w:rPr>
          <w:color w:val="231F20"/>
          <w:sz w:val="18"/>
        </w:rPr>
        <w:t>Dallas, Texas</w:t>
        <w:tab/>
        <w:t>75235-1611</w:t>
      </w:r>
    </w:p>
    <w:p>
      <w:pPr>
        <w:tabs>
          <w:tab w:pos="7641" w:val="left" w:leader="none"/>
        </w:tabs>
        <w:spacing w:line="331" w:lineRule="auto" w:before="0"/>
        <w:ind w:left="2935" w:right="2361" w:hanging="1655"/>
        <w:jc w:val="left"/>
        <w:rPr>
          <w:b/>
          <w:sz w:val="18"/>
        </w:rPr>
      </w:pPr>
      <w:r>
        <w:rPr/>
        <w:pict>
          <v:line style="position:absolute;mso-position-horizontal-relative:page;mso-position-vertical-relative:paragraph;z-index:1072;mso-wrap-distance-left:0;mso-wrap-distance-right:0" from="249pt,33.000233pt" to="345pt,33.000233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89"/>
        <w:ind w:left="0" w:right="0" w:firstLine="0"/>
        <w:jc w:val="center"/>
        <w:rPr>
          <w:b/>
          <w:sz w:val="18"/>
        </w:rPr>
      </w:pPr>
      <w:r>
        <w:rPr>
          <w:b/>
          <w:color w:val="231F20"/>
          <w:sz w:val="18"/>
        </w:rPr>
        <w:t>Securities registered pursuant to Section 12(b) of the Act:</w:t>
      </w:r>
    </w:p>
    <w:p>
      <w:pPr>
        <w:tabs>
          <w:tab w:pos="6374" w:val="left" w:leader="none"/>
        </w:tabs>
        <w:spacing w:before="69" w:after="21"/>
        <w:ind w:left="1846"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590" w:val="left" w:leader="none"/>
        </w:tabs>
        <w:spacing w:line="20" w:lineRule="exact"/>
        <w:ind w:left="110" w:right="0" w:firstLine="0"/>
        <w:rPr>
          <w:sz w:val="2"/>
        </w:rPr>
      </w:pP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r>
        <w:rPr>
          <w:sz w:val="2"/>
        </w:rPr>
        <w:tab/>
      </w: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p>
    <w:p>
      <w:pPr>
        <w:tabs>
          <w:tab w:pos="7156" w:val="left" w:leader="none"/>
        </w:tabs>
        <w:spacing w:before="22"/>
        <w:ind w:left="145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31" w:lineRule="auto" w:before="79"/>
        <w:ind w:left="3199" w:right="3198" w:firstLine="0"/>
        <w:jc w:val="center"/>
        <w:rPr>
          <w:b/>
          <w:sz w:val="18"/>
        </w:rPr>
      </w:pPr>
      <w:r>
        <w:rPr>
          <w:b/>
          <w:color w:val="231F20"/>
          <w:sz w:val="18"/>
        </w:rPr>
        <w:t>Securities registered pursuant to Section 12(g) of the Act: None</w:t>
      </w:r>
    </w:p>
    <w:p>
      <w:pPr>
        <w:spacing w:line="210" w:lineRule="exact" w:before="0"/>
        <w:ind w:left="659"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59"/>
        <w:ind w:left="659" w:right="0" w:firstLine="0"/>
        <w:jc w:val="lef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94"/>
        <w:ind w:left="119" w:right="164" w:firstLine="540"/>
        <w:jc w:val="left"/>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5"/>
        <w:ind w:left="119" w:right="213" w:firstLine="540"/>
        <w:jc w:val="left"/>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5"/>
        <w:ind w:left="119" w:right="343" w:firstLine="540"/>
        <w:jc w:val="left"/>
        <w:rPr>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w:t>
      </w:r>
    </w:p>
    <w:p>
      <w:pPr>
        <w:spacing w:line="191" w:lineRule="exact" w:before="0"/>
        <w:ind w:left="119" w:right="0" w:firstLine="0"/>
        <w:jc w:val="left"/>
        <w:rPr>
          <w:rFonts w:ascii="39251" w:hAnsi="39251"/>
          <w:sz w:val="18"/>
        </w:rPr>
      </w:pPr>
      <w:r>
        <w:rPr>
          <w:color w:val="231F20"/>
          <w:sz w:val="18"/>
        </w:rPr>
        <w:t>Form 10-K or any amendment to this Form 10-K.   </w:t>
      </w:r>
      <w:r>
        <w:rPr>
          <w:rFonts w:ascii="39251" w:hAnsi="39251"/>
          <w:color w:val="231F20"/>
          <w:sz w:val="18"/>
        </w:rPr>
        <w:t>Í</w:t>
      </w:r>
    </w:p>
    <w:p>
      <w:pPr>
        <w:spacing w:line="190" w:lineRule="exact" w:before="95"/>
        <w:ind w:left="119" w:right="126" w:firstLine="540"/>
        <w:jc w:val="left"/>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499" w:val="left" w:leader="none"/>
          <w:tab w:pos="4484" w:val="left" w:leader="none"/>
          <w:tab w:pos="6789" w:val="left" w:leader="none"/>
          <w:tab w:pos="7289" w:val="left" w:leader="none"/>
          <w:tab w:pos="9619" w:val="left" w:leader="none"/>
        </w:tabs>
        <w:spacing w:before="70"/>
        <w:ind w:left="519" w:right="0" w:firstLine="0"/>
        <w:jc w:val="center"/>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59"/>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94"/>
        <w:ind w:left="119" w:right="148" w:firstLine="540"/>
        <w:jc w:val="both"/>
        <w:rPr>
          <w:sz w:val="18"/>
        </w:rPr>
      </w:pPr>
      <w:r>
        <w:rPr>
          <w:color w:val="231F20"/>
          <w:sz w:val="18"/>
        </w:rPr>
        <w:t>The aggregate market value of the common stock held by non-affiliates of the registrant was approximately $21,774,060,585 computed by reference to the closing sale price of the common stock on the New York Stock Exchange on June 30, 2015, the last trading day of the registrant’s most recently completed second fiscal quarter.</w:t>
      </w:r>
    </w:p>
    <w:p>
      <w:pPr>
        <w:spacing w:before="79"/>
        <w:ind w:left="119" w:right="0" w:firstLine="0"/>
        <w:jc w:val="left"/>
        <w:rPr>
          <w:sz w:val="18"/>
        </w:rPr>
      </w:pPr>
      <w:r>
        <w:rPr>
          <w:color w:val="231F20"/>
          <w:sz w:val="18"/>
        </w:rPr>
        <w:t>Number of shares of common stock outstanding as of the close of business on January 29, 2016: 638,070,032 shares</w:t>
      </w:r>
    </w:p>
    <w:p>
      <w:pPr>
        <w:spacing w:before="78"/>
        <w:ind w:left="94" w:right="95" w:firstLine="0"/>
        <w:jc w:val="center"/>
        <w:rPr>
          <w:b/>
          <w:sz w:val="18"/>
        </w:rPr>
      </w:pPr>
      <w:r>
        <w:rPr>
          <w:b/>
          <w:color w:val="231F20"/>
          <w:sz w:val="18"/>
        </w:rPr>
        <w:t>DOCUMENTS INCORPORATED BY REFERENCE</w:t>
      </w:r>
    </w:p>
    <w:p>
      <w:pPr>
        <w:spacing w:line="190" w:lineRule="exact" w:before="46"/>
        <w:ind w:left="119" w:right="183" w:firstLine="540"/>
        <w:jc w:val="left"/>
        <w:rPr>
          <w:sz w:val="18"/>
        </w:rPr>
      </w:pPr>
      <w:r>
        <w:rPr/>
        <w:pict>
          <v:group style="position:absolute;margin-left:32.75pt;margin-top:25.395802pt;width:528.5pt;height:3.5pt;mso-position-horizontal-relative:page;mso-position-vertical-relative:paragraph;z-index:1144;mso-wrap-distance-left:0;mso-wrap-distance-right:0" coordorigin="655,508" coordsize="10570,70">
            <v:line style="position:absolute" from="660,513" to="11220,513" stroked="true" strokeweight=".5pt" strokecolor="#231f20">
              <v:stroke dashstyle="solid"/>
            </v:line>
            <v:line style="position:absolute" from="660,573" to="11220,573" stroked="true" strokeweight=".5pt" strokecolor="#231f20">
              <v:stroke dashstyle="solid"/>
            </v:line>
            <w10:wrap type="topAndBottom"/>
          </v:group>
        </w:pict>
      </w:r>
      <w:r>
        <w:rPr>
          <w:color w:val="231F20"/>
          <w:sz w:val="18"/>
        </w:rPr>
        <w:t>Portions of the Definitive Proxy Statement for the Company’s Annual Meeting of Shareholders to be held May 18, 2016, are incorporated into Part III of this Annual Report on Form 10-K.</w:t>
      </w:r>
    </w:p>
    <w:p>
      <w:pPr>
        <w:spacing w:after="0" w:line="190" w:lineRule="exact"/>
        <w:jc w:val="left"/>
        <w:rPr>
          <w:sz w:val="18"/>
        </w:rPr>
        <w:sectPr>
          <w:type w:val="continuous"/>
          <w:pgSz w:w="11880" w:h="15480"/>
          <w:pgMar w:top="1260" w:bottom="280" w:left="540" w:right="540"/>
        </w:sectPr>
      </w:pPr>
    </w:p>
    <w:p>
      <w:pPr>
        <w:pStyle w:val="BodyText"/>
        <w:spacing w:before="4"/>
        <w:rPr>
          <w:sz w:val="17"/>
        </w:rPr>
      </w:pPr>
    </w:p>
    <w:p>
      <w:pPr>
        <w:spacing w:after="0"/>
        <w:rPr>
          <w:sz w:val="17"/>
        </w:rPr>
        <w:sectPr>
          <w:pgSz w:w="11880" w:h="15480"/>
          <w:pgMar w:top="1460" w:bottom="280" w:left="1680" w:right="1680"/>
        </w:sectPr>
      </w:pPr>
    </w:p>
    <w:p>
      <w:pPr>
        <w:spacing w:before="73"/>
        <w:ind w:left="3622" w:right="3620" w:firstLine="0"/>
        <w:jc w:val="center"/>
        <w:rPr>
          <w:b/>
          <w:sz w:val="20"/>
        </w:rPr>
      </w:pP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8"/>
        <w:gridCol w:w="3551"/>
        <w:gridCol w:w="4257"/>
        <w:gridCol w:w="484"/>
      </w:tblGrid>
      <w:tr>
        <w:trPr>
          <w:trHeight w:val="268" w:hRule="exact"/>
        </w:trPr>
        <w:tc>
          <w:tcPr>
            <w:tcW w:w="4479" w:type="dxa"/>
            <w:gridSpan w:val="2"/>
          </w:tcPr>
          <w:p>
            <w:pPr/>
          </w:p>
        </w:tc>
        <w:tc>
          <w:tcPr>
            <w:tcW w:w="4257" w:type="dxa"/>
          </w:tcPr>
          <w:p>
            <w:pPr>
              <w:pStyle w:val="TableParagraph"/>
              <w:spacing w:line="229" w:lineRule="exact" w:before="0"/>
              <w:rPr>
                <w:b/>
                <w:sz w:val="20"/>
              </w:rPr>
            </w:pPr>
            <w:r>
              <w:rPr>
                <w:b/>
                <w:color w:val="231F20"/>
                <w:sz w:val="20"/>
              </w:rPr>
              <w:t>PART 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w:t>
            </w:r>
          </w:p>
        </w:tc>
        <w:tc>
          <w:tcPr>
            <w:tcW w:w="3551" w:type="dxa"/>
          </w:tcPr>
          <w:p>
            <w:pPr>
              <w:pStyle w:val="TableParagraph"/>
              <w:spacing w:before="51"/>
              <w:ind w:left="33"/>
              <w:rPr>
                <w:sz w:val="20"/>
              </w:rPr>
            </w:pPr>
            <w:r>
              <w:rPr>
                <w:color w:val="231F20"/>
                <w:sz w:val="20"/>
              </w:rPr>
              <w:t>Business</w:t>
            </w:r>
          </w:p>
        </w:tc>
        <w:tc>
          <w:tcPr>
            <w:tcW w:w="4257"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928" w:type="dxa"/>
          </w:tcPr>
          <w:p>
            <w:pPr>
              <w:pStyle w:val="TableParagraph"/>
              <w:spacing w:before="1"/>
              <w:ind w:left="50"/>
              <w:rPr>
                <w:sz w:val="20"/>
              </w:rPr>
            </w:pPr>
            <w:r>
              <w:rPr>
                <w:color w:val="231F20"/>
                <w:sz w:val="20"/>
              </w:rPr>
              <w:t>Item 1A.</w:t>
            </w:r>
          </w:p>
        </w:tc>
        <w:tc>
          <w:tcPr>
            <w:tcW w:w="3551" w:type="dxa"/>
          </w:tcPr>
          <w:p>
            <w:pPr>
              <w:pStyle w:val="TableParagraph"/>
              <w:spacing w:before="21"/>
              <w:ind w:left="33"/>
              <w:rPr>
                <w:sz w:val="20"/>
              </w:rPr>
            </w:pPr>
            <w:r>
              <w:rPr>
                <w:color w:val="231F20"/>
                <w:sz w:val="20"/>
              </w:rPr>
              <w:t>Risk Factors</w:t>
            </w:r>
          </w:p>
        </w:tc>
        <w:tc>
          <w:tcPr>
            <w:tcW w:w="4257" w:type="dxa"/>
          </w:tcPr>
          <w:p>
            <w:pPr/>
          </w:p>
        </w:tc>
        <w:tc>
          <w:tcPr>
            <w:tcW w:w="484" w:type="dxa"/>
          </w:tcPr>
          <w:p>
            <w:pPr>
              <w:pStyle w:val="TableParagraph"/>
              <w:spacing w:before="21"/>
              <w:ind w:right="48"/>
              <w:jc w:val="right"/>
              <w:rPr>
                <w:sz w:val="20"/>
              </w:rPr>
            </w:pPr>
            <w:r>
              <w:rPr>
                <w:color w:val="231F20"/>
                <w:sz w:val="20"/>
              </w:rPr>
              <w:t>20</w:t>
            </w:r>
          </w:p>
        </w:tc>
      </w:tr>
      <w:tr>
        <w:trPr>
          <w:trHeight w:val="260" w:hRule="exact"/>
        </w:trPr>
        <w:tc>
          <w:tcPr>
            <w:tcW w:w="928" w:type="dxa"/>
          </w:tcPr>
          <w:p>
            <w:pPr>
              <w:pStyle w:val="TableParagraph"/>
              <w:spacing w:before="1"/>
              <w:ind w:left="50"/>
              <w:rPr>
                <w:sz w:val="20"/>
              </w:rPr>
            </w:pPr>
            <w:r>
              <w:rPr>
                <w:color w:val="231F20"/>
                <w:sz w:val="20"/>
              </w:rPr>
              <w:t>Item 1B.</w:t>
            </w:r>
          </w:p>
        </w:tc>
        <w:tc>
          <w:tcPr>
            <w:tcW w:w="3551" w:type="dxa"/>
          </w:tcPr>
          <w:p>
            <w:pPr>
              <w:pStyle w:val="TableParagraph"/>
              <w:spacing w:before="21"/>
              <w:ind w:left="33"/>
              <w:rPr>
                <w:sz w:val="20"/>
              </w:rPr>
            </w:pPr>
            <w:r>
              <w:rPr>
                <w:color w:val="231F20"/>
                <w:sz w:val="20"/>
              </w:rPr>
              <w:t>Unresolved Staff Comments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2.</w:t>
            </w:r>
          </w:p>
        </w:tc>
        <w:tc>
          <w:tcPr>
            <w:tcW w:w="3551" w:type="dxa"/>
          </w:tcPr>
          <w:p>
            <w:pPr>
              <w:pStyle w:val="TableParagraph"/>
              <w:spacing w:before="21"/>
              <w:ind w:left="33"/>
              <w:rPr>
                <w:sz w:val="20"/>
              </w:rPr>
            </w:pPr>
            <w:r>
              <w:rPr>
                <w:color w:val="231F20"/>
                <w:sz w:val="20"/>
              </w:rPr>
              <w:t>Properties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3.</w:t>
            </w:r>
          </w:p>
        </w:tc>
        <w:tc>
          <w:tcPr>
            <w:tcW w:w="3551" w:type="dxa"/>
          </w:tcPr>
          <w:p>
            <w:pPr>
              <w:pStyle w:val="TableParagraph"/>
              <w:spacing w:before="21"/>
              <w:ind w:left="33"/>
              <w:rPr>
                <w:sz w:val="20"/>
              </w:rPr>
            </w:pPr>
            <w:r>
              <w:rPr>
                <w:color w:val="231F20"/>
                <w:sz w:val="20"/>
              </w:rPr>
              <w:t>Legal Proceedings</w:t>
            </w:r>
          </w:p>
        </w:tc>
        <w:tc>
          <w:tcPr>
            <w:tcW w:w="4257" w:type="dxa"/>
          </w:tcPr>
          <w:p>
            <w:pPr/>
          </w:p>
        </w:tc>
        <w:tc>
          <w:tcPr>
            <w:tcW w:w="484" w:type="dxa"/>
          </w:tcPr>
          <w:p>
            <w:pPr>
              <w:pStyle w:val="TableParagraph"/>
              <w:spacing w:before="21"/>
              <w:ind w:right="48"/>
              <w:jc w:val="right"/>
              <w:rPr>
                <w:sz w:val="20"/>
              </w:rPr>
            </w:pPr>
            <w:r>
              <w:rPr>
                <w:color w:val="231F20"/>
                <w:sz w:val="20"/>
              </w:rPr>
              <w:t>33</w:t>
            </w:r>
          </w:p>
        </w:tc>
      </w:tr>
      <w:tr>
        <w:trPr>
          <w:trHeight w:val="387" w:hRule="exact"/>
        </w:trPr>
        <w:tc>
          <w:tcPr>
            <w:tcW w:w="928" w:type="dxa"/>
          </w:tcPr>
          <w:p>
            <w:pPr>
              <w:pStyle w:val="TableParagraph"/>
              <w:spacing w:before="1"/>
              <w:ind w:left="50"/>
              <w:rPr>
                <w:sz w:val="20"/>
              </w:rPr>
            </w:pPr>
            <w:r>
              <w:rPr>
                <w:color w:val="231F20"/>
                <w:sz w:val="20"/>
              </w:rPr>
              <w:t>Item 4.</w:t>
            </w:r>
          </w:p>
        </w:tc>
        <w:tc>
          <w:tcPr>
            <w:tcW w:w="3551" w:type="dxa"/>
          </w:tcPr>
          <w:p>
            <w:pPr>
              <w:pStyle w:val="TableParagraph"/>
              <w:spacing w:before="21"/>
              <w:ind w:left="33"/>
              <w:rPr>
                <w:sz w:val="20"/>
              </w:rPr>
            </w:pPr>
            <w:r>
              <w:rPr>
                <w:color w:val="231F20"/>
                <w:sz w:val="20"/>
              </w:rPr>
              <w:t>Mine Safety Disclosures</w:t>
            </w:r>
          </w:p>
        </w:tc>
        <w:tc>
          <w:tcPr>
            <w:tcW w:w="4257" w:type="dxa"/>
          </w:tcPr>
          <w:p>
            <w:pPr/>
          </w:p>
        </w:tc>
        <w:tc>
          <w:tcPr>
            <w:tcW w:w="484" w:type="dxa"/>
          </w:tcPr>
          <w:p>
            <w:pPr>
              <w:pStyle w:val="TableParagraph"/>
              <w:spacing w:before="21"/>
              <w:ind w:right="48"/>
              <w:jc w:val="right"/>
              <w:rPr>
                <w:sz w:val="20"/>
              </w:rPr>
            </w:pPr>
            <w:r>
              <w:rPr>
                <w:color w:val="231F20"/>
                <w:sz w:val="20"/>
              </w:rPr>
              <w:t>35</w:t>
            </w:r>
          </w:p>
        </w:tc>
      </w:tr>
      <w:tr>
        <w:trPr>
          <w:trHeight w:val="403" w:hRule="exact"/>
        </w:trPr>
        <w:tc>
          <w:tcPr>
            <w:tcW w:w="928" w:type="dxa"/>
          </w:tcPr>
          <w:p>
            <w:pPr/>
          </w:p>
        </w:tc>
        <w:tc>
          <w:tcPr>
            <w:tcW w:w="7808" w:type="dxa"/>
            <w:gridSpan w:val="2"/>
          </w:tcPr>
          <w:p>
            <w:pPr>
              <w:pStyle w:val="TableParagraph"/>
              <w:spacing w:before="134"/>
              <w:ind w:left="3454" w:right="3485"/>
              <w:jc w:val="center"/>
              <w:rPr>
                <w:b/>
                <w:sz w:val="20"/>
              </w:rPr>
            </w:pPr>
            <w:r>
              <w:rPr>
                <w:b/>
                <w:color w:val="231F20"/>
                <w:sz w:val="20"/>
              </w:rPr>
              <w:t>PART II</w:t>
            </w:r>
          </w:p>
        </w:tc>
        <w:tc>
          <w:tcPr>
            <w:tcW w:w="484" w:type="dxa"/>
          </w:tcPr>
          <w:p>
            <w:pPr/>
          </w:p>
        </w:tc>
      </w:tr>
      <w:tr>
        <w:trPr>
          <w:trHeight w:val="300" w:hRule="exact"/>
        </w:trPr>
        <w:tc>
          <w:tcPr>
            <w:tcW w:w="928" w:type="dxa"/>
          </w:tcPr>
          <w:p>
            <w:pPr>
              <w:pStyle w:val="TableParagraph"/>
              <w:spacing w:before="31"/>
              <w:ind w:left="50"/>
              <w:rPr>
                <w:sz w:val="20"/>
              </w:rPr>
            </w:pPr>
            <w:r>
              <w:rPr>
                <w:color w:val="231F20"/>
                <w:sz w:val="20"/>
              </w:rPr>
              <w:t>Item 5.</w:t>
            </w:r>
          </w:p>
        </w:tc>
        <w:tc>
          <w:tcPr>
            <w:tcW w:w="7808" w:type="dxa"/>
            <w:gridSpan w:val="2"/>
          </w:tcPr>
          <w:p>
            <w:pPr>
              <w:pStyle w:val="TableParagraph"/>
              <w:spacing w:before="51"/>
              <w:ind w:left="33"/>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37</w:t>
            </w:r>
          </w:p>
        </w:tc>
      </w:tr>
      <w:tr>
        <w:trPr>
          <w:trHeight w:val="260" w:hRule="exact"/>
        </w:trPr>
        <w:tc>
          <w:tcPr>
            <w:tcW w:w="928" w:type="dxa"/>
          </w:tcPr>
          <w:p>
            <w:pPr>
              <w:pStyle w:val="TableParagraph"/>
              <w:spacing w:before="1"/>
              <w:ind w:left="50"/>
              <w:rPr>
                <w:sz w:val="20"/>
              </w:rPr>
            </w:pPr>
            <w:r>
              <w:rPr>
                <w:color w:val="231F20"/>
                <w:sz w:val="20"/>
              </w:rPr>
              <w:t>Item 6.</w:t>
            </w:r>
          </w:p>
        </w:tc>
        <w:tc>
          <w:tcPr>
            <w:tcW w:w="7808" w:type="dxa"/>
            <w:gridSpan w:val="2"/>
          </w:tcPr>
          <w:p>
            <w:pPr>
              <w:pStyle w:val="TableParagraph"/>
              <w:spacing w:before="21"/>
              <w:ind w:left="33"/>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39</w:t>
            </w:r>
          </w:p>
        </w:tc>
      </w:tr>
      <w:tr>
        <w:trPr>
          <w:trHeight w:val="270" w:hRule="exact"/>
        </w:trPr>
        <w:tc>
          <w:tcPr>
            <w:tcW w:w="928" w:type="dxa"/>
          </w:tcPr>
          <w:p>
            <w:pPr>
              <w:pStyle w:val="TableParagraph"/>
              <w:spacing w:before="1"/>
              <w:ind w:left="50"/>
              <w:rPr>
                <w:sz w:val="20"/>
              </w:rPr>
            </w:pPr>
            <w:r>
              <w:rPr>
                <w:color w:val="231F20"/>
                <w:sz w:val="20"/>
              </w:rPr>
              <w:t>Item 7.</w:t>
            </w:r>
          </w:p>
        </w:tc>
        <w:tc>
          <w:tcPr>
            <w:tcW w:w="7808" w:type="dxa"/>
            <w:gridSpan w:val="2"/>
          </w:tcPr>
          <w:p>
            <w:pPr>
              <w:pStyle w:val="TableParagraph"/>
              <w:spacing w:before="21"/>
              <w:ind w:left="33"/>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42</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57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59</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63</w:t>
            </w:r>
          </w:p>
        </w:tc>
      </w:tr>
      <w:tr>
        <w:trPr>
          <w:trHeight w:val="260" w:hRule="exact"/>
        </w:trPr>
        <w:tc>
          <w:tcPr>
            <w:tcW w:w="928" w:type="dxa"/>
          </w:tcPr>
          <w:p>
            <w:pPr>
              <w:pStyle w:val="TableParagraph"/>
              <w:spacing w:before="1"/>
              <w:ind w:left="50"/>
              <w:rPr>
                <w:sz w:val="20"/>
              </w:rPr>
            </w:pPr>
            <w:r>
              <w:rPr>
                <w:color w:val="231F20"/>
                <w:sz w:val="20"/>
              </w:rPr>
              <w:t>Item 7A.</w:t>
            </w:r>
          </w:p>
        </w:tc>
        <w:tc>
          <w:tcPr>
            <w:tcW w:w="7808" w:type="dxa"/>
            <w:gridSpan w:val="2"/>
          </w:tcPr>
          <w:p>
            <w:pPr>
              <w:pStyle w:val="TableParagraph"/>
              <w:spacing w:before="21"/>
              <w:ind w:left="33"/>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71</w:t>
            </w:r>
          </w:p>
        </w:tc>
      </w:tr>
      <w:tr>
        <w:trPr>
          <w:trHeight w:val="270" w:hRule="exact"/>
        </w:trPr>
        <w:tc>
          <w:tcPr>
            <w:tcW w:w="928" w:type="dxa"/>
          </w:tcPr>
          <w:p>
            <w:pPr>
              <w:pStyle w:val="TableParagraph"/>
              <w:spacing w:before="1"/>
              <w:ind w:left="50"/>
              <w:rPr>
                <w:sz w:val="20"/>
              </w:rPr>
            </w:pPr>
            <w:r>
              <w:rPr>
                <w:color w:val="231F20"/>
                <w:sz w:val="20"/>
              </w:rPr>
              <w:t>Item 8.</w:t>
            </w:r>
          </w:p>
        </w:tc>
        <w:tc>
          <w:tcPr>
            <w:tcW w:w="7808" w:type="dxa"/>
            <w:gridSpan w:val="2"/>
          </w:tcPr>
          <w:p>
            <w:pPr>
              <w:pStyle w:val="TableParagraph"/>
              <w:spacing w:before="21"/>
              <w:ind w:left="33"/>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76</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76</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78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79</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80</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81</w:t>
            </w:r>
          </w:p>
        </w:tc>
      </w:tr>
      <w:tr>
        <w:trPr>
          <w:trHeight w:val="260" w:hRule="exact"/>
        </w:trPr>
        <w:tc>
          <w:tcPr>
            <w:tcW w:w="928" w:type="dxa"/>
          </w:tcPr>
          <w:p>
            <w:pPr>
              <w:pStyle w:val="TableParagraph"/>
              <w:spacing w:before="1"/>
              <w:ind w:left="50"/>
              <w:rPr>
                <w:sz w:val="20"/>
              </w:rPr>
            </w:pPr>
            <w:r>
              <w:rPr>
                <w:color w:val="231F20"/>
                <w:sz w:val="20"/>
              </w:rPr>
              <w:t>Item 9.</w:t>
            </w:r>
          </w:p>
        </w:tc>
        <w:tc>
          <w:tcPr>
            <w:tcW w:w="7808" w:type="dxa"/>
            <w:gridSpan w:val="2"/>
          </w:tcPr>
          <w:p>
            <w:pPr>
              <w:pStyle w:val="TableParagraph"/>
              <w:spacing w:before="21"/>
              <w:ind w:left="33"/>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125</w:t>
            </w:r>
          </w:p>
        </w:tc>
      </w:tr>
      <w:tr>
        <w:trPr>
          <w:trHeight w:val="260" w:hRule="exact"/>
        </w:trPr>
        <w:tc>
          <w:tcPr>
            <w:tcW w:w="928" w:type="dxa"/>
          </w:tcPr>
          <w:p>
            <w:pPr>
              <w:pStyle w:val="TableParagraph"/>
              <w:spacing w:before="1"/>
              <w:ind w:left="50"/>
              <w:rPr>
                <w:sz w:val="20"/>
              </w:rPr>
            </w:pPr>
            <w:r>
              <w:rPr>
                <w:color w:val="231F20"/>
                <w:sz w:val="20"/>
              </w:rPr>
              <w:t>Item 9A.</w:t>
            </w:r>
          </w:p>
        </w:tc>
        <w:tc>
          <w:tcPr>
            <w:tcW w:w="7808" w:type="dxa"/>
            <w:gridSpan w:val="2"/>
          </w:tcPr>
          <w:p>
            <w:pPr>
              <w:pStyle w:val="TableParagraph"/>
              <w:spacing w:before="21"/>
              <w:ind w:left="33"/>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125</w:t>
            </w:r>
          </w:p>
        </w:tc>
      </w:tr>
      <w:tr>
        <w:trPr>
          <w:trHeight w:val="252" w:hRule="exact"/>
        </w:trPr>
        <w:tc>
          <w:tcPr>
            <w:tcW w:w="928" w:type="dxa"/>
          </w:tcPr>
          <w:p>
            <w:pPr>
              <w:pStyle w:val="TableParagraph"/>
              <w:spacing w:before="1"/>
              <w:ind w:left="50"/>
              <w:rPr>
                <w:sz w:val="20"/>
              </w:rPr>
            </w:pPr>
            <w:r>
              <w:rPr>
                <w:color w:val="231F20"/>
                <w:sz w:val="20"/>
              </w:rPr>
              <w:t>Item 9B.</w:t>
            </w:r>
          </w:p>
        </w:tc>
        <w:tc>
          <w:tcPr>
            <w:tcW w:w="7808" w:type="dxa"/>
            <w:gridSpan w:val="2"/>
          </w:tcPr>
          <w:p>
            <w:pPr>
              <w:pStyle w:val="TableParagraph"/>
              <w:spacing w:before="21"/>
              <w:ind w:left="33"/>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126</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5"/>
              <w:jc w:val="center"/>
              <w:rPr>
                <w:b/>
                <w:sz w:val="20"/>
              </w:rPr>
            </w:pPr>
            <w:r>
              <w:rPr>
                <w:b/>
                <w:color w:val="231F20"/>
                <w:sz w:val="20"/>
              </w:rPr>
              <w:t>PART III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10.</w:t>
            </w:r>
          </w:p>
        </w:tc>
        <w:tc>
          <w:tcPr>
            <w:tcW w:w="7808" w:type="dxa"/>
            <w:gridSpan w:val="2"/>
          </w:tcPr>
          <w:p>
            <w:pPr>
              <w:pStyle w:val="TableParagraph"/>
              <w:spacing w:before="51"/>
              <w:ind w:left="33"/>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127</w:t>
            </w:r>
          </w:p>
        </w:tc>
      </w:tr>
      <w:tr>
        <w:trPr>
          <w:trHeight w:val="530" w:hRule="exact"/>
        </w:trPr>
        <w:tc>
          <w:tcPr>
            <w:tcW w:w="928"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08" w:type="dxa"/>
            <w:gridSpan w:val="2"/>
          </w:tcPr>
          <w:p>
            <w:pPr>
              <w:pStyle w:val="TableParagraph"/>
              <w:spacing w:before="21"/>
              <w:ind w:left="33"/>
              <w:rPr>
                <w:sz w:val="20"/>
              </w:rPr>
            </w:pPr>
            <w:r>
              <w:rPr>
                <w:color w:val="231F20"/>
                <w:sz w:val="20"/>
              </w:rPr>
              <w:t>Executive Compensation</w:t>
            </w:r>
          </w:p>
          <w:p>
            <w:pPr>
              <w:pStyle w:val="TableParagraph"/>
              <w:spacing w:before="29"/>
              <w:ind w:left="33"/>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127</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127</w:t>
            </w:r>
          </w:p>
        </w:tc>
      </w:tr>
      <w:tr>
        <w:trPr>
          <w:trHeight w:val="260" w:hRule="exact"/>
        </w:trPr>
        <w:tc>
          <w:tcPr>
            <w:tcW w:w="928" w:type="dxa"/>
          </w:tcPr>
          <w:p>
            <w:pPr>
              <w:pStyle w:val="TableParagraph"/>
              <w:spacing w:before="1"/>
              <w:ind w:left="50"/>
              <w:rPr>
                <w:sz w:val="20"/>
              </w:rPr>
            </w:pPr>
            <w:r>
              <w:rPr>
                <w:color w:val="231F20"/>
                <w:sz w:val="20"/>
              </w:rPr>
              <w:t>Item 13.</w:t>
            </w:r>
          </w:p>
        </w:tc>
        <w:tc>
          <w:tcPr>
            <w:tcW w:w="7808" w:type="dxa"/>
            <w:gridSpan w:val="2"/>
          </w:tcPr>
          <w:p>
            <w:pPr>
              <w:pStyle w:val="TableParagraph"/>
              <w:spacing w:before="21"/>
              <w:ind w:left="33"/>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128</w:t>
            </w:r>
          </w:p>
        </w:tc>
      </w:tr>
      <w:tr>
        <w:trPr>
          <w:trHeight w:val="252" w:hRule="exact"/>
        </w:trPr>
        <w:tc>
          <w:tcPr>
            <w:tcW w:w="928" w:type="dxa"/>
          </w:tcPr>
          <w:p>
            <w:pPr>
              <w:pStyle w:val="TableParagraph"/>
              <w:spacing w:before="1"/>
              <w:ind w:left="50"/>
              <w:rPr>
                <w:sz w:val="20"/>
              </w:rPr>
            </w:pPr>
            <w:r>
              <w:rPr>
                <w:color w:val="231F20"/>
                <w:sz w:val="20"/>
              </w:rPr>
              <w:t>Item 14.</w:t>
            </w:r>
          </w:p>
        </w:tc>
        <w:tc>
          <w:tcPr>
            <w:tcW w:w="7808" w:type="dxa"/>
            <w:gridSpan w:val="2"/>
          </w:tcPr>
          <w:p>
            <w:pPr>
              <w:pStyle w:val="TableParagraph"/>
              <w:spacing w:before="21"/>
              <w:ind w:left="33"/>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128</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4"/>
              <w:jc w:val="center"/>
              <w:rPr>
                <w:b/>
                <w:sz w:val="20"/>
              </w:rPr>
            </w:pPr>
            <w:r>
              <w:rPr>
                <w:b/>
                <w:color w:val="231F20"/>
                <w:sz w:val="20"/>
              </w:rPr>
              <w:t>PART IV</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15.</w:t>
            </w:r>
          </w:p>
        </w:tc>
        <w:tc>
          <w:tcPr>
            <w:tcW w:w="3551" w:type="dxa"/>
          </w:tcPr>
          <w:p>
            <w:pPr>
              <w:pStyle w:val="TableParagraph"/>
              <w:spacing w:before="51"/>
              <w:ind w:left="33"/>
              <w:rPr>
                <w:sz w:val="20"/>
              </w:rPr>
            </w:pPr>
            <w:r>
              <w:rPr>
                <w:color w:val="231F20"/>
                <w:sz w:val="20"/>
              </w:rPr>
              <w:t>Exhibits and Financial Statement Schedules</w:t>
            </w:r>
          </w:p>
        </w:tc>
        <w:tc>
          <w:tcPr>
            <w:tcW w:w="4741" w:type="dxa"/>
            <w:gridSpan w:val="2"/>
          </w:tcPr>
          <w:p>
            <w:pPr>
              <w:pStyle w:val="TableParagraph"/>
              <w:spacing w:before="51"/>
              <w:ind w:right="48"/>
              <w:jc w:val="right"/>
              <w:rPr>
                <w:sz w:val="20"/>
              </w:rPr>
            </w:pPr>
            <w:r>
              <w:rPr>
                <w:color w:val="231F20"/>
                <w:sz w:val="20"/>
              </w:rPr>
              <w:t>129</w:t>
            </w:r>
          </w:p>
        </w:tc>
      </w:tr>
      <w:tr>
        <w:trPr>
          <w:trHeight w:val="252" w:hRule="exact"/>
        </w:trPr>
        <w:tc>
          <w:tcPr>
            <w:tcW w:w="928" w:type="dxa"/>
          </w:tcPr>
          <w:p>
            <w:pPr>
              <w:pStyle w:val="TableParagraph"/>
              <w:spacing w:before="1"/>
              <w:ind w:left="50"/>
              <w:rPr>
                <w:sz w:val="20"/>
              </w:rPr>
            </w:pPr>
            <w:r>
              <w:rPr>
                <w:color w:val="231F20"/>
                <w:sz w:val="20"/>
              </w:rPr>
              <w:t>Signatures</w:t>
            </w:r>
          </w:p>
        </w:tc>
        <w:tc>
          <w:tcPr>
            <w:tcW w:w="3551" w:type="dxa"/>
          </w:tcPr>
          <w:p>
            <w:pPr/>
          </w:p>
        </w:tc>
        <w:tc>
          <w:tcPr>
            <w:tcW w:w="4741" w:type="dxa"/>
            <w:gridSpan w:val="2"/>
          </w:tcPr>
          <w:p>
            <w:pPr>
              <w:pStyle w:val="TableParagraph"/>
              <w:spacing w:before="21"/>
              <w:ind w:right="48"/>
              <w:jc w:val="right"/>
              <w:rPr>
                <w:sz w:val="20"/>
              </w:rPr>
            </w:pPr>
            <w:r>
              <w:rPr>
                <w:color w:val="231F20"/>
                <w:sz w:val="20"/>
              </w:rPr>
              <w:t>135</w:t>
            </w:r>
          </w:p>
        </w:tc>
      </w:tr>
    </w:tbl>
    <w:p>
      <w:pPr>
        <w:spacing w:after="0"/>
        <w:jc w:val="right"/>
        <w:rPr>
          <w:sz w:val="20"/>
        </w:rPr>
        <w:sectPr>
          <w:pgSz w:w="11880" w:h="15480"/>
          <w:pgMar w:top="1240" w:bottom="280" w:left="1220" w:right="1220"/>
        </w:sectPr>
      </w:pPr>
    </w:p>
    <w:p>
      <w:pPr>
        <w:pStyle w:val="BodyText"/>
        <w:spacing w:before="4"/>
        <w:rPr>
          <w:sz w:val="17"/>
        </w:rPr>
      </w:pPr>
    </w:p>
    <w:p>
      <w:pPr>
        <w:spacing w:after="0"/>
        <w:rPr>
          <w:sz w:val="17"/>
        </w:rPr>
        <w:sectPr>
          <w:pgSz w:w="11880" w:h="15480"/>
          <w:pgMar w:top="1460" w:bottom="280" w:left="1680" w:right="1680"/>
        </w:sectPr>
      </w:pPr>
    </w:p>
    <w:p>
      <w:pPr>
        <w:pStyle w:val="Heading1"/>
        <w:spacing w:before="74"/>
        <w:ind w:left="95" w:right="95"/>
        <w:jc w:val="center"/>
      </w:pPr>
      <w:bookmarkStart w:name="PART I " w:id="1"/>
      <w:bookmarkEnd w:id="1"/>
      <w:r>
        <w:rPr>
          <w:b w:val="0"/>
        </w:rPr>
      </w:r>
      <w:r>
        <w:rPr>
          <w:color w:val="231F20"/>
        </w:rPr>
        <w:t>PART I</w:t>
      </w:r>
    </w:p>
    <w:p>
      <w:pPr>
        <w:tabs>
          <w:tab w:pos="1329" w:val="left" w:leader="none"/>
        </w:tabs>
        <w:spacing w:before="103"/>
        <w:ind w:left="119" w:right="0" w:firstLine="0"/>
        <w:jc w:val="left"/>
        <w:rPr>
          <w:b/>
          <w:i/>
          <w:sz w:val="22"/>
        </w:rPr>
      </w:pPr>
      <w:bookmarkStart w:name="Item 1. Business " w:id="2"/>
      <w:bookmarkEnd w:id="2"/>
      <w:r>
        <w:rPr/>
      </w:r>
      <w:r>
        <w:rPr>
          <w:b/>
          <w:color w:val="231F20"/>
          <w:sz w:val="22"/>
        </w:rPr>
        <w:t>Item 1.</w:t>
        <w:tab/>
      </w:r>
      <w:r>
        <w:rPr>
          <w:b/>
          <w:i/>
          <w:color w:val="231F20"/>
          <w:sz w:val="22"/>
        </w:rPr>
        <w:t>Business</w:t>
      </w:r>
    </w:p>
    <w:p>
      <w:pPr>
        <w:pStyle w:val="Heading1"/>
        <w:spacing w:before="201"/>
        <w:ind w:left="119"/>
        <w:jc w:val="left"/>
      </w:pPr>
      <w:r>
        <w:rPr>
          <w:color w:val="231F20"/>
        </w:rPr>
        <w:t>Company Overview</w:t>
      </w:r>
    </w:p>
    <w:p>
      <w:pPr>
        <w:pStyle w:val="BodyText"/>
        <w:spacing w:before="5"/>
        <w:rPr>
          <w:b/>
          <w:sz w:val="9"/>
        </w:rPr>
      </w:pPr>
    </w:p>
    <w:p>
      <w:pPr>
        <w:pStyle w:val="BodyText"/>
        <w:spacing w:line="247" w:lineRule="auto" w:before="93"/>
        <w:ind w:left="119" w:right="116"/>
        <w:jc w:val="both"/>
      </w:pPr>
      <w:r>
        <w:rPr>
          <w:color w:val="231F20"/>
        </w:rPr>
        <w:t>Southwest</w:t>
      </w:r>
      <w:r>
        <w:rPr>
          <w:color w:val="231F20"/>
          <w:spacing w:val="-12"/>
        </w:rPr>
        <w:t> </w:t>
      </w:r>
      <w:r>
        <w:rPr>
          <w:color w:val="231F20"/>
        </w:rPr>
        <w:t>Airlines</w:t>
      </w:r>
      <w:r>
        <w:rPr>
          <w:color w:val="231F20"/>
          <w:spacing w:val="-11"/>
        </w:rPr>
        <w:t> </w:t>
      </w:r>
      <w:r>
        <w:rPr>
          <w:color w:val="231F20"/>
        </w:rPr>
        <w:t>Co.</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or</w:t>
      </w:r>
      <w:r>
        <w:rPr>
          <w:color w:val="231F20"/>
          <w:spacing w:val="-13"/>
        </w:rPr>
        <w:t> </w:t>
      </w:r>
      <w:r>
        <w:rPr>
          <w:color w:val="231F20"/>
        </w:rPr>
        <w:t>“Southwest”)</w:t>
      </w:r>
      <w:r>
        <w:rPr>
          <w:color w:val="231F20"/>
          <w:spacing w:val="-13"/>
        </w:rPr>
        <w:t> </w:t>
      </w:r>
      <w:r>
        <w:rPr>
          <w:color w:val="231F20"/>
        </w:rPr>
        <w:t>operates</w:t>
      </w:r>
      <w:r>
        <w:rPr>
          <w:color w:val="231F20"/>
          <w:spacing w:val="-12"/>
        </w:rPr>
        <w:t> </w:t>
      </w:r>
      <w:r>
        <w:rPr>
          <w:color w:val="231F20"/>
        </w:rPr>
        <w:t>Southwest</w:t>
      </w:r>
      <w:r>
        <w:rPr>
          <w:color w:val="231F20"/>
          <w:spacing w:val="-13"/>
        </w:rPr>
        <w:t> </w:t>
      </w:r>
      <w:r>
        <w:rPr>
          <w:color w:val="231F20"/>
        </w:rPr>
        <w:t>Airlines,</w:t>
      </w:r>
      <w:r>
        <w:rPr>
          <w:color w:val="231F20"/>
          <w:spacing w:val="-12"/>
        </w:rPr>
        <w:t> </w:t>
      </w:r>
      <w:r>
        <w:rPr>
          <w:color w:val="231F20"/>
        </w:rPr>
        <w:t>a</w:t>
      </w:r>
      <w:r>
        <w:rPr>
          <w:color w:val="231F20"/>
          <w:spacing w:val="-12"/>
        </w:rPr>
        <w:t> </w:t>
      </w:r>
      <w:r>
        <w:rPr>
          <w:color w:val="231F20"/>
        </w:rPr>
        <w:t>major</w:t>
      </w:r>
      <w:r>
        <w:rPr>
          <w:color w:val="231F20"/>
          <w:spacing w:val="-13"/>
        </w:rPr>
        <w:t> </w:t>
      </w:r>
      <w:r>
        <w:rPr>
          <w:color w:val="231F20"/>
        </w:rPr>
        <w:t>passenger airline</w:t>
      </w:r>
      <w:r>
        <w:rPr>
          <w:color w:val="231F20"/>
          <w:spacing w:val="-6"/>
        </w:rPr>
        <w:t> </w:t>
      </w:r>
      <w:r>
        <w:rPr>
          <w:color w:val="231F20"/>
        </w:rPr>
        <w:t>that</w:t>
      </w:r>
      <w:r>
        <w:rPr>
          <w:color w:val="231F20"/>
          <w:spacing w:val="-7"/>
        </w:rPr>
        <w:t> </w:t>
      </w:r>
      <w:r>
        <w:rPr>
          <w:color w:val="231F20"/>
        </w:rPr>
        <w:t>provides</w:t>
      </w:r>
      <w:r>
        <w:rPr>
          <w:color w:val="231F20"/>
          <w:spacing w:val="-6"/>
        </w:rPr>
        <w:t> </w:t>
      </w:r>
      <w:r>
        <w:rPr>
          <w:color w:val="231F20"/>
        </w:rPr>
        <w:t>scheduled</w:t>
      </w:r>
      <w:r>
        <w:rPr>
          <w:color w:val="231F20"/>
          <w:spacing w:val="-6"/>
        </w:rPr>
        <w:t> </w:t>
      </w:r>
      <w:r>
        <w:rPr>
          <w:color w:val="231F20"/>
        </w:rPr>
        <w:t>air</w:t>
      </w:r>
      <w:r>
        <w:rPr>
          <w:color w:val="231F20"/>
          <w:spacing w:val="-7"/>
        </w:rPr>
        <w:t> </w:t>
      </w:r>
      <w:r>
        <w:rPr>
          <w:color w:val="231F20"/>
        </w:rPr>
        <w:t>transportation</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United</w:t>
      </w:r>
      <w:r>
        <w:rPr>
          <w:color w:val="231F20"/>
          <w:spacing w:val="-6"/>
        </w:rPr>
        <w:t> </w:t>
      </w:r>
      <w:r>
        <w:rPr>
          <w:color w:val="231F20"/>
        </w:rPr>
        <w:t>States</w:t>
      </w:r>
      <w:r>
        <w:rPr>
          <w:color w:val="231F20"/>
          <w:spacing w:val="-6"/>
        </w:rPr>
        <w:t> </w:t>
      </w:r>
      <w:r>
        <w:rPr>
          <w:color w:val="231F20"/>
        </w:rPr>
        <w:t>and</w:t>
      </w:r>
      <w:r>
        <w:rPr>
          <w:color w:val="231F20"/>
          <w:spacing w:val="-6"/>
        </w:rPr>
        <w:t> </w:t>
      </w:r>
      <w:r>
        <w:rPr>
          <w:color w:val="231F20"/>
        </w:rPr>
        <w:t>near-international</w:t>
      </w:r>
      <w:r>
        <w:rPr>
          <w:color w:val="231F20"/>
          <w:spacing w:val="-8"/>
        </w:rPr>
        <w:t> </w:t>
      </w:r>
      <w:r>
        <w:rPr>
          <w:color w:val="231F20"/>
        </w:rPr>
        <w:t>markets.</w:t>
      </w:r>
      <w:r>
        <w:rPr>
          <w:color w:val="231F20"/>
          <w:spacing w:val="-7"/>
        </w:rPr>
        <w:t> </w:t>
      </w:r>
      <w:r>
        <w:rPr>
          <w:color w:val="231F20"/>
          <w:spacing w:val="-3"/>
        </w:rPr>
        <w:t>For </w:t>
      </w:r>
      <w:r>
        <w:rPr>
          <w:color w:val="231F20"/>
        </w:rPr>
        <w:t>the</w:t>
      </w:r>
      <w:r>
        <w:rPr>
          <w:color w:val="231F20"/>
          <w:spacing w:val="-14"/>
        </w:rPr>
        <w:t> </w:t>
      </w:r>
      <w:r>
        <w:rPr>
          <w:color w:val="231F20"/>
        </w:rPr>
        <w:t>43rd</w:t>
      </w:r>
      <w:r>
        <w:rPr>
          <w:color w:val="231F20"/>
          <w:spacing w:val="-14"/>
        </w:rPr>
        <w:t> </w:t>
      </w:r>
      <w:r>
        <w:rPr>
          <w:color w:val="231F20"/>
        </w:rPr>
        <w:t>consecutive</w:t>
      </w:r>
      <w:r>
        <w:rPr>
          <w:color w:val="231F20"/>
          <w:spacing w:val="-14"/>
        </w:rPr>
        <w:t> </w:t>
      </w:r>
      <w:r>
        <w:rPr>
          <w:color w:val="231F20"/>
        </w:rPr>
        <w:t>year,</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was</w:t>
      </w:r>
      <w:r>
        <w:rPr>
          <w:color w:val="231F20"/>
          <w:spacing w:val="-14"/>
        </w:rPr>
        <w:t> </w:t>
      </w:r>
      <w:r>
        <w:rPr>
          <w:color w:val="231F20"/>
        </w:rPr>
        <w:t>profitable,</w:t>
      </w:r>
      <w:r>
        <w:rPr>
          <w:color w:val="231F20"/>
          <w:spacing w:val="-14"/>
        </w:rPr>
        <w:t> </w:t>
      </w:r>
      <w:r>
        <w:rPr>
          <w:color w:val="231F20"/>
        </w:rPr>
        <w:t>earning</w:t>
      </w:r>
      <w:r>
        <w:rPr>
          <w:color w:val="231F20"/>
          <w:spacing w:val="-14"/>
        </w:rPr>
        <w:t> </w:t>
      </w:r>
      <w:r>
        <w:rPr>
          <w:color w:val="231F20"/>
        </w:rPr>
        <w:t>$2.2</w:t>
      </w:r>
      <w:r>
        <w:rPr>
          <w:color w:val="231F20"/>
          <w:spacing w:val="-14"/>
        </w:rPr>
        <w:t> </w:t>
      </w:r>
      <w:r>
        <w:rPr>
          <w:color w:val="231F20"/>
        </w:rPr>
        <w:t>billion</w:t>
      </w:r>
      <w:r>
        <w:rPr>
          <w:color w:val="231F20"/>
          <w:spacing w:val="-14"/>
        </w:rPr>
        <w:t> </w:t>
      </w:r>
      <w:r>
        <w:rPr>
          <w:color w:val="231F20"/>
        </w:rPr>
        <w:t>in</w:t>
      </w:r>
      <w:r>
        <w:rPr>
          <w:color w:val="231F20"/>
          <w:spacing w:val="-14"/>
        </w:rPr>
        <w:t> </w:t>
      </w:r>
      <w:r>
        <w:rPr>
          <w:color w:val="231F20"/>
        </w:rPr>
        <w:t>net</w:t>
      </w:r>
      <w:r>
        <w:rPr>
          <w:color w:val="231F20"/>
          <w:spacing w:val="-15"/>
        </w:rPr>
        <w:t> </w:t>
      </w:r>
      <w:r>
        <w:rPr>
          <w:color w:val="231F20"/>
        </w:rPr>
        <w:t>income.</w:t>
      </w:r>
    </w:p>
    <w:p>
      <w:pPr>
        <w:pStyle w:val="BodyText"/>
        <w:spacing w:line="247" w:lineRule="auto" w:before="195"/>
        <w:ind w:left="119" w:right="117"/>
        <w:jc w:val="both"/>
      </w:pPr>
      <w:r>
        <w:rPr>
          <w:color w:val="231F20"/>
        </w:rPr>
        <w:t>Southwest commenced service on June 18, 1971, with three Boeing 737 aircraft serving three Texas cities: Dallas, Houston, and  San  Antonio.  The  Company  ended  2015  serving  97  destinations  in  40 states, the District of Columbia, the Commonwealth of Puerto Rico, and seven near-international countries including Mexico, Jamaica, The Bahamas, Aruba, Dominican Republic, Costa Rica, and Belize. During 2015, the Company added its first three destinations in Central America (San Jose, Costa Rica, Belize City, Belize, and Liberia, Costa Rica) and also commenced Southwest service to a fourth destination in Mexico (Puerto Vallarta). At December 31, 2015, Southwest operated a total of 704 Boeing 737 aircraft.</w:t>
      </w:r>
    </w:p>
    <w:p>
      <w:pPr>
        <w:pStyle w:val="BodyText"/>
        <w:spacing w:line="247" w:lineRule="auto" w:before="195"/>
        <w:ind w:left="119" w:right="117"/>
        <w:jc w:val="both"/>
      </w:pPr>
      <w:r>
        <w:rPr>
          <w:color w:val="231F20"/>
        </w:rPr>
        <w:t>During 2015, the Company also added 20 domestic nonstop destinations from Dallas Love Field.  These routes were made possible by the repeal of certain federal flight restrictions at Dallas Love Field in October 2014. At year-end 2015, Southwest offered a total of 180 weekday departures to 50 nonstop destinations from Dallas Love Field. In addition, the Company added eight international nonstop destinations from a newly constructed five-gate international terminal at Houston’s William P. Hobby Airport. Based on the most recent data available from the U.S. Department of Transportation, as of June 30, 2015, Southwest was the largest domestic air carrier in the United States, as measured by the number of domestic originating passengers</w:t>
      </w:r>
      <w:r>
        <w:rPr>
          <w:color w:val="231F20"/>
          <w:spacing w:val="-2"/>
        </w:rPr>
        <w:t> </w:t>
      </w:r>
      <w:r>
        <w:rPr>
          <w:color w:val="231F20"/>
        </w:rPr>
        <w:t>boarded.</w:t>
      </w:r>
    </w:p>
    <w:p>
      <w:pPr>
        <w:pStyle w:val="Heading1"/>
        <w:spacing w:before="195"/>
        <w:ind w:left="119"/>
      </w:pPr>
      <w:r>
        <w:rPr>
          <w:color w:val="231F20"/>
        </w:rPr>
        <w:t>Industry</w:t>
      </w:r>
    </w:p>
    <w:p>
      <w:pPr>
        <w:pStyle w:val="BodyText"/>
        <w:spacing w:line="247" w:lineRule="auto" w:before="202"/>
        <w:ind w:left="119" w:right="117"/>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poor weather, and natural disasters.</w:t>
      </w:r>
    </w:p>
    <w:p>
      <w:pPr>
        <w:pStyle w:val="BodyText"/>
        <w:spacing w:line="247" w:lineRule="auto" w:before="194"/>
        <w:ind w:left="119" w:right="117"/>
        <w:jc w:val="both"/>
      </w:pPr>
      <w:r>
        <w:rPr>
          <w:color w:val="231F20"/>
        </w:rPr>
        <w:t>The U.S. airline industry benefited from moderate economic growth during 2015 and was further aided by a significant drop in fuel prices. The U.S. airline industry, including Southwest, has increased available seat miles (also referred to as “capacity,” an available seat mile is one seat, empty or full, flown one mile and is a measure of space available to carry passengers in a given period), and has increased the number of seats per trip (or “gauge”) through slimline seat retrofits and the use of larger aircraft.</w:t>
      </w:r>
    </w:p>
    <w:p>
      <w:pPr>
        <w:pStyle w:val="BodyText"/>
        <w:spacing w:before="3"/>
        <w:rPr>
          <w:sz w:val="25"/>
        </w:rPr>
      </w:pPr>
    </w:p>
    <w:p>
      <w:pPr>
        <w:pStyle w:val="Heading1"/>
        <w:spacing w:line="432" w:lineRule="auto"/>
        <w:ind w:left="479" w:right="7198" w:hanging="360"/>
        <w:jc w:val="left"/>
      </w:pPr>
      <w:r>
        <w:rPr>
          <w:color w:val="231F20"/>
        </w:rPr>
        <w:t>Company Operations Route Structure</w:t>
      </w:r>
    </w:p>
    <w:p>
      <w:pPr>
        <w:pStyle w:val="Heading2"/>
        <w:spacing w:before="6"/>
        <w:ind w:left="840"/>
        <w:rPr>
          <w:i/>
        </w:rPr>
      </w:pPr>
      <w:r>
        <w:rPr>
          <w:i/>
          <w:color w:val="231F20"/>
        </w:rPr>
        <w:t>General</w:t>
      </w:r>
    </w:p>
    <w:p>
      <w:pPr>
        <w:pStyle w:val="BodyText"/>
        <w:spacing w:line="247" w:lineRule="auto" w:before="201"/>
        <w:ind w:left="120" w:right="118"/>
        <w:jc w:val="both"/>
      </w:pPr>
      <w:r>
        <w:rPr>
          <w:color w:val="231F20"/>
        </w:rPr>
        <w:t>Southwest principally provides point-to-point service, rather than the “hub-and-spoke” service provided</w:t>
      </w:r>
      <w:r>
        <w:rPr>
          <w:color w:val="231F20"/>
          <w:spacing w:val="35"/>
        </w:rPr>
        <w:t> </w:t>
      </w:r>
      <w:r>
        <w:rPr>
          <w:color w:val="231F20"/>
        </w:rPr>
        <w:t>by</w:t>
      </w:r>
      <w:r>
        <w:rPr>
          <w:color w:val="231F20"/>
          <w:spacing w:val="36"/>
        </w:rPr>
        <w:t> </w:t>
      </w:r>
      <w:r>
        <w:rPr>
          <w:color w:val="231F20"/>
        </w:rPr>
        <w:t>most</w:t>
      </w:r>
      <w:r>
        <w:rPr>
          <w:color w:val="231F20"/>
          <w:spacing w:val="36"/>
        </w:rPr>
        <w:t> </w:t>
      </w:r>
      <w:r>
        <w:rPr>
          <w:color w:val="231F20"/>
        </w:rPr>
        <w:t>major</w:t>
      </w:r>
      <w:r>
        <w:rPr>
          <w:color w:val="231F20"/>
          <w:spacing w:val="35"/>
        </w:rPr>
        <w:t> </w:t>
      </w:r>
      <w:r>
        <w:rPr>
          <w:color w:val="231F20"/>
        </w:rPr>
        <w:t>U.S.</w:t>
      </w:r>
      <w:r>
        <w:rPr>
          <w:color w:val="231F20"/>
          <w:spacing w:val="35"/>
        </w:rPr>
        <w:t> </w:t>
      </w:r>
      <w:r>
        <w:rPr>
          <w:color w:val="231F20"/>
        </w:rPr>
        <w:t>airlines.</w:t>
      </w:r>
      <w:r>
        <w:rPr>
          <w:color w:val="231F20"/>
          <w:spacing w:val="36"/>
        </w:rPr>
        <w:t> </w:t>
      </w:r>
      <w:r>
        <w:rPr>
          <w:color w:val="231F20"/>
        </w:rPr>
        <w:t>The</w:t>
      </w:r>
      <w:r>
        <w:rPr>
          <w:color w:val="231F20"/>
          <w:spacing w:val="35"/>
        </w:rPr>
        <w:t> </w:t>
      </w:r>
      <w:r>
        <w:rPr>
          <w:color w:val="231F20"/>
        </w:rPr>
        <w:t>hub-and-spoke</w:t>
      </w:r>
      <w:r>
        <w:rPr>
          <w:color w:val="231F20"/>
          <w:spacing w:val="36"/>
        </w:rPr>
        <w:t> </w:t>
      </w:r>
      <w:r>
        <w:rPr>
          <w:color w:val="231F20"/>
        </w:rPr>
        <w:t>system</w:t>
      </w:r>
      <w:r>
        <w:rPr>
          <w:color w:val="231F20"/>
          <w:spacing w:val="36"/>
        </w:rPr>
        <w:t> </w:t>
      </w:r>
      <w:r>
        <w:rPr>
          <w:color w:val="231F20"/>
        </w:rPr>
        <w:t>concentrates</w:t>
      </w:r>
      <w:r>
        <w:rPr>
          <w:color w:val="231F20"/>
          <w:spacing w:val="37"/>
        </w:rPr>
        <w:t> </w:t>
      </w:r>
      <w:r>
        <w:rPr>
          <w:color w:val="231F20"/>
        </w:rPr>
        <w:t>most</w:t>
      </w:r>
      <w:r>
        <w:rPr>
          <w:color w:val="231F20"/>
          <w:spacing w:val="35"/>
        </w:rPr>
        <w:t> </w:t>
      </w:r>
      <w:r>
        <w:rPr>
          <w:color w:val="231F20"/>
        </w:rPr>
        <w:t>of</w:t>
      </w:r>
      <w:r>
        <w:rPr>
          <w:color w:val="231F20"/>
          <w:spacing w:val="34"/>
        </w:rPr>
        <w:t> </w:t>
      </w:r>
      <w:r>
        <w:rPr>
          <w:color w:val="231F20"/>
        </w:rPr>
        <w:t>an</w:t>
      </w:r>
      <w:r>
        <w:rPr>
          <w:color w:val="231F20"/>
          <w:spacing w:val="35"/>
        </w:rPr>
        <w:t> </w:t>
      </w:r>
      <w:r>
        <w:rPr>
          <w:color w:val="231F20"/>
        </w:rPr>
        <w:t>airline’s</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118"/>
        <w:jc w:val="both"/>
      </w:pPr>
      <w:r>
        <w:rPr>
          <w:color w:val="231F20"/>
        </w:rPr>
        <w:t>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Approximately 74 percent of the Company’s Customers flew nonstop during 2015, and, as of December 31, 2015, Southwest served 637 nonstop city</w:t>
      </w:r>
      <w:r>
        <w:rPr>
          <w:color w:val="231F20"/>
          <w:spacing w:val="-1"/>
        </w:rPr>
        <w:t> </w:t>
      </w:r>
      <w:r>
        <w:rPr>
          <w:color w:val="231F20"/>
        </w:rPr>
        <w:t>pairs.</w:t>
      </w:r>
    </w:p>
    <w:p>
      <w:pPr>
        <w:pStyle w:val="BodyText"/>
        <w:spacing w:before="9"/>
        <w:rPr>
          <w:sz w:val="20"/>
        </w:rPr>
      </w:pPr>
    </w:p>
    <w:p>
      <w:pPr>
        <w:pStyle w:val="BodyText"/>
        <w:spacing w:line="247" w:lineRule="auto"/>
        <w:ind w:left="100" w:right="117"/>
        <w:jc w:val="both"/>
      </w:pPr>
      <w:r>
        <w:rPr>
          <w:color w:val="231F20"/>
        </w:rPr>
        <w:t>Southwest’s point-to-point service has also enabled it to provide its markets with frequent, conveniently timed flights and low fares. For example, Southwest currently offers 20 weekday roundtrips from Dallas Love Field to Houston Hobby, 14 weekday roundtrips from Los Angeles International to Oakland, 12 weekday roundtrips from Burbank to Oakland, 11 weekday roundtrips from Phoenix to Las Vegas, and ten weekday roundtrips from San Diego to San</w:t>
      </w:r>
      <w:r>
        <w:rPr>
          <w:color w:val="231F20"/>
          <w:spacing w:val="-4"/>
        </w:rPr>
        <w:t> </w:t>
      </w:r>
      <w:r>
        <w:rPr>
          <w:color w:val="231F20"/>
        </w:rPr>
        <w:t>Jose.</w:t>
      </w:r>
    </w:p>
    <w:p>
      <w:pPr>
        <w:pStyle w:val="BodyText"/>
        <w:spacing w:before="9"/>
        <w:rPr>
          <w:sz w:val="20"/>
        </w:rPr>
      </w:pPr>
    </w:p>
    <w:p>
      <w:pPr>
        <w:pStyle w:val="BodyText"/>
        <w:spacing w:line="247" w:lineRule="auto"/>
        <w:ind w:left="100" w:right="117"/>
        <w:jc w:val="both"/>
      </w:pPr>
      <w:r>
        <w:rPr>
          <w:color w:val="231F20"/>
        </w:rPr>
        <w:t>Southwest complements its high-frequency short-haul routes with long-haul nonstop service between markets such as Los Angeles and Nashville, Las Vegas and Orlando, San Diego and Baltimore, and Houston and New York LaGuardia. During 2015, the Company continued to incorporate the Boeing 737-800 into its fleet, which offers significantly more Customer seating capacity than Southwest’s other aircraft. This has enabled the Company to more economically serve long-haul routes, as well as high-demand, slot-controlled and gate-restricted airports, by adding seats for such routes without increasing the number of flights (a “slot” is the right of an air carrier, pursuant to regulations of the Federal Aviation Administration (“FAA”), to operate a takeoff or landing at a specific time at certain airports). For 2015, the Company’s average aircraft trip stage length was 750 miles, with an average duration of approximately 2.0 hours,  as  compared  with  an  average  aircraft  trip  stage  length  of  721 miles and an average duration of approximately 2.0 hours in 2014. During 2014, the Company also operated AirTran Airways (“AirTran”). AirTran’s final passenger service occurred on December 28, 2014, and it has been integrated into</w:t>
      </w:r>
      <w:r>
        <w:rPr>
          <w:color w:val="231F20"/>
          <w:spacing w:val="-2"/>
        </w:rPr>
        <w:t> </w:t>
      </w:r>
      <w:r>
        <w:rPr>
          <w:color w:val="231F20"/>
        </w:rPr>
        <w:t>Southwest.</w:t>
      </w:r>
    </w:p>
    <w:p>
      <w:pPr>
        <w:pStyle w:val="BodyText"/>
        <w:spacing w:before="9"/>
        <w:rPr>
          <w:sz w:val="20"/>
        </w:rPr>
      </w:pPr>
    </w:p>
    <w:p>
      <w:pPr>
        <w:pStyle w:val="Heading2"/>
        <w:ind w:left="819"/>
        <w:rPr>
          <w:i/>
        </w:rPr>
      </w:pPr>
      <w:r>
        <w:rPr>
          <w:i/>
          <w:color w:val="231F20"/>
        </w:rPr>
        <w:t>International Service</w:t>
      </w:r>
    </w:p>
    <w:p>
      <w:pPr>
        <w:pStyle w:val="BodyText"/>
        <w:spacing w:before="5"/>
        <w:rPr>
          <w:b/>
          <w:i/>
          <w:sz w:val="21"/>
        </w:rPr>
      </w:pPr>
    </w:p>
    <w:p>
      <w:pPr>
        <w:pStyle w:val="BodyText"/>
        <w:spacing w:line="247" w:lineRule="auto"/>
        <w:ind w:left="100" w:right="118"/>
        <w:jc w:val="both"/>
      </w:pPr>
      <w:r>
        <w:rPr>
          <w:color w:val="231F20"/>
        </w:rPr>
        <w:t>Southwest Airlines launched international service in 2014, and ended 2015 with service to 11 international destinations. The Company’s international expansion in 2015 was facilitated by the completion of construction of a new five-gate international terminal at Houston’s William P. Hobby Airport. The new terminal includes an expanded security checkpoint and an upgraded Southwest ticketing area. The Company controlled this expansion and the related financial terms pursuant to an Airport Use and Lease Agreement with the City of Houston. Additional information regarding this project is provided below under “Management’s Discussion and Analysis of Financial Condition and Results of Operations” and in Note 4 to the Consolidated Financial Statements.</w:t>
      </w:r>
    </w:p>
    <w:p>
      <w:pPr>
        <w:pStyle w:val="BodyText"/>
        <w:spacing w:before="9"/>
        <w:rPr>
          <w:sz w:val="20"/>
        </w:rPr>
      </w:pPr>
    </w:p>
    <w:p>
      <w:pPr>
        <w:pStyle w:val="BodyText"/>
        <w:spacing w:line="247" w:lineRule="auto"/>
        <w:ind w:left="100" w:right="117"/>
        <w:jc w:val="both"/>
      </w:pPr>
      <w:r>
        <w:rPr>
          <w:color w:val="231F20"/>
        </w:rPr>
        <w:t>Approximately $287 million of the Company’s 2015 operating revenues were attributable to foreign operations. The remainder of the Company’s 2015 operating revenues, approximately $19.5 billion, was attributable to domestic operations. Approximately $226 million of the Company’s 2014 operating revenues were attributable to foreign operations (including those attributable to both Southwest and AirTran). The remainder of the Company’s 2014 operating revenues, approximately $18.4 billion, was attributable to domestic operations. The Company’s assets are not allocated to a geographic area because the Company’s tangible assets primarily consist of flight equipment, the majority of which are interchangeable and are deployed systemwide, with no individual aircraft dedicated to any specific route or</w:t>
      </w:r>
      <w:r>
        <w:rPr>
          <w:color w:val="231F20"/>
          <w:spacing w:val="-2"/>
        </w:rPr>
        <w:t> </w:t>
      </w:r>
      <w:r>
        <w:rPr>
          <w:color w:val="231F20"/>
        </w:rPr>
        <w:t>region.</w:t>
      </w:r>
    </w:p>
    <w:p>
      <w:pPr>
        <w:spacing w:after="0" w:line="247" w:lineRule="auto"/>
        <w:jc w:val="both"/>
        <w:sectPr>
          <w:pgSz w:w="11880" w:h="15480"/>
          <w:pgMar w:header="0" w:footer="1240" w:top="1240" w:bottom="1420" w:left="1280" w:right="1260"/>
        </w:sectPr>
      </w:pPr>
    </w:p>
    <w:p>
      <w:pPr>
        <w:pStyle w:val="Heading1"/>
        <w:spacing w:before="74"/>
        <w:ind w:left="160" w:right="7190"/>
        <w:jc w:val="center"/>
      </w:pPr>
      <w:r>
        <w:rPr>
          <w:color w:val="231F20"/>
        </w:rPr>
        <w:t>Cost Structure</w:t>
      </w:r>
    </w:p>
    <w:p>
      <w:pPr>
        <w:pStyle w:val="BodyText"/>
        <w:spacing w:before="8"/>
        <w:rPr>
          <w:b/>
          <w:sz w:val="19"/>
        </w:rPr>
      </w:pPr>
    </w:p>
    <w:p>
      <w:pPr>
        <w:pStyle w:val="Heading2"/>
        <w:spacing w:before="1"/>
        <w:ind w:left="820"/>
        <w:rPr>
          <w:i/>
        </w:rPr>
      </w:pPr>
      <w:r>
        <w:rPr>
          <w:i/>
          <w:color w:val="231F20"/>
        </w:rPr>
        <w:t>General</w:t>
      </w:r>
    </w:p>
    <w:p>
      <w:pPr>
        <w:pStyle w:val="BodyText"/>
        <w:spacing w:before="9"/>
        <w:rPr>
          <w:b/>
          <w:i/>
          <w:sz w:val="19"/>
        </w:rPr>
      </w:pPr>
    </w:p>
    <w:p>
      <w:pPr>
        <w:pStyle w:val="BodyText"/>
        <w:spacing w:line="247" w:lineRule="auto"/>
        <w:ind w:left="100" w:right="117"/>
        <w:jc w:val="both"/>
      </w:pPr>
      <w:r>
        <w:rPr>
          <w:color w:val="231F20"/>
        </w:rPr>
        <w:t>A key component of the Company’s business strategy has historically been its low-cost structure,  which was designed to allow it to profitably charge low fares. Adjusted for stage length, the Company has lower unit costs, on average, than the majority of major domestic carriers. The Company’s low- cost structure has historically been facilitated by Southwest’s use of a single aircraft type, the Boeing 737, its operationally efficient point-to-point route structure, and its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4"/>
        </w:rPr>
        <w:t> </w:t>
      </w:r>
      <w:r>
        <w:rPr>
          <w:color w:val="231F20"/>
        </w:rPr>
        <w:t>aircraft).</w:t>
      </w:r>
    </w:p>
    <w:p>
      <w:pPr>
        <w:pStyle w:val="BodyText"/>
        <w:spacing w:before="1"/>
        <w:rPr>
          <w:sz w:val="19"/>
        </w:rPr>
      </w:pPr>
    </w:p>
    <w:p>
      <w:pPr>
        <w:pStyle w:val="Heading2"/>
        <w:ind w:left="820"/>
        <w:rPr>
          <w:i/>
        </w:rPr>
      </w:pPr>
      <w:r>
        <w:rPr>
          <w:i/>
          <w:color w:val="231F20"/>
        </w:rPr>
        <w:t>Impact of Fuel Costs on the Company’s Low-Cost Structure; Fuel Initiatives</w:t>
      </w:r>
    </w:p>
    <w:p>
      <w:pPr>
        <w:pStyle w:val="BodyText"/>
        <w:spacing w:before="8"/>
        <w:rPr>
          <w:b/>
          <w:i/>
          <w:sz w:val="19"/>
        </w:rPr>
      </w:pPr>
    </w:p>
    <w:p>
      <w:pPr>
        <w:pStyle w:val="BodyText"/>
        <w:spacing w:line="247" w:lineRule="auto" w:before="1"/>
        <w:ind w:left="100" w:right="117"/>
        <w:jc w:val="both"/>
      </w:pPr>
      <w:r>
        <w:rPr>
          <w:color w:val="231F20"/>
        </w:rPr>
        <w:t>Although 2015 fuel prices were lower than 2014 fuel prices, Fuel and oil expense remained one of the Company’s largest operating costs. The table below shows the Company’s average cost of jet fuel for each year beginning in 2003 and during each quarter of 2015.</w:t>
      </w:r>
    </w:p>
    <w:p>
      <w:pPr>
        <w:spacing w:after="0" w:line="247" w:lineRule="auto"/>
        <w:jc w:val="both"/>
        <w:sectPr>
          <w:pgSz w:w="11880" w:h="15480"/>
          <w:pgMar w:header="0" w:footer="1240" w:top="1240" w:bottom="1420" w:left="1280" w:right="1260"/>
        </w:sectPr>
      </w:pPr>
    </w:p>
    <w:p>
      <w:pPr>
        <w:pStyle w:val="BodyText"/>
      </w:pPr>
    </w:p>
    <w:p>
      <w:pPr>
        <w:spacing w:before="126"/>
        <w:ind w:left="0" w:right="0" w:firstLine="0"/>
        <w:jc w:val="right"/>
        <w:rPr>
          <w:b/>
          <w:sz w:val="20"/>
        </w:rPr>
      </w:pPr>
      <w:r>
        <w:rPr>
          <w:b/>
          <w:color w:val="231F20"/>
          <w:w w:val="95"/>
          <w:sz w:val="20"/>
        </w:rPr>
        <w:t>Cost</w:t>
      </w:r>
    </w:p>
    <w:p>
      <w:pPr>
        <w:pStyle w:val="BodyText"/>
        <w:spacing w:before="10"/>
        <w:rPr>
          <w:b/>
          <w:sz w:val="17"/>
        </w:rPr>
      </w:pPr>
      <w:r>
        <w:rPr/>
        <w:br w:type="column"/>
      </w:r>
      <w:r>
        <w:rPr>
          <w:b/>
          <w:sz w:val="17"/>
        </w:rPr>
      </w:r>
    </w:p>
    <w:p>
      <w:pPr>
        <w:spacing w:line="200" w:lineRule="exact" w:before="0"/>
        <w:ind w:left="896" w:right="-19" w:firstLine="14"/>
        <w:jc w:val="left"/>
        <w:rPr>
          <w:b/>
          <w:sz w:val="20"/>
        </w:rPr>
      </w:pPr>
      <w:r>
        <w:rPr>
          <w:b/>
          <w:color w:val="231F20"/>
          <w:sz w:val="20"/>
        </w:rPr>
        <w:t>Average Cost Per</w:t>
      </w:r>
    </w:p>
    <w:p>
      <w:pPr>
        <w:pStyle w:val="BodyText"/>
        <w:spacing w:before="10"/>
        <w:rPr>
          <w:b/>
          <w:sz w:val="17"/>
        </w:rPr>
      </w:pPr>
      <w:r>
        <w:rPr/>
        <w:br w:type="column"/>
      </w:r>
      <w:r>
        <w:rPr>
          <w:b/>
          <w:sz w:val="17"/>
        </w:rPr>
      </w:r>
    </w:p>
    <w:p>
      <w:pPr>
        <w:spacing w:line="200" w:lineRule="exact" w:before="0"/>
        <w:ind w:left="651" w:right="219" w:hanging="141"/>
        <w:jc w:val="left"/>
        <w:rPr>
          <w:b/>
          <w:sz w:val="20"/>
        </w:rPr>
      </w:pPr>
      <w:r>
        <w:rPr>
          <w:b/>
          <w:color w:val="231F20"/>
          <w:sz w:val="20"/>
        </w:rPr>
        <w:t>Percentage of Operating</w:t>
      </w:r>
    </w:p>
    <w:p>
      <w:pPr>
        <w:spacing w:after="0" w:line="200" w:lineRule="exact"/>
        <w:jc w:val="left"/>
        <w:rPr>
          <w:sz w:val="20"/>
        </w:rPr>
        <w:sectPr>
          <w:type w:val="continuous"/>
          <w:pgSz w:w="11880" w:h="15480"/>
          <w:pgMar w:top="1260" w:bottom="280" w:left="1280" w:right="1260"/>
          <w:cols w:num="3" w:equalWidth="0">
            <w:col w:w="5714" w:space="40"/>
            <w:col w:w="1636" w:space="40"/>
            <w:col w:w="19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9"/>
        </w:rPr>
      </w:pPr>
    </w:p>
    <w:p>
      <w:pPr>
        <w:pStyle w:val="BodyText"/>
        <w:spacing w:line="247" w:lineRule="auto" w:before="92"/>
        <w:ind w:left="100" w:right="131"/>
      </w:pPr>
      <w:r>
        <w:rPr/>
        <w:pict>
          <v:shape style="position:absolute;margin-left:69pt;margin-top:-260.130463pt;width:456pt;height:250.95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1"/>
                    <w:gridCol w:w="2930"/>
                    <w:gridCol w:w="1652"/>
                    <w:gridCol w:w="1297"/>
                  </w:tblGrid>
                  <w:tr>
                    <w:trPr>
                      <w:trHeight w:val="259" w:hRule="exact"/>
                    </w:trPr>
                    <w:tc>
                      <w:tcPr>
                        <w:tcW w:w="3241" w:type="dxa"/>
                      </w:tcPr>
                      <w:p>
                        <w:pPr>
                          <w:pStyle w:val="TableParagraph"/>
                          <w:spacing w:line="229" w:lineRule="exact" w:before="0"/>
                          <w:ind w:left="60"/>
                          <w:rPr>
                            <w:b/>
                            <w:sz w:val="20"/>
                          </w:rPr>
                        </w:pPr>
                        <w:r>
                          <w:rPr>
                            <w:b/>
                            <w:color w:val="231F20"/>
                            <w:sz w:val="20"/>
                          </w:rPr>
                          <w:t>Year</w:t>
                        </w:r>
                      </w:p>
                    </w:tc>
                    <w:tc>
                      <w:tcPr>
                        <w:tcW w:w="2930" w:type="dxa"/>
                      </w:tcPr>
                      <w:p>
                        <w:pPr>
                          <w:pStyle w:val="TableParagraph"/>
                          <w:spacing w:line="229" w:lineRule="exact" w:before="0"/>
                          <w:ind w:left="1426"/>
                          <w:jc w:val="center"/>
                          <w:rPr>
                            <w:b/>
                            <w:sz w:val="20"/>
                          </w:rPr>
                        </w:pPr>
                        <w:r>
                          <w:rPr>
                            <w:b/>
                            <w:color w:val="231F20"/>
                            <w:sz w:val="20"/>
                          </w:rPr>
                          <w:t>(Millions)</w:t>
                        </w:r>
                      </w:p>
                    </w:tc>
                    <w:tc>
                      <w:tcPr>
                        <w:tcW w:w="1652" w:type="dxa"/>
                      </w:tcPr>
                      <w:p>
                        <w:pPr>
                          <w:pStyle w:val="TableParagraph"/>
                          <w:spacing w:line="229" w:lineRule="exact" w:before="0"/>
                          <w:ind w:right="152"/>
                          <w:jc w:val="center"/>
                          <w:rPr>
                            <w:b/>
                            <w:sz w:val="20"/>
                          </w:rPr>
                        </w:pPr>
                        <w:r>
                          <w:rPr>
                            <w:b/>
                            <w:color w:val="231F20"/>
                            <w:sz w:val="20"/>
                          </w:rPr>
                          <w:t>Gallon</w:t>
                        </w:r>
                      </w:p>
                    </w:tc>
                    <w:tc>
                      <w:tcPr>
                        <w:tcW w:w="1297" w:type="dxa"/>
                      </w:tcPr>
                      <w:p>
                        <w:pPr>
                          <w:pStyle w:val="TableParagraph"/>
                          <w:spacing w:line="229" w:lineRule="exact" w:before="0"/>
                          <w:ind w:left="202"/>
                          <w:rPr>
                            <w:b/>
                            <w:sz w:val="20"/>
                          </w:rPr>
                        </w:pPr>
                        <w:r>
                          <w:rPr>
                            <w:b/>
                            <w:color w:val="231F20"/>
                            <w:sz w:val="20"/>
                          </w:rPr>
                          <w:t>Expenses</w:t>
                        </w:r>
                      </w:p>
                    </w:tc>
                  </w:tr>
                  <w:tr>
                    <w:trPr>
                      <w:trHeight w:val="280" w:hRule="exact"/>
                    </w:trPr>
                    <w:tc>
                      <w:tcPr>
                        <w:tcW w:w="3241" w:type="dxa"/>
                        <w:shd w:val="clear" w:color="auto" w:fill="D1D3D4"/>
                      </w:tcPr>
                      <w:p>
                        <w:pPr>
                          <w:pStyle w:val="TableParagraph"/>
                          <w:spacing w:before="33"/>
                          <w:ind w:left="60"/>
                          <w:rPr>
                            <w:sz w:val="20"/>
                          </w:rPr>
                        </w:pPr>
                        <w:r>
                          <w:rPr>
                            <w:color w:val="231F20"/>
                            <w:sz w:val="20"/>
                          </w:rPr>
                          <w:t>2003</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920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0.80</w:t>
                        </w:r>
                      </w:p>
                    </w:tc>
                    <w:tc>
                      <w:tcPr>
                        <w:tcW w:w="1297" w:type="dxa"/>
                        <w:shd w:val="clear" w:color="auto" w:fill="D1D3D4"/>
                      </w:tcPr>
                      <w:p>
                        <w:pPr>
                          <w:pStyle w:val="TableParagraph"/>
                          <w:spacing w:before="33"/>
                          <w:jc w:val="right"/>
                          <w:rPr>
                            <w:sz w:val="20"/>
                          </w:rPr>
                        </w:pPr>
                        <w:r>
                          <w:rPr>
                            <w:color w:val="231F20"/>
                            <w:sz w:val="20"/>
                          </w:rPr>
                          <w:t>16.5%</w:t>
                        </w:r>
                      </w:p>
                    </w:tc>
                  </w:tr>
                  <w:tr>
                    <w:trPr>
                      <w:trHeight w:val="280" w:hRule="exact"/>
                    </w:trPr>
                    <w:tc>
                      <w:tcPr>
                        <w:tcW w:w="3241" w:type="dxa"/>
                      </w:tcPr>
                      <w:p>
                        <w:pPr>
                          <w:pStyle w:val="TableParagraph"/>
                          <w:spacing w:before="33"/>
                          <w:ind w:left="60"/>
                          <w:rPr>
                            <w:sz w:val="20"/>
                          </w:rPr>
                        </w:pPr>
                        <w:r>
                          <w:rPr>
                            <w:color w:val="231F20"/>
                            <w:sz w:val="20"/>
                          </w:rPr>
                          <w:t>2004</w:t>
                        </w:r>
                      </w:p>
                    </w:tc>
                    <w:tc>
                      <w:tcPr>
                        <w:tcW w:w="2930" w:type="dxa"/>
                      </w:tcPr>
                      <w:p>
                        <w:pPr>
                          <w:pStyle w:val="TableParagraph"/>
                          <w:tabs>
                            <w:tab w:pos="2379" w:val="left" w:leader="none"/>
                          </w:tabs>
                          <w:spacing w:before="33"/>
                          <w:ind w:left="1429"/>
                          <w:jc w:val="center"/>
                          <w:rPr>
                            <w:sz w:val="20"/>
                          </w:rPr>
                        </w:pPr>
                        <w:r>
                          <w:rPr>
                            <w:color w:val="231F20"/>
                            <w:sz w:val="20"/>
                          </w:rPr>
                          <w:t>$</w:t>
                          <w:tab/>
                          <w:t>1,106</w:t>
                        </w:r>
                      </w:p>
                    </w:tc>
                    <w:tc>
                      <w:tcPr>
                        <w:tcW w:w="1652" w:type="dxa"/>
                      </w:tcPr>
                      <w:p>
                        <w:pPr>
                          <w:pStyle w:val="TableParagraph"/>
                          <w:tabs>
                            <w:tab w:pos="1049" w:val="left" w:leader="none"/>
                          </w:tabs>
                          <w:spacing w:before="33"/>
                          <w:ind w:right="150"/>
                          <w:jc w:val="center"/>
                          <w:rPr>
                            <w:sz w:val="20"/>
                          </w:rPr>
                        </w:pPr>
                        <w:r>
                          <w:rPr>
                            <w:color w:val="231F20"/>
                            <w:sz w:val="20"/>
                          </w:rPr>
                          <w:t>$</w:t>
                          <w:tab/>
                          <w:t>0.92</w:t>
                        </w:r>
                      </w:p>
                    </w:tc>
                    <w:tc>
                      <w:tcPr>
                        <w:tcW w:w="1297" w:type="dxa"/>
                      </w:tcPr>
                      <w:p>
                        <w:pPr>
                          <w:pStyle w:val="TableParagraph"/>
                          <w:spacing w:before="33"/>
                          <w:jc w:val="right"/>
                          <w:rPr>
                            <w:sz w:val="20"/>
                          </w:rPr>
                        </w:pPr>
                        <w:r>
                          <w:rPr>
                            <w:color w:val="231F20"/>
                            <w:sz w:val="20"/>
                          </w:rPr>
                          <w:t>18.1%</w:t>
                        </w:r>
                      </w:p>
                    </w:tc>
                  </w:tr>
                  <w:tr>
                    <w:trPr>
                      <w:trHeight w:val="280" w:hRule="exact"/>
                    </w:trPr>
                    <w:tc>
                      <w:tcPr>
                        <w:tcW w:w="3241" w:type="dxa"/>
                        <w:shd w:val="clear" w:color="auto" w:fill="D1D3D4"/>
                      </w:tcPr>
                      <w:p>
                        <w:pPr>
                          <w:pStyle w:val="TableParagraph"/>
                          <w:spacing w:before="33"/>
                          <w:ind w:left="60"/>
                          <w:rPr>
                            <w:sz w:val="20"/>
                          </w:rPr>
                        </w:pPr>
                        <w:r>
                          <w:rPr>
                            <w:color w:val="231F20"/>
                            <w:sz w:val="20"/>
                          </w:rPr>
                          <w:t>2005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1,470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1.13</w:t>
                        </w:r>
                      </w:p>
                    </w:tc>
                    <w:tc>
                      <w:tcPr>
                        <w:tcW w:w="1297" w:type="dxa"/>
                        <w:shd w:val="clear" w:color="auto" w:fill="D1D3D4"/>
                      </w:tcPr>
                      <w:p>
                        <w:pPr>
                          <w:pStyle w:val="TableParagraph"/>
                          <w:spacing w:before="33"/>
                          <w:jc w:val="right"/>
                          <w:rPr>
                            <w:sz w:val="20"/>
                          </w:rPr>
                        </w:pPr>
                        <w:r>
                          <w:rPr>
                            <w:color w:val="231F20"/>
                            <w:sz w:val="20"/>
                          </w:rPr>
                          <w:t>21.4%</w:t>
                        </w:r>
                      </w:p>
                    </w:tc>
                  </w:tr>
                  <w:tr>
                    <w:trPr>
                      <w:trHeight w:val="280" w:hRule="exact"/>
                    </w:trPr>
                    <w:tc>
                      <w:tcPr>
                        <w:tcW w:w="3241" w:type="dxa"/>
                      </w:tcPr>
                      <w:p>
                        <w:pPr>
                          <w:pStyle w:val="TableParagraph"/>
                          <w:spacing w:before="33"/>
                          <w:ind w:left="60"/>
                          <w:rPr>
                            <w:sz w:val="20"/>
                          </w:rPr>
                        </w:pPr>
                        <w:r>
                          <w:rPr>
                            <w:color w:val="231F20"/>
                            <w:sz w:val="20"/>
                          </w:rPr>
                          <w:t>2006</w:t>
                        </w:r>
                      </w:p>
                    </w:tc>
                    <w:tc>
                      <w:tcPr>
                        <w:tcW w:w="2930" w:type="dxa"/>
                      </w:tcPr>
                      <w:p>
                        <w:pPr>
                          <w:pStyle w:val="TableParagraph"/>
                          <w:tabs>
                            <w:tab w:pos="2379" w:val="left" w:leader="none"/>
                          </w:tabs>
                          <w:spacing w:before="33"/>
                          <w:ind w:left="1429"/>
                          <w:jc w:val="center"/>
                          <w:rPr>
                            <w:sz w:val="20"/>
                          </w:rPr>
                        </w:pPr>
                        <w:r>
                          <w:rPr>
                            <w:color w:val="231F20"/>
                            <w:sz w:val="20"/>
                          </w:rPr>
                          <w:t>$</w:t>
                          <w:tab/>
                          <w:t>2,284</w:t>
                        </w:r>
                      </w:p>
                    </w:tc>
                    <w:tc>
                      <w:tcPr>
                        <w:tcW w:w="1652" w:type="dxa"/>
                      </w:tcPr>
                      <w:p>
                        <w:pPr>
                          <w:pStyle w:val="TableParagraph"/>
                          <w:tabs>
                            <w:tab w:pos="1049" w:val="left" w:leader="none"/>
                          </w:tabs>
                          <w:spacing w:before="33"/>
                          <w:ind w:right="150"/>
                          <w:jc w:val="center"/>
                          <w:rPr>
                            <w:sz w:val="20"/>
                          </w:rPr>
                        </w:pPr>
                        <w:r>
                          <w:rPr>
                            <w:color w:val="231F20"/>
                            <w:sz w:val="20"/>
                          </w:rPr>
                          <w:t>$</w:t>
                          <w:tab/>
                          <w:t>1.64</w:t>
                        </w:r>
                      </w:p>
                    </w:tc>
                    <w:tc>
                      <w:tcPr>
                        <w:tcW w:w="1297" w:type="dxa"/>
                      </w:tcPr>
                      <w:p>
                        <w:pPr>
                          <w:pStyle w:val="TableParagraph"/>
                          <w:spacing w:before="33"/>
                          <w:jc w:val="right"/>
                          <w:rPr>
                            <w:sz w:val="20"/>
                          </w:rPr>
                        </w:pPr>
                        <w:r>
                          <w:rPr>
                            <w:color w:val="231F20"/>
                            <w:sz w:val="20"/>
                          </w:rPr>
                          <w:t>28.0%</w:t>
                        </w:r>
                      </w:p>
                    </w:tc>
                  </w:tr>
                  <w:tr>
                    <w:trPr>
                      <w:trHeight w:val="280" w:hRule="exact"/>
                    </w:trPr>
                    <w:tc>
                      <w:tcPr>
                        <w:tcW w:w="3241" w:type="dxa"/>
                        <w:shd w:val="clear" w:color="auto" w:fill="D1D3D4"/>
                      </w:tcPr>
                      <w:p>
                        <w:pPr>
                          <w:pStyle w:val="TableParagraph"/>
                          <w:spacing w:before="33"/>
                          <w:ind w:left="60"/>
                          <w:rPr>
                            <w:sz w:val="20"/>
                          </w:rPr>
                        </w:pPr>
                        <w:r>
                          <w:rPr>
                            <w:color w:val="231F20"/>
                            <w:sz w:val="20"/>
                          </w:rPr>
                          <w:t>2007</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2,690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29.7%</w:t>
                        </w:r>
                      </w:p>
                    </w:tc>
                  </w:tr>
                  <w:tr>
                    <w:trPr>
                      <w:trHeight w:val="280" w:hRule="exact"/>
                    </w:trPr>
                    <w:tc>
                      <w:tcPr>
                        <w:tcW w:w="3241" w:type="dxa"/>
                      </w:tcPr>
                      <w:p>
                        <w:pPr>
                          <w:pStyle w:val="TableParagraph"/>
                          <w:spacing w:before="33"/>
                          <w:ind w:left="60"/>
                          <w:rPr>
                            <w:sz w:val="20"/>
                          </w:rPr>
                        </w:pPr>
                        <w:r>
                          <w:rPr>
                            <w:color w:val="231F20"/>
                            <w:sz w:val="20"/>
                          </w:rPr>
                          <w:t>2008</w:t>
                        </w:r>
                      </w:p>
                    </w:tc>
                    <w:tc>
                      <w:tcPr>
                        <w:tcW w:w="2930" w:type="dxa"/>
                      </w:tcPr>
                      <w:p>
                        <w:pPr>
                          <w:pStyle w:val="TableParagraph"/>
                          <w:tabs>
                            <w:tab w:pos="2379" w:val="left" w:leader="none"/>
                          </w:tabs>
                          <w:spacing w:before="33"/>
                          <w:ind w:left="1429"/>
                          <w:jc w:val="center"/>
                          <w:rPr>
                            <w:sz w:val="20"/>
                          </w:rPr>
                        </w:pPr>
                        <w:r>
                          <w:rPr>
                            <w:color w:val="231F20"/>
                            <w:sz w:val="20"/>
                          </w:rPr>
                          <w:t>$</w:t>
                          <w:tab/>
                          <w:t>3,713</w:t>
                        </w:r>
                      </w:p>
                    </w:tc>
                    <w:tc>
                      <w:tcPr>
                        <w:tcW w:w="1652" w:type="dxa"/>
                      </w:tcPr>
                      <w:p>
                        <w:pPr>
                          <w:pStyle w:val="TableParagraph"/>
                          <w:tabs>
                            <w:tab w:pos="1049" w:val="left" w:leader="none"/>
                          </w:tabs>
                          <w:spacing w:before="33"/>
                          <w:ind w:right="150"/>
                          <w:jc w:val="center"/>
                          <w:rPr>
                            <w:sz w:val="20"/>
                          </w:rPr>
                        </w:pPr>
                        <w:r>
                          <w:rPr>
                            <w:color w:val="231F20"/>
                            <w:sz w:val="20"/>
                          </w:rPr>
                          <w:t>$</w:t>
                          <w:tab/>
                          <w:t>2.44</w:t>
                        </w:r>
                      </w:p>
                    </w:tc>
                    <w:tc>
                      <w:tcPr>
                        <w:tcW w:w="1297" w:type="dxa"/>
                      </w:tcPr>
                      <w:p>
                        <w:pPr>
                          <w:pStyle w:val="TableParagraph"/>
                          <w:spacing w:before="33"/>
                          <w:jc w:val="right"/>
                          <w:rPr>
                            <w:sz w:val="20"/>
                          </w:rPr>
                        </w:pPr>
                        <w:r>
                          <w:rPr>
                            <w:color w:val="231F20"/>
                            <w:sz w:val="20"/>
                          </w:rPr>
                          <w:t>35.1%</w:t>
                        </w:r>
                      </w:p>
                    </w:tc>
                  </w:tr>
                  <w:tr>
                    <w:trPr>
                      <w:trHeight w:val="280" w:hRule="exact"/>
                    </w:trPr>
                    <w:tc>
                      <w:tcPr>
                        <w:tcW w:w="3241" w:type="dxa"/>
                        <w:shd w:val="clear" w:color="auto" w:fill="D1D3D4"/>
                      </w:tcPr>
                      <w:p>
                        <w:pPr>
                          <w:pStyle w:val="TableParagraph"/>
                          <w:spacing w:before="33"/>
                          <w:ind w:left="60"/>
                          <w:rPr>
                            <w:sz w:val="20"/>
                          </w:rPr>
                        </w:pPr>
                        <w:r>
                          <w:rPr>
                            <w:color w:val="231F20"/>
                            <w:sz w:val="20"/>
                          </w:rPr>
                          <w:t>2009</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3,044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2.12</w:t>
                        </w:r>
                      </w:p>
                    </w:tc>
                    <w:tc>
                      <w:tcPr>
                        <w:tcW w:w="1297" w:type="dxa"/>
                        <w:shd w:val="clear" w:color="auto" w:fill="D1D3D4"/>
                      </w:tcPr>
                      <w:p>
                        <w:pPr>
                          <w:pStyle w:val="TableParagraph"/>
                          <w:spacing w:before="33"/>
                          <w:jc w:val="right"/>
                          <w:rPr>
                            <w:sz w:val="20"/>
                          </w:rPr>
                        </w:pPr>
                        <w:r>
                          <w:rPr>
                            <w:color w:val="231F20"/>
                            <w:sz w:val="20"/>
                          </w:rPr>
                          <w:t>30.2%</w:t>
                        </w:r>
                      </w:p>
                    </w:tc>
                  </w:tr>
                  <w:tr>
                    <w:trPr>
                      <w:trHeight w:val="280" w:hRule="exact"/>
                    </w:trPr>
                    <w:tc>
                      <w:tcPr>
                        <w:tcW w:w="3241" w:type="dxa"/>
                      </w:tcPr>
                      <w:p>
                        <w:pPr>
                          <w:pStyle w:val="TableParagraph"/>
                          <w:spacing w:before="33"/>
                          <w:ind w:left="60"/>
                          <w:rPr>
                            <w:sz w:val="20"/>
                          </w:rPr>
                        </w:pPr>
                        <w:r>
                          <w:rPr>
                            <w:color w:val="231F20"/>
                            <w:sz w:val="20"/>
                          </w:rPr>
                          <w:t>2010</w:t>
                        </w:r>
                      </w:p>
                    </w:tc>
                    <w:tc>
                      <w:tcPr>
                        <w:tcW w:w="2930" w:type="dxa"/>
                      </w:tcPr>
                      <w:p>
                        <w:pPr>
                          <w:pStyle w:val="TableParagraph"/>
                          <w:tabs>
                            <w:tab w:pos="2379" w:val="left" w:leader="none"/>
                          </w:tabs>
                          <w:spacing w:before="33"/>
                          <w:ind w:left="1429"/>
                          <w:jc w:val="center"/>
                          <w:rPr>
                            <w:sz w:val="20"/>
                          </w:rPr>
                        </w:pPr>
                        <w:r>
                          <w:rPr>
                            <w:color w:val="231F20"/>
                            <w:sz w:val="20"/>
                          </w:rPr>
                          <w:t>$</w:t>
                          <w:tab/>
                          <w:t>3,620</w:t>
                        </w:r>
                      </w:p>
                    </w:tc>
                    <w:tc>
                      <w:tcPr>
                        <w:tcW w:w="1652" w:type="dxa"/>
                      </w:tcPr>
                      <w:p>
                        <w:pPr>
                          <w:pStyle w:val="TableParagraph"/>
                          <w:tabs>
                            <w:tab w:pos="1049" w:val="left" w:leader="none"/>
                          </w:tabs>
                          <w:spacing w:before="33"/>
                          <w:ind w:right="150"/>
                          <w:jc w:val="center"/>
                          <w:rPr>
                            <w:sz w:val="20"/>
                          </w:rPr>
                        </w:pPr>
                        <w:r>
                          <w:rPr>
                            <w:color w:val="231F20"/>
                            <w:sz w:val="20"/>
                          </w:rPr>
                          <w:t>$</w:t>
                          <w:tab/>
                          <w:t>2.51</w:t>
                        </w:r>
                      </w:p>
                    </w:tc>
                    <w:tc>
                      <w:tcPr>
                        <w:tcW w:w="1297" w:type="dxa"/>
                      </w:tcPr>
                      <w:p>
                        <w:pPr>
                          <w:pStyle w:val="TableParagraph"/>
                          <w:spacing w:before="33"/>
                          <w:jc w:val="right"/>
                          <w:rPr>
                            <w:sz w:val="20"/>
                          </w:rPr>
                        </w:pPr>
                        <w:r>
                          <w:rPr>
                            <w:color w:val="231F20"/>
                            <w:sz w:val="20"/>
                          </w:rPr>
                          <w:t>32.6%</w:t>
                        </w:r>
                      </w:p>
                    </w:tc>
                  </w:tr>
                  <w:tr>
                    <w:trPr>
                      <w:trHeight w:val="280" w:hRule="exact"/>
                    </w:trPr>
                    <w:tc>
                      <w:tcPr>
                        <w:tcW w:w="3241" w:type="dxa"/>
                        <w:shd w:val="clear" w:color="auto" w:fill="D1D3D4"/>
                      </w:tcPr>
                      <w:p>
                        <w:pPr>
                          <w:pStyle w:val="TableParagraph"/>
                          <w:spacing w:before="33"/>
                          <w:ind w:left="60"/>
                          <w:rPr>
                            <w:sz w:val="20"/>
                          </w:rPr>
                        </w:pPr>
                        <w:r>
                          <w:rPr>
                            <w:color w:val="231F20"/>
                            <w:sz w:val="20"/>
                          </w:rPr>
                          <w:t>2011</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5,644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3.19</w:t>
                        </w:r>
                      </w:p>
                    </w:tc>
                    <w:tc>
                      <w:tcPr>
                        <w:tcW w:w="1297" w:type="dxa"/>
                        <w:shd w:val="clear" w:color="auto" w:fill="D1D3D4"/>
                      </w:tcPr>
                      <w:p>
                        <w:pPr>
                          <w:pStyle w:val="TableParagraph"/>
                          <w:spacing w:before="33"/>
                          <w:jc w:val="right"/>
                          <w:rPr>
                            <w:sz w:val="20"/>
                          </w:rPr>
                        </w:pPr>
                        <w:r>
                          <w:rPr>
                            <w:color w:val="231F20"/>
                            <w:sz w:val="20"/>
                          </w:rPr>
                          <w:t>37.7%</w:t>
                        </w:r>
                      </w:p>
                    </w:tc>
                  </w:tr>
                  <w:tr>
                    <w:trPr>
                      <w:trHeight w:val="280" w:hRule="exact"/>
                    </w:trPr>
                    <w:tc>
                      <w:tcPr>
                        <w:tcW w:w="3241" w:type="dxa"/>
                      </w:tcPr>
                      <w:p>
                        <w:pPr>
                          <w:pStyle w:val="TableParagraph"/>
                          <w:spacing w:before="33"/>
                          <w:ind w:left="60"/>
                          <w:rPr>
                            <w:sz w:val="20"/>
                          </w:rPr>
                        </w:pPr>
                        <w:r>
                          <w:rPr>
                            <w:color w:val="231F20"/>
                            <w:sz w:val="20"/>
                          </w:rPr>
                          <w:t>2012</w:t>
                        </w:r>
                      </w:p>
                    </w:tc>
                    <w:tc>
                      <w:tcPr>
                        <w:tcW w:w="2930" w:type="dxa"/>
                      </w:tcPr>
                      <w:p>
                        <w:pPr>
                          <w:pStyle w:val="TableParagraph"/>
                          <w:tabs>
                            <w:tab w:pos="2379" w:val="left" w:leader="none"/>
                          </w:tabs>
                          <w:spacing w:before="33"/>
                          <w:ind w:left="1429"/>
                          <w:jc w:val="center"/>
                          <w:rPr>
                            <w:sz w:val="20"/>
                          </w:rPr>
                        </w:pPr>
                        <w:r>
                          <w:rPr>
                            <w:color w:val="231F20"/>
                            <w:sz w:val="20"/>
                          </w:rPr>
                          <w:t>$</w:t>
                          <w:tab/>
                          <w:t>6,120</w:t>
                        </w:r>
                      </w:p>
                    </w:tc>
                    <w:tc>
                      <w:tcPr>
                        <w:tcW w:w="1652" w:type="dxa"/>
                      </w:tcPr>
                      <w:p>
                        <w:pPr>
                          <w:pStyle w:val="TableParagraph"/>
                          <w:tabs>
                            <w:tab w:pos="1049" w:val="left" w:leader="none"/>
                          </w:tabs>
                          <w:spacing w:before="33"/>
                          <w:ind w:right="150"/>
                          <w:jc w:val="center"/>
                          <w:rPr>
                            <w:sz w:val="20"/>
                          </w:rPr>
                        </w:pPr>
                        <w:r>
                          <w:rPr>
                            <w:color w:val="231F20"/>
                            <w:sz w:val="20"/>
                          </w:rPr>
                          <w:t>$</w:t>
                          <w:tab/>
                          <w:t>3.30</w:t>
                        </w:r>
                      </w:p>
                    </w:tc>
                    <w:tc>
                      <w:tcPr>
                        <w:tcW w:w="1297" w:type="dxa"/>
                      </w:tcPr>
                      <w:p>
                        <w:pPr>
                          <w:pStyle w:val="TableParagraph"/>
                          <w:spacing w:before="33"/>
                          <w:jc w:val="right"/>
                          <w:rPr>
                            <w:sz w:val="20"/>
                          </w:rPr>
                        </w:pPr>
                        <w:r>
                          <w:rPr>
                            <w:color w:val="231F20"/>
                            <w:sz w:val="20"/>
                          </w:rPr>
                          <w:t>37.2%</w:t>
                        </w:r>
                      </w:p>
                    </w:tc>
                  </w:tr>
                  <w:tr>
                    <w:trPr>
                      <w:trHeight w:val="280" w:hRule="exact"/>
                    </w:trPr>
                    <w:tc>
                      <w:tcPr>
                        <w:tcW w:w="3241" w:type="dxa"/>
                        <w:shd w:val="clear" w:color="auto" w:fill="D1D3D4"/>
                      </w:tcPr>
                      <w:p>
                        <w:pPr>
                          <w:pStyle w:val="TableParagraph"/>
                          <w:spacing w:before="33"/>
                          <w:ind w:left="60"/>
                          <w:rPr>
                            <w:sz w:val="20"/>
                          </w:rPr>
                        </w:pPr>
                        <w:r>
                          <w:rPr>
                            <w:color w:val="231F20"/>
                            <w:sz w:val="20"/>
                          </w:rPr>
                          <w:t>2013</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5,763</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3.16</w:t>
                        </w:r>
                      </w:p>
                    </w:tc>
                    <w:tc>
                      <w:tcPr>
                        <w:tcW w:w="1297" w:type="dxa"/>
                        <w:shd w:val="clear" w:color="auto" w:fill="D1D3D4"/>
                      </w:tcPr>
                      <w:p>
                        <w:pPr>
                          <w:pStyle w:val="TableParagraph"/>
                          <w:spacing w:before="33"/>
                          <w:jc w:val="right"/>
                          <w:rPr>
                            <w:sz w:val="20"/>
                          </w:rPr>
                        </w:pPr>
                        <w:r>
                          <w:rPr>
                            <w:color w:val="231F20"/>
                            <w:sz w:val="20"/>
                          </w:rPr>
                          <w:t>35.1%</w:t>
                        </w:r>
                      </w:p>
                    </w:tc>
                  </w:tr>
                  <w:tr>
                    <w:trPr>
                      <w:trHeight w:val="280" w:hRule="exact"/>
                    </w:trPr>
                    <w:tc>
                      <w:tcPr>
                        <w:tcW w:w="3241" w:type="dxa"/>
                      </w:tcPr>
                      <w:p>
                        <w:pPr>
                          <w:pStyle w:val="TableParagraph"/>
                          <w:spacing w:before="33"/>
                          <w:ind w:left="60"/>
                          <w:rPr>
                            <w:sz w:val="20"/>
                          </w:rPr>
                        </w:pPr>
                        <w:r>
                          <w:rPr>
                            <w:color w:val="231F20"/>
                            <w:sz w:val="20"/>
                          </w:rPr>
                          <w:t>2014</w:t>
                        </w:r>
                      </w:p>
                    </w:tc>
                    <w:tc>
                      <w:tcPr>
                        <w:tcW w:w="2930" w:type="dxa"/>
                      </w:tcPr>
                      <w:p>
                        <w:pPr>
                          <w:pStyle w:val="TableParagraph"/>
                          <w:tabs>
                            <w:tab w:pos="2379" w:val="left" w:leader="none"/>
                          </w:tabs>
                          <w:spacing w:before="33"/>
                          <w:ind w:left="1429"/>
                          <w:jc w:val="center"/>
                          <w:rPr>
                            <w:sz w:val="20"/>
                          </w:rPr>
                        </w:pPr>
                        <w:r>
                          <w:rPr>
                            <w:color w:val="231F20"/>
                            <w:sz w:val="20"/>
                          </w:rPr>
                          <w:t>$</w:t>
                          <w:tab/>
                          <w:t>5,293</w:t>
                        </w:r>
                      </w:p>
                    </w:tc>
                    <w:tc>
                      <w:tcPr>
                        <w:tcW w:w="1652" w:type="dxa"/>
                      </w:tcPr>
                      <w:p>
                        <w:pPr>
                          <w:pStyle w:val="TableParagraph"/>
                          <w:tabs>
                            <w:tab w:pos="1049" w:val="left" w:leader="none"/>
                          </w:tabs>
                          <w:spacing w:before="33"/>
                          <w:ind w:right="150"/>
                          <w:jc w:val="center"/>
                          <w:rPr>
                            <w:sz w:val="20"/>
                          </w:rPr>
                        </w:pPr>
                        <w:r>
                          <w:rPr>
                            <w:color w:val="231F20"/>
                            <w:sz w:val="20"/>
                          </w:rPr>
                          <w:t>$</w:t>
                          <w:tab/>
                          <w:t>2.93</w:t>
                        </w:r>
                      </w:p>
                    </w:tc>
                    <w:tc>
                      <w:tcPr>
                        <w:tcW w:w="1297" w:type="dxa"/>
                      </w:tcPr>
                      <w:p>
                        <w:pPr>
                          <w:pStyle w:val="TableParagraph"/>
                          <w:spacing w:before="33"/>
                          <w:jc w:val="right"/>
                          <w:rPr>
                            <w:sz w:val="20"/>
                          </w:rPr>
                        </w:pPr>
                        <w:r>
                          <w:rPr>
                            <w:color w:val="231F20"/>
                            <w:sz w:val="20"/>
                          </w:rPr>
                          <w:t>32.3%</w:t>
                        </w:r>
                      </w:p>
                    </w:tc>
                  </w:tr>
                  <w:tr>
                    <w:trPr>
                      <w:trHeight w:val="280" w:hRule="exact"/>
                    </w:trPr>
                    <w:tc>
                      <w:tcPr>
                        <w:tcW w:w="3241" w:type="dxa"/>
                        <w:shd w:val="clear" w:color="auto" w:fill="D1D3D4"/>
                      </w:tcPr>
                      <w:p>
                        <w:pPr>
                          <w:pStyle w:val="TableParagraph"/>
                          <w:spacing w:before="33"/>
                          <w:ind w:left="60"/>
                          <w:rPr>
                            <w:sz w:val="20"/>
                          </w:rPr>
                        </w:pPr>
                        <w:r>
                          <w:rPr>
                            <w:color w:val="231F20"/>
                            <w:sz w:val="20"/>
                          </w:rPr>
                          <w:t>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3,616</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1.90</w:t>
                        </w:r>
                      </w:p>
                    </w:tc>
                    <w:tc>
                      <w:tcPr>
                        <w:tcW w:w="1297" w:type="dxa"/>
                        <w:shd w:val="clear" w:color="auto" w:fill="D1D3D4"/>
                      </w:tcPr>
                      <w:p>
                        <w:pPr>
                          <w:pStyle w:val="TableParagraph"/>
                          <w:spacing w:before="33"/>
                          <w:jc w:val="right"/>
                          <w:rPr>
                            <w:sz w:val="20"/>
                          </w:rPr>
                        </w:pPr>
                        <w:r>
                          <w:rPr>
                            <w:color w:val="231F20"/>
                            <w:sz w:val="20"/>
                          </w:rPr>
                          <w:t>23.0%</w:t>
                        </w:r>
                      </w:p>
                    </w:tc>
                  </w:tr>
                  <w:tr>
                    <w:trPr>
                      <w:trHeight w:val="280" w:hRule="exact"/>
                    </w:trPr>
                    <w:tc>
                      <w:tcPr>
                        <w:tcW w:w="3241" w:type="dxa"/>
                      </w:tcPr>
                      <w:p>
                        <w:pPr>
                          <w:pStyle w:val="TableParagraph"/>
                          <w:spacing w:before="33"/>
                          <w:ind w:left="60"/>
                          <w:rPr>
                            <w:sz w:val="20"/>
                          </w:rPr>
                        </w:pPr>
                        <w:r>
                          <w:rPr>
                            <w:color w:val="231F20"/>
                            <w:sz w:val="20"/>
                          </w:rPr>
                          <w:t>First Quarter 2015</w:t>
                        </w:r>
                      </w:p>
                    </w:tc>
                    <w:tc>
                      <w:tcPr>
                        <w:tcW w:w="2930" w:type="dxa"/>
                      </w:tcPr>
                      <w:p>
                        <w:pPr>
                          <w:pStyle w:val="TableParagraph"/>
                          <w:tabs>
                            <w:tab w:pos="2529" w:val="left" w:leader="none"/>
                          </w:tabs>
                          <w:spacing w:before="33"/>
                          <w:ind w:left="1429"/>
                          <w:jc w:val="center"/>
                          <w:rPr>
                            <w:sz w:val="20"/>
                          </w:rPr>
                        </w:pPr>
                        <w:r>
                          <w:rPr>
                            <w:color w:val="231F20"/>
                            <w:sz w:val="20"/>
                          </w:rPr>
                          <w:t>$</w:t>
                          <w:tab/>
                          <w:t>877</w:t>
                        </w:r>
                      </w:p>
                    </w:tc>
                    <w:tc>
                      <w:tcPr>
                        <w:tcW w:w="1652" w:type="dxa"/>
                      </w:tcPr>
                      <w:p>
                        <w:pPr>
                          <w:pStyle w:val="TableParagraph"/>
                          <w:tabs>
                            <w:tab w:pos="1049" w:val="left" w:leader="none"/>
                          </w:tabs>
                          <w:spacing w:before="33"/>
                          <w:ind w:right="150"/>
                          <w:jc w:val="center"/>
                          <w:rPr>
                            <w:sz w:val="20"/>
                          </w:rPr>
                        </w:pPr>
                        <w:r>
                          <w:rPr>
                            <w:color w:val="231F20"/>
                            <w:sz w:val="20"/>
                          </w:rPr>
                          <w:t>$</w:t>
                          <w:tab/>
                          <w:t>2.01</w:t>
                        </w:r>
                      </w:p>
                    </w:tc>
                    <w:tc>
                      <w:tcPr>
                        <w:tcW w:w="1297" w:type="dxa"/>
                      </w:tcPr>
                      <w:p>
                        <w:pPr>
                          <w:pStyle w:val="TableParagraph"/>
                          <w:spacing w:before="33"/>
                          <w:jc w:val="right"/>
                          <w:rPr>
                            <w:sz w:val="20"/>
                          </w:rPr>
                        </w:pPr>
                        <w:r>
                          <w:rPr>
                            <w:color w:val="231F20"/>
                            <w:sz w:val="20"/>
                          </w:rPr>
                          <w:t>24.1%</w:t>
                        </w:r>
                      </w:p>
                    </w:tc>
                  </w:tr>
                  <w:tr>
                    <w:trPr>
                      <w:trHeight w:val="280" w:hRule="exact"/>
                    </w:trPr>
                    <w:tc>
                      <w:tcPr>
                        <w:tcW w:w="3241" w:type="dxa"/>
                        <w:shd w:val="clear" w:color="auto" w:fill="D1D3D4"/>
                      </w:tcPr>
                      <w:p>
                        <w:pPr>
                          <w:pStyle w:val="TableParagraph"/>
                          <w:spacing w:before="33"/>
                          <w:ind w:left="60"/>
                          <w:rPr>
                            <w:sz w:val="20"/>
                          </w:rPr>
                        </w:pPr>
                        <w:r>
                          <w:rPr>
                            <w:color w:val="231F20"/>
                            <w:sz w:val="20"/>
                          </w:rPr>
                          <w:t>Second Quarter 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1,005</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2.03</w:t>
                        </w:r>
                      </w:p>
                    </w:tc>
                    <w:tc>
                      <w:tcPr>
                        <w:tcW w:w="1297" w:type="dxa"/>
                        <w:shd w:val="clear" w:color="auto" w:fill="D1D3D4"/>
                      </w:tcPr>
                      <w:p>
                        <w:pPr>
                          <w:pStyle w:val="TableParagraph"/>
                          <w:spacing w:before="33"/>
                          <w:jc w:val="right"/>
                          <w:rPr>
                            <w:sz w:val="20"/>
                          </w:rPr>
                        </w:pPr>
                        <w:r>
                          <w:rPr>
                            <w:color w:val="231F20"/>
                            <w:sz w:val="20"/>
                          </w:rPr>
                          <w:t>25.0%</w:t>
                        </w:r>
                      </w:p>
                    </w:tc>
                  </w:tr>
                  <w:tr>
                    <w:trPr>
                      <w:trHeight w:val="280" w:hRule="exact"/>
                    </w:trPr>
                    <w:tc>
                      <w:tcPr>
                        <w:tcW w:w="3241" w:type="dxa"/>
                      </w:tcPr>
                      <w:p>
                        <w:pPr>
                          <w:pStyle w:val="TableParagraph"/>
                          <w:spacing w:before="33"/>
                          <w:ind w:left="60"/>
                          <w:rPr>
                            <w:sz w:val="20"/>
                          </w:rPr>
                        </w:pPr>
                        <w:r>
                          <w:rPr>
                            <w:color w:val="231F20"/>
                            <w:sz w:val="20"/>
                          </w:rPr>
                          <w:t>Third Quarter 2015</w:t>
                        </w:r>
                      </w:p>
                    </w:tc>
                    <w:tc>
                      <w:tcPr>
                        <w:tcW w:w="2930" w:type="dxa"/>
                      </w:tcPr>
                      <w:p>
                        <w:pPr>
                          <w:pStyle w:val="TableParagraph"/>
                          <w:tabs>
                            <w:tab w:pos="2529" w:val="left" w:leader="none"/>
                          </w:tabs>
                          <w:spacing w:before="33"/>
                          <w:ind w:left="1429"/>
                          <w:jc w:val="center"/>
                          <w:rPr>
                            <w:sz w:val="20"/>
                          </w:rPr>
                        </w:pPr>
                        <w:r>
                          <w:rPr>
                            <w:color w:val="231F20"/>
                            <w:sz w:val="20"/>
                          </w:rPr>
                          <w:t>$</w:t>
                          <w:tab/>
                          <w:t>936</w:t>
                        </w:r>
                      </w:p>
                    </w:tc>
                    <w:tc>
                      <w:tcPr>
                        <w:tcW w:w="1652" w:type="dxa"/>
                      </w:tcPr>
                      <w:p>
                        <w:pPr>
                          <w:pStyle w:val="TableParagraph"/>
                          <w:tabs>
                            <w:tab w:pos="1049" w:val="left" w:leader="none"/>
                          </w:tabs>
                          <w:spacing w:before="33"/>
                          <w:ind w:right="150"/>
                          <w:jc w:val="center"/>
                          <w:rPr>
                            <w:sz w:val="20"/>
                          </w:rPr>
                        </w:pPr>
                        <w:r>
                          <w:rPr>
                            <w:color w:val="231F20"/>
                            <w:sz w:val="20"/>
                          </w:rPr>
                          <w:t>$</w:t>
                          <w:tab/>
                          <w:t>1.98</w:t>
                        </w:r>
                      </w:p>
                    </w:tc>
                    <w:tc>
                      <w:tcPr>
                        <w:tcW w:w="1297" w:type="dxa"/>
                      </w:tcPr>
                      <w:p>
                        <w:pPr>
                          <w:pStyle w:val="TableParagraph"/>
                          <w:spacing w:before="33"/>
                          <w:jc w:val="right"/>
                          <w:rPr>
                            <w:sz w:val="20"/>
                          </w:rPr>
                        </w:pPr>
                        <w:r>
                          <w:rPr>
                            <w:color w:val="231F20"/>
                            <w:sz w:val="20"/>
                          </w:rPr>
                          <w:t>22.9%</w:t>
                        </w:r>
                      </w:p>
                    </w:tc>
                  </w:tr>
                  <w:tr>
                    <w:trPr>
                      <w:trHeight w:val="280" w:hRule="exact"/>
                    </w:trPr>
                    <w:tc>
                      <w:tcPr>
                        <w:tcW w:w="3241" w:type="dxa"/>
                        <w:shd w:val="clear" w:color="auto" w:fill="D1D3D4"/>
                      </w:tcPr>
                      <w:p>
                        <w:pPr>
                          <w:pStyle w:val="TableParagraph"/>
                          <w:spacing w:before="33"/>
                          <w:ind w:left="60"/>
                          <w:rPr>
                            <w:sz w:val="20"/>
                          </w:rPr>
                        </w:pPr>
                        <w:r>
                          <w:rPr>
                            <w:color w:val="231F20"/>
                            <w:sz w:val="20"/>
                          </w:rPr>
                          <w:t>Fourth Quarter 2015</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798</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1.65</w:t>
                        </w:r>
                      </w:p>
                    </w:tc>
                    <w:tc>
                      <w:tcPr>
                        <w:tcW w:w="1297" w:type="dxa"/>
                        <w:shd w:val="clear" w:color="auto" w:fill="D1D3D4"/>
                      </w:tcPr>
                      <w:p>
                        <w:pPr>
                          <w:pStyle w:val="TableParagraph"/>
                          <w:spacing w:before="33"/>
                          <w:jc w:val="right"/>
                          <w:rPr>
                            <w:sz w:val="20"/>
                          </w:rPr>
                        </w:pPr>
                        <w:r>
                          <w:rPr>
                            <w:color w:val="231F20"/>
                            <w:sz w:val="20"/>
                          </w:rPr>
                          <w:t>20.2%</w:t>
                        </w:r>
                      </w:p>
                    </w:tc>
                  </w:tr>
                </w:tbl>
                <w:p>
                  <w:pPr>
                    <w:pStyle w:val="BodyText"/>
                  </w:pPr>
                </w:p>
              </w:txbxContent>
            </v:textbox>
            <w10:wrap type="none"/>
          </v:shape>
        </w:pict>
      </w:r>
      <w:r>
        <w:rPr>
          <w:color w:val="231F20"/>
        </w:rPr>
        <w:t>The Company enters into fuel derivative contracts to manage its risk associated with significant increases in fuel prices; however, as is evidenced by the table above, energy prices can fluctuate</w:t>
      </w:r>
    </w:p>
    <w:p>
      <w:pPr>
        <w:spacing w:after="0" w:line="247" w:lineRule="auto"/>
        <w:sectPr>
          <w:type w:val="continuous"/>
          <w:pgSz w:w="11880" w:h="15480"/>
          <w:pgMar w:top="1260" w:bottom="280" w:left="1280" w:right="1260"/>
        </w:sectPr>
      </w:pPr>
    </w:p>
    <w:p>
      <w:pPr>
        <w:pStyle w:val="BodyText"/>
        <w:spacing w:line="247" w:lineRule="auto" w:before="74"/>
        <w:ind w:left="120" w:right="117"/>
        <w:jc w:val="both"/>
      </w:pPr>
      <w:r>
        <w:rPr>
          <w:color w:val="231F20"/>
        </w:rPr>
        <w:t>significantly in a relatively short amount of time, and the cost of hedging generally increases with sustained high potential for volatility in the fuel market. Therefore, the Company continually monitors and adjusts its fuel hedge portfolio and strategies to address not only fuel price increases, but also fuel price volatility, hedge costs, and hedge collateral requirements. The Company’s fuel hedging activities are discussed in more detail below under “Risk Factors,” “Management’s Discussion and Analysis of Financial Condition and Results of Operations,” and Note 10 to the Consolidated Financial Statements.</w:t>
      </w:r>
    </w:p>
    <w:p>
      <w:pPr>
        <w:pStyle w:val="BodyText"/>
        <w:spacing w:before="8"/>
        <w:rPr>
          <w:sz w:val="21"/>
        </w:rPr>
      </w:pPr>
    </w:p>
    <w:p>
      <w:pPr>
        <w:pStyle w:val="BodyText"/>
        <w:spacing w:line="247" w:lineRule="auto"/>
        <w:ind w:left="120" w:right="117"/>
        <w:jc w:val="both"/>
      </w:pPr>
      <w:r>
        <w:rPr>
          <w:color w:val="231F20"/>
        </w:rPr>
        <w:t>During 2015, the Company continued to focus on reducing fuel consumption and improving efficiency through fleet modernization and other fuel initiatives. The Company continued to replace its older aircraft with newer aircraft that are less maintenance intensive and more fuel efficient. For example, during 2015, the Company took delivery of 19 Boeing 737-800 aircraft and 24 Boeing 737-700  aircraft. In 2016, the Company currently expects to take delivery of an additional 36 Boeing 737-800 aircraft and 17 Boeing 737-700 aircraft. As further discussed in “Management’s Discussion and Analysis of Financial Condition and Results of Operations” and in Note 1 to the Consolidated  Financial Statements, the Company recently announced its intent to accelerate the retirement of its 737-300 and 737-500 aircraft. The Company’s fleet composition and delivery schedule is discussed in more detail below under “Properties - Aircraft.” The Company also continued to participate in Required Navigation Performance (“RNP”) operations as part of the FAA’s Performance Based Navigation program. RNP combines the capabilities of advanced aircraft avionics, Global Positioning System satellite navigation (instead of less precise ground-based navigation), and new flight  procedures to produce more efficient flight patterns and conserve fuel. The Company’s RNP activities are discussed further under “Regulation - Environmental</w:t>
      </w:r>
      <w:r>
        <w:rPr>
          <w:color w:val="231F20"/>
          <w:spacing w:val="-2"/>
        </w:rPr>
        <w:t> </w:t>
      </w:r>
      <w:r>
        <w:rPr>
          <w:color w:val="231F20"/>
        </w:rPr>
        <w:t>Regulation.”</w:t>
      </w:r>
    </w:p>
    <w:p>
      <w:pPr>
        <w:pStyle w:val="BodyText"/>
        <w:spacing w:before="8"/>
        <w:rPr>
          <w:sz w:val="21"/>
        </w:rPr>
      </w:pPr>
    </w:p>
    <w:p>
      <w:pPr>
        <w:pStyle w:val="BodyText"/>
        <w:spacing w:line="247" w:lineRule="auto"/>
        <w:ind w:left="120" w:right="118"/>
        <w:jc w:val="both"/>
      </w:pPr>
      <w:r>
        <w:rPr>
          <w:color w:val="231F20"/>
        </w:rPr>
        <w:t>The table below illustrates the Company’s available seat miles produced per fuel gallon consumed over the last five years:</w:t>
      </w:r>
    </w:p>
    <w:p>
      <w:pPr>
        <w:pStyle w:val="BodyText"/>
        <w:spacing w:before="6"/>
        <w:rPr>
          <w:sz w:val="9"/>
        </w:rPr>
      </w:pPr>
    </w:p>
    <w:p>
      <w:pPr>
        <w:spacing w:before="99" w:after="26"/>
        <w:ind w:left="5040" w:right="0" w:firstLine="0"/>
        <w:jc w:val="left"/>
        <w:rPr>
          <w:b/>
          <w:sz w:val="20"/>
        </w:rPr>
      </w:pP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20"/>
        <w:gridCol w:w="1080"/>
        <w:gridCol w:w="200"/>
        <w:gridCol w:w="1080"/>
        <w:gridCol w:w="200"/>
        <w:gridCol w:w="1080"/>
        <w:gridCol w:w="200"/>
        <w:gridCol w:w="1080"/>
        <w:gridCol w:w="1280"/>
      </w:tblGrid>
      <w:tr>
        <w:trPr>
          <w:trHeight w:val="280" w:hRule="exact"/>
        </w:trPr>
        <w:tc>
          <w:tcPr>
            <w:tcW w:w="2920" w:type="dxa"/>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2013</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2012</w:t>
            </w:r>
          </w:p>
        </w:tc>
        <w:tc>
          <w:tcPr>
            <w:tcW w:w="1280" w:type="dxa"/>
            <w:tcBorders>
              <w:top w:val="single" w:sz="8" w:space="0" w:color="231F20"/>
              <w:bottom w:val="single" w:sz="8" w:space="0" w:color="231F20"/>
            </w:tcBorders>
          </w:tcPr>
          <w:p>
            <w:pPr>
              <w:pStyle w:val="TableParagraph"/>
              <w:spacing w:before="13"/>
              <w:ind w:right="339"/>
              <w:jc w:val="right"/>
              <w:rPr>
                <w:b/>
                <w:sz w:val="20"/>
              </w:rPr>
            </w:pPr>
            <w:r>
              <w:rPr>
                <w:b/>
                <w:color w:val="231F20"/>
                <w:sz w:val="20"/>
              </w:rPr>
              <w:t>2011</w:t>
            </w:r>
          </w:p>
        </w:tc>
      </w:tr>
      <w:tr>
        <w:trPr>
          <w:trHeight w:val="550" w:hRule="exact"/>
        </w:trPr>
        <w:tc>
          <w:tcPr>
            <w:tcW w:w="2920" w:type="dxa"/>
            <w:shd w:val="clear" w:color="auto" w:fill="D1D3D4"/>
          </w:tcPr>
          <w:p>
            <w:pPr>
              <w:pStyle w:val="TableParagraph"/>
              <w:spacing w:line="249" w:lineRule="auto"/>
              <w:ind w:left="240" w:right="572" w:hanging="200"/>
              <w:rPr>
                <w:sz w:val="20"/>
              </w:rPr>
            </w:pPr>
            <w:r>
              <w:rPr>
                <w:color w:val="231F20"/>
                <w:sz w:val="20"/>
              </w:rPr>
              <w:t>Available seat miles per fuel gallon consumed</w:t>
            </w: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73.9</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72.8</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71.7</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69.4</w:t>
            </w:r>
          </w:p>
        </w:tc>
        <w:tc>
          <w:tcPr>
            <w:tcW w:w="1280" w:type="dxa"/>
            <w:tcBorders>
              <w:top w:val="single" w:sz="8" w:space="0" w:color="231F20"/>
            </w:tcBorders>
            <w:shd w:val="clear" w:color="auto" w:fill="D1D3D4"/>
          </w:tcPr>
          <w:p>
            <w:pPr>
              <w:pStyle w:val="TableParagraph"/>
              <w:spacing w:before="7"/>
              <w:rPr>
                <w:b/>
                <w:sz w:val="24"/>
              </w:rPr>
            </w:pPr>
          </w:p>
          <w:p>
            <w:pPr>
              <w:pStyle w:val="TableParagraph"/>
              <w:spacing w:before="0"/>
              <w:ind w:right="362"/>
              <w:jc w:val="right"/>
              <w:rPr>
                <w:sz w:val="20"/>
              </w:rPr>
            </w:pPr>
            <w:r>
              <w:rPr>
                <w:color w:val="231F20"/>
                <w:sz w:val="20"/>
              </w:rPr>
              <w:t>68.3</w:t>
            </w:r>
          </w:p>
        </w:tc>
      </w:tr>
    </w:tbl>
    <w:p>
      <w:pPr>
        <w:pStyle w:val="BodyText"/>
        <w:rPr>
          <w:b/>
        </w:rPr>
      </w:pPr>
    </w:p>
    <w:p>
      <w:pPr>
        <w:pStyle w:val="Heading1"/>
        <w:spacing w:before="178"/>
        <w:ind w:left="99" w:right="7097"/>
        <w:jc w:val="center"/>
      </w:pPr>
      <w:r>
        <w:rPr>
          <w:color w:val="231F20"/>
        </w:rPr>
        <w:t>Fare Structure</w:t>
      </w:r>
    </w:p>
    <w:p>
      <w:pPr>
        <w:pStyle w:val="BodyText"/>
        <w:spacing w:before="4"/>
        <w:rPr>
          <w:b/>
        </w:rPr>
      </w:pPr>
    </w:p>
    <w:p>
      <w:pPr>
        <w:pStyle w:val="Heading2"/>
        <w:ind w:left="99" w:right="7043"/>
        <w:jc w:val="center"/>
        <w:rPr>
          <w:i/>
        </w:rPr>
      </w:pPr>
      <w:r>
        <w:rPr>
          <w:i/>
          <w:color w:val="231F20"/>
        </w:rPr>
        <w:t>General</w:t>
      </w:r>
    </w:p>
    <w:p>
      <w:pPr>
        <w:pStyle w:val="BodyText"/>
        <w:spacing w:before="4"/>
        <w:rPr>
          <w:b/>
          <w:i/>
        </w:rPr>
      </w:pPr>
    </w:p>
    <w:p>
      <w:pPr>
        <w:pStyle w:val="BodyText"/>
        <w:spacing w:line="247" w:lineRule="auto"/>
        <w:ind w:left="119" w:right="117"/>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(weight and size limits apply). In addition, regardless of the fare product, Southwest does not charge fees for changes to flight</w:t>
      </w:r>
      <w:r>
        <w:rPr>
          <w:color w:val="231F20"/>
          <w:spacing w:val="-3"/>
        </w:rPr>
        <w:t> </w:t>
      </w:r>
      <w:r>
        <w:rPr>
          <w:color w:val="231F20"/>
        </w:rPr>
        <w:t>reservations.</w:t>
      </w:r>
    </w:p>
    <w:p>
      <w:pPr>
        <w:pStyle w:val="ListParagraph"/>
        <w:numPr>
          <w:ilvl w:val="0"/>
          <w:numId w:val="1"/>
        </w:numPr>
        <w:tabs>
          <w:tab w:pos="1000" w:val="left" w:leader="none"/>
        </w:tabs>
        <w:spacing w:line="247" w:lineRule="auto" w:before="124" w:after="0"/>
        <w:ind w:left="1000" w:right="117" w:hanging="440"/>
        <w:jc w:val="both"/>
        <w:rPr>
          <w:sz w:val="22"/>
        </w:rPr>
      </w:pPr>
      <w:r>
        <w:rPr>
          <w:color w:val="231F20"/>
          <w:sz w:val="22"/>
        </w:rPr>
        <w:t>“Wanna Get Away” fares are generally the lowest fares and are typically subject to advance purchase requirements. They are nonrefundable but, subject to compliance with Southwest’s No Show policy, funds may be applied to future travel on Southwest without a change fee. Southwest’s No Show policy applies if a Customer has booked a nonrefundable fare anywhere in his/her itinerary and that portion of the flight is not used and not canceled or changed</w:t>
      </w:r>
      <w:r>
        <w:rPr>
          <w:color w:val="231F20"/>
          <w:spacing w:val="27"/>
          <w:sz w:val="22"/>
        </w:rPr>
        <w:t> </w:t>
      </w:r>
      <w:r>
        <w:rPr>
          <w:color w:val="231F20"/>
          <w:sz w:val="22"/>
        </w:rPr>
        <w:t>by</w:t>
      </w:r>
      <w:r>
        <w:rPr>
          <w:color w:val="231F20"/>
          <w:spacing w:val="27"/>
          <w:sz w:val="22"/>
        </w:rPr>
        <w:t> </w:t>
      </w:r>
      <w:r>
        <w:rPr>
          <w:color w:val="231F20"/>
          <w:sz w:val="22"/>
        </w:rPr>
        <w:t>the</w:t>
      </w:r>
      <w:r>
        <w:rPr>
          <w:color w:val="231F20"/>
          <w:spacing w:val="27"/>
          <w:sz w:val="22"/>
        </w:rPr>
        <w:t> </w:t>
      </w:r>
      <w:r>
        <w:rPr>
          <w:color w:val="231F20"/>
          <w:sz w:val="22"/>
        </w:rPr>
        <w:t>Customer</w:t>
      </w:r>
      <w:r>
        <w:rPr>
          <w:color w:val="231F20"/>
          <w:spacing w:val="27"/>
          <w:sz w:val="22"/>
        </w:rPr>
        <w:t> </w:t>
      </w:r>
      <w:r>
        <w:rPr>
          <w:color w:val="231F20"/>
          <w:sz w:val="22"/>
        </w:rPr>
        <w:t>at</w:t>
      </w:r>
      <w:r>
        <w:rPr>
          <w:color w:val="231F20"/>
          <w:spacing w:val="27"/>
          <w:sz w:val="22"/>
        </w:rPr>
        <w:t> </w:t>
      </w:r>
      <w:r>
        <w:rPr>
          <w:color w:val="231F20"/>
          <w:sz w:val="22"/>
        </w:rPr>
        <w:t>least</w:t>
      </w:r>
      <w:r>
        <w:rPr>
          <w:color w:val="231F20"/>
          <w:spacing w:val="27"/>
          <w:sz w:val="22"/>
        </w:rPr>
        <w:t> </w:t>
      </w:r>
      <w:r>
        <w:rPr>
          <w:color w:val="231F20"/>
          <w:sz w:val="22"/>
        </w:rPr>
        <w:t>ten</w:t>
      </w:r>
      <w:r>
        <w:rPr>
          <w:color w:val="231F20"/>
          <w:spacing w:val="27"/>
          <w:sz w:val="22"/>
        </w:rPr>
        <w:t> </w:t>
      </w:r>
      <w:r>
        <w:rPr>
          <w:color w:val="231F20"/>
          <w:sz w:val="22"/>
        </w:rPr>
        <w:t>minutes</w:t>
      </w:r>
      <w:r>
        <w:rPr>
          <w:color w:val="231F20"/>
          <w:spacing w:val="27"/>
          <w:sz w:val="22"/>
        </w:rPr>
        <w:t> </w:t>
      </w:r>
      <w:r>
        <w:rPr>
          <w:color w:val="231F20"/>
          <w:sz w:val="22"/>
        </w:rPr>
        <w:t>prior</w:t>
      </w:r>
      <w:r>
        <w:rPr>
          <w:color w:val="231F20"/>
          <w:spacing w:val="26"/>
          <w:sz w:val="22"/>
        </w:rPr>
        <w:t> </w:t>
      </w:r>
      <w:r>
        <w:rPr>
          <w:color w:val="231F20"/>
          <w:sz w:val="22"/>
        </w:rPr>
        <w:t>to</w:t>
      </w:r>
      <w:r>
        <w:rPr>
          <w:color w:val="231F20"/>
          <w:spacing w:val="26"/>
          <w:sz w:val="22"/>
        </w:rPr>
        <w:t> </w:t>
      </w:r>
      <w:r>
        <w:rPr>
          <w:color w:val="231F20"/>
          <w:sz w:val="22"/>
        </w:rPr>
        <w:t>scheduled</w:t>
      </w:r>
      <w:r>
        <w:rPr>
          <w:color w:val="231F20"/>
          <w:spacing w:val="28"/>
          <w:sz w:val="22"/>
        </w:rPr>
        <w:t> </w:t>
      </w:r>
      <w:r>
        <w:rPr>
          <w:color w:val="231F20"/>
          <w:sz w:val="22"/>
        </w:rPr>
        <w:t>departure.</w:t>
      </w:r>
      <w:r>
        <w:rPr>
          <w:color w:val="231F20"/>
          <w:spacing w:val="27"/>
          <w:sz w:val="22"/>
        </w:rPr>
        <w:t> </w:t>
      </w:r>
      <w:r>
        <w:rPr>
          <w:color w:val="231F20"/>
          <w:sz w:val="22"/>
        </w:rPr>
        <w:t>In</w:t>
      </w:r>
      <w:r>
        <w:rPr>
          <w:color w:val="231F20"/>
          <w:spacing w:val="26"/>
          <w:sz w:val="22"/>
        </w:rPr>
        <w:t> </w:t>
      </w:r>
      <w:r>
        <w:rPr>
          <w:color w:val="231F20"/>
          <w:sz w:val="22"/>
        </w:rPr>
        <w:t>such</w:t>
      </w:r>
      <w:r>
        <w:rPr>
          <w:color w:val="231F20"/>
          <w:spacing w:val="27"/>
          <w:sz w:val="22"/>
        </w:rPr>
        <w:t> </w:t>
      </w:r>
      <w:r>
        <w:rPr>
          <w:color w:val="231F20"/>
          <w:sz w:val="22"/>
        </w:rPr>
        <w:t>event,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1000" w:right="117"/>
        <w:jc w:val="both"/>
      </w:pPr>
      <w:r>
        <w:rPr>
          <w:color w:val="231F20"/>
        </w:rPr>
        <w:t>subject to certain exceptions, all unused funds on the full itinerary will be forfeited, and the remaining reservation will be canceled. The intent of the No Show policy is to promote Customer behavior that will enable Southwest to re-sell the open seat prior to departure.</w:t>
      </w:r>
    </w:p>
    <w:p>
      <w:pPr>
        <w:pStyle w:val="ListParagraph"/>
        <w:numPr>
          <w:ilvl w:val="0"/>
          <w:numId w:val="1"/>
        </w:numPr>
        <w:tabs>
          <w:tab w:pos="1000" w:val="left" w:leader="none"/>
        </w:tabs>
        <w:spacing w:line="247" w:lineRule="auto" w:before="194" w:after="0"/>
        <w:ind w:left="1000" w:right="117" w:hanging="44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 The Company’s frequent flyer program is discussed below under “Rapid Rewards Frequent Flyer Program.”</w:t>
      </w:r>
    </w:p>
    <w:p>
      <w:pPr>
        <w:pStyle w:val="ListParagraph"/>
        <w:numPr>
          <w:ilvl w:val="0"/>
          <w:numId w:val="1"/>
        </w:numPr>
        <w:tabs>
          <w:tab w:pos="1000" w:val="left" w:leader="none"/>
        </w:tabs>
        <w:spacing w:line="247" w:lineRule="auto" w:before="194" w:after="0"/>
        <w:ind w:left="1000" w:right="117" w:hanging="44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and/or ticket counter access in participating airports, and one complimentary adult beverage coupon for the day of travel (for Customers of legal drinking</w:t>
      </w:r>
      <w:r>
        <w:rPr>
          <w:color w:val="231F20"/>
          <w:spacing w:val="-4"/>
          <w:sz w:val="22"/>
        </w:rPr>
        <w:t> </w:t>
      </w:r>
      <w:r>
        <w:rPr>
          <w:color w:val="231F20"/>
          <w:sz w:val="22"/>
        </w:rPr>
        <w:t>age).</w:t>
      </w:r>
    </w:p>
    <w:p>
      <w:pPr>
        <w:pStyle w:val="Heading2"/>
        <w:spacing w:before="194"/>
        <w:ind w:left="840"/>
        <w:rPr>
          <w:i/>
        </w:rPr>
      </w:pPr>
      <w:r>
        <w:rPr>
          <w:i/>
          <w:color w:val="231F20"/>
        </w:rPr>
        <w:t>Ancillary Services</w:t>
      </w:r>
    </w:p>
    <w:p>
      <w:pPr>
        <w:pStyle w:val="BodyText"/>
        <w:spacing w:line="247" w:lineRule="auto" w:before="202"/>
        <w:ind w:left="119" w:right="117"/>
        <w:jc w:val="both"/>
      </w:pPr>
      <w:r>
        <w:rPr>
          <w:color w:val="231F20"/>
        </w:rPr>
        <w:t>The Company offers ancillary service offerings such as Southwest’s EarlyBird Check-In</w:t>
      </w:r>
      <w:r>
        <w:rPr>
          <w:color w:val="231F20"/>
          <w:position w:val="5"/>
          <w:sz w:val="16"/>
        </w:rPr>
        <w:t>® </w:t>
      </w:r>
      <w:r>
        <w:rPr>
          <w:color w:val="231F20"/>
        </w:rPr>
        <w:t>and transportation of pets and unaccompanied minors, in accordance with Southwest’s respective policies. EarlyBird Check-In provides Customers with automatic check-in before general boarding positions become available, improving Customers’ seat selection options (priority boarding privileges are  already a benefit of being an “A-List” tier member under the Company’s Rapid Rewards Frequent Flyer Program). Southwest’s Pet Policy provides Customers an opportunity to bring a small cat or dog into the aircraft cabin. Southwest also has an unaccompanied minor travel policy to address the administrative costs and the extra care necessary to safely transport these Customers.</w:t>
      </w:r>
    </w:p>
    <w:p>
      <w:pPr>
        <w:pStyle w:val="BodyText"/>
        <w:spacing w:line="247" w:lineRule="auto" w:before="194"/>
        <w:ind w:left="119" w:right="117"/>
        <w:jc w:val="both"/>
      </w:pPr>
      <w:r>
        <w:rPr>
          <w:color w:val="231F20"/>
        </w:rPr>
        <w:t>When available,  Southwest  also  sells,  at  the  gate,  open  priority  boarding  positions  in  the  first  15 positions in its “A” boarding</w:t>
      </w:r>
      <w:r>
        <w:rPr>
          <w:color w:val="231F20"/>
          <w:spacing w:val="-2"/>
        </w:rPr>
        <w:t> </w:t>
      </w:r>
      <w:r>
        <w:rPr>
          <w:color w:val="231F20"/>
        </w:rPr>
        <w:t>group.</w:t>
      </w:r>
    </w:p>
    <w:p>
      <w:pPr>
        <w:pStyle w:val="BodyText"/>
        <w:spacing w:line="247" w:lineRule="auto" w:before="194"/>
        <w:ind w:left="119" w:right="117"/>
        <w:jc w:val="both"/>
      </w:pPr>
      <w:r>
        <w:rPr>
          <w:color w:val="231F20"/>
        </w:rPr>
        <w:t>Southwest offers inflight satellite-based WiFi service on all of its 737-700 and 737-800 aircraft, representing over 80 percent of Southwest’s fleet. Southwest’s Customers with small portable electronic devices are able to utilize the airline’s onboard WiFi from gate-to-gate when travelling on a Southwest WiFi-enabled airplane. Southwest was the first carrier to offer gate-to-gate connectivity. Southwest’s onboard entertainment options on WiFi-enabled aircraft for viewing on Customers’ personal wireless devices include free access to Southwest’s live and on-demand television product. The television product currently consists of 19 live channels and up to 75 on-demand  recorded episodes from popular television series. Due to licensing restrictions, free live TV may not be available onboard WiFi-enabled international flights. Southwest also provides movies-on-demand, and also offers a Messaging-only option, including all WiFi-enabled stops and connections. The Messaging service allows access to iMessage and pre-downloaded apps for Viber and WhatsApp. Customers do not have to purchase WiFi to access television offerings, movies-on-demand, or the Messaging-only service.</w:t>
      </w:r>
    </w:p>
    <w:p>
      <w:pPr>
        <w:pStyle w:val="Heading1"/>
        <w:spacing w:before="194"/>
        <w:ind w:left="480"/>
        <w:jc w:val="left"/>
      </w:pPr>
      <w:r>
        <w:rPr>
          <w:color w:val="231F20"/>
        </w:rPr>
        <w:t>Rapid Rewards Frequent Flyer Program</w:t>
      </w:r>
    </w:p>
    <w:p>
      <w:pPr>
        <w:pStyle w:val="BodyText"/>
        <w:spacing w:line="247" w:lineRule="auto" w:before="201"/>
        <w:ind w:left="119" w:right="118"/>
        <w:jc w:val="both"/>
      </w:pPr>
      <w:r>
        <w:rPr>
          <w:color w:val="231F20"/>
        </w:rPr>
        <w:t>Southwest’s Rapid Rewards frequent flyer program enables program members (“Members”) to earn points for every dollar spent on Southwest fares. The amount of points earned under the program is</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Member has points-earning activity during the most recent 24</w:t>
      </w:r>
      <w:r>
        <w:rPr>
          <w:color w:val="231F20"/>
          <w:spacing w:val="-2"/>
        </w:rPr>
        <w:t> </w:t>
      </w:r>
      <w:r>
        <w:rPr>
          <w:color w:val="231F20"/>
        </w:rPr>
        <w:t>months.</w:t>
      </w:r>
    </w:p>
    <w:p>
      <w:pPr>
        <w:pStyle w:val="BodyText"/>
        <w:spacing w:line="247" w:lineRule="auto" w:before="172"/>
        <w:ind w:left="119" w:right="117"/>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Members can also earn points through qualifying purchases with Rapid Rewards Partners (which include, for example, car rental agencies, hotels, restaurants, and retailers),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Members also have the ability to purchase, gift, and transfer points, as well as the ability to donate points to selected charities.</w:t>
      </w:r>
    </w:p>
    <w:p>
      <w:pPr>
        <w:pStyle w:val="BodyText"/>
        <w:spacing w:line="247" w:lineRule="auto" w:before="172"/>
        <w:ind w:left="119" w:right="117"/>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Members who attain A-List or A-List Preferred status receive priority boarding privileges for an entire year. When these Customers purchase travel at least 36 hours prior to flight time, they receive the best boarding pass number available (generally, an “A” boarding pass).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Member. The Member and designated companion must travel together on the same flight.</w:t>
      </w:r>
    </w:p>
    <w:p>
      <w:pPr>
        <w:pStyle w:val="BodyText"/>
        <w:spacing w:before="172"/>
        <w:ind w:left="120"/>
        <w:jc w:val="both"/>
      </w:pPr>
      <w:r>
        <w:rPr>
          <w:color w:val="231F20"/>
        </w:rPr>
        <w:t>Southwest’s  Rapid  Rewards  frequent  flyer  program  has  been  designed  to  drive  more  revenue by</w:t>
      </w:r>
    </w:p>
    <w:p>
      <w:pPr>
        <w:pStyle w:val="BodyText"/>
        <w:spacing w:line="247" w:lineRule="auto" w:before="7"/>
        <w:ind w:left="120" w:right="118"/>
        <w:jc w:val="both"/>
      </w:pPr>
      <w:r>
        <w:rPr>
          <w:color w:val="231F20"/>
        </w:rPr>
        <w:t>(i) bringing in new Customers, including new Members, as well as new holders of Southwest’s co- branded   Chase    Visa   credit   card;   (ii)   increasing   business   from   existing   Customers;        and</w:t>
      </w:r>
    </w:p>
    <w:p>
      <w:pPr>
        <w:pStyle w:val="BodyText"/>
        <w:spacing w:line="247" w:lineRule="auto"/>
        <w:ind w:left="120" w:right="117"/>
        <w:jc w:val="both"/>
      </w:pPr>
      <w:r>
        <w:rPr>
          <w:color w:val="231F20"/>
        </w:rPr>
        <w:t>(iii) strengthening the Company’s Rapid Rewards hotel, rental car, credit card, and retail partnerships. The program continues to exceed the Company’s expectations with respect to the number of Members added, the amount spent per Member on airfare, the number of flights taken by Members, the number of Southwest’s co-branded Chase Visa credit card holders added, the number of points sold to business partners, and the number of frequent flyer points purchased by Members. During 2015, the Company entered into an amended co-branded credit card agreement with Chase Bank USA, N.A. Additional information regarding this amended co-branded credit card agreement, including the effect of the resulting change in accounting methodology, is provided below under “Management’s Discussion and Analysis of Financial Condition and Results of Operations” and in Note 1 to the Consolidated  Financial Statements.</w:t>
      </w:r>
    </w:p>
    <w:p>
      <w:pPr>
        <w:spacing w:after="0" w:line="247" w:lineRule="auto"/>
        <w:jc w:val="both"/>
        <w:sectPr>
          <w:pgSz w:w="11880" w:h="15480"/>
          <w:pgMar w:header="0" w:footer="1240" w:top="1240" w:bottom="1420" w:left="1260" w:right="1260"/>
        </w:sectPr>
      </w:pPr>
    </w:p>
    <w:p>
      <w:pPr>
        <w:pStyle w:val="BodyText"/>
        <w:spacing w:before="74"/>
        <w:ind w:left="120"/>
        <w:jc w:val="both"/>
      </w:pPr>
      <w:r>
        <w:rPr>
          <w:color w:val="231F20"/>
        </w:rPr>
        <w:t>For  the  Company’s  2015  consolidated  results,  Customers  of  Southwest  redeemed   approximately</w:t>
      </w:r>
    </w:p>
    <w:p>
      <w:pPr>
        <w:pStyle w:val="BodyText"/>
        <w:spacing w:line="247" w:lineRule="auto" w:before="6"/>
        <w:ind w:left="120" w:right="117"/>
        <w:jc w:val="both"/>
      </w:pPr>
      <w:r>
        <w:rPr>
          <w:color w:val="231F20"/>
        </w:rPr>
        <w:t>7.3 million flight awards, accounting for approximately 12.0 percent of revenue passenger miles flown. For the Company’s 2014 consolidated results, Customers of Southwest and AirTran redeemed approximately 6.2 million flight awards, accounting for approximately 11.0 percent of revenue passenger miles flown. For the Company’s 2013 consolidated results, Customers of Southwest and AirTran redeemed approximately 5.4 million flight awards, accounting for approximately 9.5 percent of revenue passenger miles flown. The Company’s accounting policies with respect to its frequent flyer programs are discussed in more detail in Note 1 to the Consolidated Financial</w:t>
      </w:r>
      <w:r>
        <w:rPr>
          <w:color w:val="231F20"/>
          <w:spacing w:val="-2"/>
        </w:rPr>
        <w:t> </w:t>
      </w:r>
      <w:r>
        <w:rPr>
          <w:color w:val="231F20"/>
        </w:rPr>
        <w:t>Statements.</w:t>
      </w:r>
    </w:p>
    <w:p>
      <w:pPr>
        <w:pStyle w:val="BodyText"/>
        <w:spacing w:before="5"/>
      </w:pPr>
    </w:p>
    <w:p>
      <w:pPr>
        <w:pStyle w:val="Heading1"/>
        <w:ind w:left="480"/>
        <w:jc w:val="left"/>
      </w:pPr>
      <w:r>
        <w:rPr>
          <w:color w:val="231F20"/>
        </w:rPr>
        <w:t>Southwest.com</w:t>
      </w:r>
    </w:p>
    <w:p>
      <w:pPr>
        <w:pStyle w:val="BodyText"/>
        <w:spacing w:before="1"/>
        <w:rPr>
          <w:b/>
          <w:sz w:val="23"/>
        </w:rPr>
      </w:pPr>
    </w:p>
    <w:p>
      <w:pPr>
        <w:pStyle w:val="BodyText"/>
        <w:spacing w:line="247" w:lineRule="auto"/>
        <w:ind w:left="119" w:right="117"/>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Customers’ trips can be planned and managed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rental in one visit. The newly redesigned “My Accounts” section of the website provides a detailed view into a Customer’s travel and loyalty activity. Southwest.com highlights points of differentiation between Southwest and other air carriers, as well as the fact that 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Southwest offers Customers a mobile website and app to provide  Customers the ability to transact with Southwest anytime they have access to their mobile device. For the year ended December 31, 2015, approximately 79.4 percent of the Company’s Passenger revenues came through its website (including revenues from SWABIZ</w:t>
      </w:r>
      <w:r>
        <w:rPr>
          <w:color w:val="231F20"/>
          <w:position w:val="5"/>
          <w:sz w:val="16"/>
        </w:rPr>
        <w:t>®</w:t>
      </w:r>
      <w:r>
        <w:rPr>
          <w:color w:val="231F20"/>
        </w:rPr>
        <w:t>).</w:t>
      </w:r>
    </w:p>
    <w:p>
      <w:pPr>
        <w:pStyle w:val="BodyText"/>
        <w:spacing w:before="5"/>
      </w:pPr>
    </w:p>
    <w:p>
      <w:pPr>
        <w:pStyle w:val="Heading1"/>
        <w:ind w:left="480"/>
        <w:jc w:val="left"/>
      </w:pPr>
      <w:r>
        <w:rPr>
          <w:color w:val="231F20"/>
        </w:rPr>
        <w:t>Marketing</w:t>
      </w:r>
    </w:p>
    <w:p>
      <w:pPr>
        <w:pStyle w:val="BodyText"/>
        <w:rPr>
          <w:b/>
          <w:sz w:val="23"/>
        </w:rPr>
      </w:pPr>
    </w:p>
    <w:p>
      <w:pPr>
        <w:pStyle w:val="BodyText"/>
        <w:spacing w:line="247" w:lineRule="auto" w:before="1"/>
        <w:ind w:left="119" w:right="118"/>
        <w:jc w:val="both"/>
      </w:pPr>
      <w:r>
        <w:rPr>
          <w:color w:val="231F20"/>
          <w:spacing w:val="-4"/>
        </w:rPr>
        <w:t>During 2015, </w:t>
      </w:r>
      <w:r>
        <w:rPr>
          <w:color w:val="231F20"/>
          <w:spacing w:val="-3"/>
        </w:rPr>
        <w:t>the </w:t>
      </w:r>
      <w:r>
        <w:rPr>
          <w:color w:val="231F20"/>
          <w:spacing w:val="-4"/>
        </w:rPr>
        <w:t>Company continued </w:t>
      </w:r>
      <w:r>
        <w:rPr>
          <w:color w:val="231F20"/>
          <w:spacing w:val="-3"/>
        </w:rPr>
        <w:t>to </w:t>
      </w:r>
      <w:r>
        <w:rPr>
          <w:color w:val="231F20"/>
          <w:spacing w:val="-4"/>
        </w:rPr>
        <w:t>benefit from, </w:t>
      </w:r>
      <w:r>
        <w:rPr>
          <w:color w:val="231F20"/>
          <w:spacing w:val="-3"/>
        </w:rPr>
        <w:t>and </w:t>
      </w:r>
      <w:r>
        <w:rPr>
          <w:color w:val="231F20"/>
          <w:spacing w:val="-4"/>
        </w:rPr>
        <w:t>aggressively market, Southwest’s points </w:t>
      </w:r>
      <w:r>
        <w:rPr>
          <w:color w:val="231F20"/>
        </w:rPr>
        <w:t>of </w:t>
      </w:r>
      <w:r>
        <w:rPr>
          <w:color w:val="231F20"/>
          <w:spacing w:val="-4"/>
        </w:rPr>
        <w:t>differentiation </w:t>
      </w:r>
      <w:r>
        <w:rPr>
          <w:color w:val="231F20"/>
          <w:spacing w:val="-3"/>
        </w:rPr>
        <w:t>from its </w:t>
      </w:r>
      <w:r>
        <w:rPr>
          <w:color w:val="231F20"/>
          <w:spacing w:val="-4"/>
        </w:rPr>
        <w:t>competitors. </w:t>
      </w:r>
      <w:r>
        <w:rPr>
          <w:color w:val="231F20"/>
          <w:spacing w:val="-3"/>
        </w:rPr>
        <w:t>In </w:t>
      </w:r>
      <w:r>
        <w:rPr>
          <w:color w:val="231F20"/>
          <w:spacing w:val="-4"/>
        </w:rPr>
        <w:t>October 2015, </w:t>
      </w:r>
      <w:r>
        <w:rPr>
          <w:color w:val="231F20"/>
          <w:spacing w:val="-3"/>
        </w:rPr>
        <w:t>the </w:t>
      </w:r>
      <w:r>
        <w:rPr>
          <w:color w:val="231F20"/>
          <w:spacing w:val="-4"/>
        </w:rPr>
        <w:t>Company premiered </w:t>
      </w:r>
      <w:r>
        <w:rPr>
          <w:color w:val="231F20"/>
        </w:rPr>
        <w:t>a </w:t>
      </w:r>
      <w:r>
        <w:rPr>
          <w:color w:val="231F20"/>
          <w:spacing w:val="-3"/>
        </w:rPr>
        <w:t>new </w:t>
      </w:r>
      <w:r>
        <w:rPr>
          <w:color w:val="231F20"/>
          <w:spacing w:val="-4"/>
        </w:rPr>
        <w:t>advertising campaign called Trans</w:t>
      </w:r>
      <w:r>
        <w:rPr>
          <w:b/>
          <w:color w:val="231F20"/>
          <w:spacing w:val="-4"/>
        </w:rPr>
        <w:t>fare</w:t>
      </w:r>
      <w:r>
        <w:rPr>
          <w:color w:val="231F20"/>
          <w:spacing w:val="-4"/>
        </w:rPr>
        <w:t>ncy</w:t>
      </w:r>
      <w:r>
        <w:rPr>
          <w:color w:val="231F20"/>
          <w:spacing w:val="-4"/>
          <w:position w:val="5"/>
          <w:sz w:val="14"/>
        </w:rPr>
        <w:t>SM</w:t>
      </w:r>
      <w:r>
        <w:rPr>
          <w:color w:val="231F20"/>
          <w:spacing w:val="-4"/>
        </w:rPr>
        <w:t>. </w:t>
      </w:r>
      <w:r>
        <w:rPr>
          <w:color w:val="231F20"/>
          <w:spacing w:val="-3"/>
        </w:rPr>
        <w:t>The </w:t>
      </w:r>
      <w:r>
        <w:rPr>
          <w:color w:val="231F20"/>
          <w:spacing w:val="-4"/>
        </w:rPr>
        <w:t>campaign emphasizes Southwest’s approach </w:t>
      </w:r>
      <w:r>
        <w:rPr>
          <w:color w:val="231F20"/>
        </w:rPr>
        <w:t>to </w:t>
      </w:r>
      <w:r>
        <w:rPr>
          <w:color w:val="231F20"/>
          <w:spacing w:val="-4"/>
        </w:rPr>
        <w:t>treating Customers fairly, honestly, </w:t>
      </w:r>
      <w:r>
        <w:rPr>
          <w:color w:val="231F20"/>
          <w:spacing w:val="-3"/>
        </w:rPr>
        <w:t>and </w:t>
      </w:r>
      <w:r>
        <w:rPr>
          <w:color w:val="231F20"/>
          <w:spacing w:val="-4"/>
        </w:rPr>
        <w:t>respectfully, </w:t>
      </w:r>
      <w:r>
        <w:rPr>
          <w:color w:val="231F20"/>
          <w:spacing w:val="-3"/>
        </w:rPr>
        <w:t>with its low </w:t>
      </w:r>
      <w:r>
        <w:rPr>
          <w:color w:val="231F20"/>
          <w:spacing w:val="-4"/>
        </w:rPr>
        <w:t>fares </w:t>
      </w:r>
      <w:r>
        <w:rPr>
          <w:color w:val="231F20"/>
          <w:spacing w:val="-3"/>
        </w:rPr>
        <w:t>and </w:t>
      </w:r>
      <w:r>
        <w:rPr>
          <w:color w:val="231F20"/>
        </w:rPr>
        <w:t>no </w:t>
      </w:r>
      <w:r>
        <w:rPr>
          <w:color w:val="231F20"/>
          <w:spacing w:val="-4"/>
        </w:rPr>
        <w:t>unexpected </w:t>
      </w:r>
      <w:r>
        <w:rPr>
          <w:color w:val="231F20"/>
          <w:spacing w:val="-3"/>
        </w:rPr>
        <w:t>bag </w:t>
      </w:r>
      <w:r>
        <w:rPr>
          <w:color w:val="231F20"/>
          <w:spacing w:val="-4"/>
        </w:rPr>
        <w:t>fees, change fees, </w:t>
      </w:r>
      <w:r>
        <w:rPr>
          <w:color w:val="231F20"/>
        </w:rPr>
        <w:t>or </w:t>
      </w:r>
      <w:r>
        <w:rPr>
          <w:color w:val="231F20"/>
          <w:spacing w:val="-4"/>
        </w:rPr>
        <w:t>hidden </w:t>
      </w:r>
      <w:r>
        <w:rPr>
          <w:color w:val="231F20"/>
          <w:spacing w:val="-5"/>
        </w:rPr>
        <w:t>fees.</w:t>
      </w:r>
    </w:p>
    <w:p>
      <w:pPr>
        <w:pStyle w:val="BodyText"/>
        <w:spacing w:before="5"/>
      </w:pPr>
    </w:p>
    <w:p>
      <w:pPr>
        <w:pStyle w:val="BodyText"/>
        <w:spacing w:line="247" w:lineRule="auto"/>
        <w:ind w:left="119" w:right="117"/>
        <w:jc w:val="both"/>
      </w:pPr>
      <w:r>
        <w:rPr>
          <w:color w:val="231F20"/>
        </w:rPr>
        <w:t>Southwest continues to be the only major U.S. airline that offers to all ticketed Customers up to two checked bags that fly free (weight and size limits apply).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before="4"/>
      </w:pPr>
    </w:p>
    <w:p>
      <w:pPr>
        <w:pStyle w:val="BodyText"/>
        <w:spacing w:line="247" w:lineRule="auto" w:before="1"/>
        <w:ind w:left="119" w:right="117"/>
        <w:jc w:val="both"/>
      </w:pPr>
      <w:r>
        <w:rPr>
          <w:color w:val="231F20"/>
        </w:rPr>
        <w:t>Southwest is also the only major U.S. airline that does not charge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Also unlike most of its competitors, Southwest does not impose additional fees for items such as seat selection, snacks, curb-side check-in, and telephone reservations. In addition, Southwest allows each ticketed Customer to check one stroller and one car seat free of charge, in addition to the two free checked bags.</w:t>
      </w:r>
    </w:p>
    <w:p>
      <w:pPr>
        <w:pStyle w:val="BodyText"/>
        <w:spacing w:line="247" w:lineRule="auto" w:before="201"/>
        <w:ind w:left="100" w:right="118"/>
        <w:jc w:val="both"/>
      </w:pPr>
      <w:r>
        <w:rPr>
          <w:color w:val="231F20"/>
        </w:rPr>
        <w:t>The Company also continues to promote all of the many other reasons to fly Southwest such as its low fares, network size, Customer Service, free live television offerings, and its Rapid Rewards frequent flyer program.</w:t>
      </w:r>
    </w:p>
    <w:p>
      <w:pPr>
        <w:pStyle w:val="BodyText"/>
        <w:spacing w:line="247" w:lineRule="auto" w:before="201"/>
        <w:ind w:left="100" w:right="117"/>
        <w:jc w:val="both"/>
      </w:pPr>
      <w:r>
        <w:rPr>
          <w:color w:val="231F20"/>
        </w:rPr>
        <w:t>In 2014, the Company launched a new visual expression of its brand by introducing a new Heart aircraft livery, airport experience, and logo. Aircraft already in the Company’s fleet are scheduled to receive the newly painted livery within the aircraft’s existing repainting schedule, while new aircraft will be delivered in the Heart livery. In addition, many of the future airport conversions will be integrated into existing and upcoming airport improvement</w:t>
      </w:r>
      <w:r>
        <w:rPr>
          <w:color w:val="231F20"/>
          <w:spacing w:val="-3"/>
        </w:rPr>
        <w:t> </w:t>
      </w:r>
      <w:r>
        <w:rPr>
          <w:color w:val="231F20"/>
        </w:rPr>
        <w:t>projects.</w:t>
      </w:r>
    </w:p>
    <w:p>
      <w:pPr>
        <w:pStyle w:val="Heading1"/>
        <w:spacing w:before="201"/>
        <w:ind w:left="460"/>
        <w:jc w:val="left"/>
      </w:pPr>
      <w:r>
        <w:rPr>
          <w:color w:val="231F20"/>
        </w:rPr>
        <w:t>Technology Initiatives</w:t>
      </w:r>
    </w:p>
    <w:p>
      <w:pPr>
        <w:pStyle w:val="BodyText"/>
        <w:spacing w:line="247" w:lineRule="auto" w:before="209"/>
        <w:ind w:left="100" w:right="118"/>
        <w:jc w:val="both"/>
      </w:pPr>
      <w:r>
        <w:rPr>
          <w:color w:val="231F20"/>
        </w:rPr>
        <w:t>During 2015, the Company continued its commitment to technology improvements to support its ongoing operations and initiatives.</w:t>
      </w:r>
    </w:p>
    <w:p>
      <w:pPr>
        <w:pStyle w:val="BodyText"/>
        <w:spacing w:line="247" w:lineRule="auto" w:before="201"/>
        <w:ind w:left="100" w:right="117"/>
        <w:jc w:val="both"/>
      </w:pPr>
      <w:r>
        <w:rPr>
          <w:color w:val="231F20"/>
        </w:rPr>
        <w:t>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This single reservation system is expected to be implemented in 2017 and is expected to</w:t>
      </w:r>
    </w:p>
    <w:p>
      <w:pPr>
        <w:pStyle w:val="BodyText"/>
        <w:spacing w:line="247" w:lineRule="auto"/>
        <w:ind w:left="100" w:right="117"/>
        <w:jc w:val="both"/>
      </w:pPr>
      <w:r>
        <w:rPr>
          <w:color w:val="231F20"/>
        </w:rPr>
        <w:t>(i) provide significant incremental revenue opportunities beyond implementation; (ii) allow the Company to offer product enhancements that will benefit Customers; (iii) give the Company a flexible and reliable foundation that will allow it to adapt more quickly and efficiently, and better respond to industry demands; and (iv) reduce the complexities associated with maintaining and operating multiple reservation systems. In August 2015, the Company achieved one of the first milestones of the single reservation system when its Customer Support &amp; Services group (“CS&amp;S”) began using Amadeus Group Manager for international group reservations. This enhanced functionality allows CS&amp;S to book larger numbers of Passengers on a single reservation via streamlined booking processes.</w:t>
      </w:r>
    </w:p>
    <w:p>
      <w:pPr>
        <w:pStyle w:val="BodyText"/>
        <w:spacing w:line="247" w:lineRule="auto" w:before="202"/>
        <w:ind w:left="100" w:right="117"/>
        <w:jc w:val="both"/>
      </w:pPr>
      <w:r>
        <w:rPr>
          <w:color w:val="231F20"/>
        </w:rPr>
        <w:t>During 2015, the Company also activated a new recovery optimization tool designed to help the Company effectively manage its increasingly complex network. The optimizing tool assists with irregular operations such as out of service events, station reduction, and station shutdown, by considering many factors including passenger and crew connections, airport curfews, equipment mismatches, and mission and maintenance requirements.</w:t>
      </w:r>
    </w:p>
    <w:p>
      <w:pPr>
        <w:pStyle w:val="BodyText"/>
        <w:spacing w:line="247" w:lineRule="auto" w:before="201"/>
        <w:ind w:left="100" w:right="117"/>
        <w:jc w:val="both"/>
      </w:pPr>
      <w:r>
        <w:rPr>
          <w:color w:val="231F20"/>
        </w:rPr>
        <w:t>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 management.</w:t>
      </w:r>
    </w:p>
    <w:p>
      <w:pPr>
        <w:pStyle w:val="Heading1"/>
        <w:spacing w:before="201"/>
      </w:pPr>
      <w:r>
        <w:rPr>
          <w:color w:val="231F20"/>
        </w:rPr>
        <w:t>Regulation</w:t>
      </w:r>
    </w:p>
    <w:p>
      <w:pPr>
        <w:pStyle w:val="BodyText"/>
        <w:spacing w:line="247" w:lineRule="auto" w:before="208"/>
        <w:ind w:left="100" w:right="117"/>
        <w:jc w:val="both"/>
      </w:pPr>
      <w:r>
        <w:rPr>
          <w:color w:val="231F20"/>
        </w:rPr>
        <w:t>The airline industry is heavily regulated, especially by the federal government, and there are a significant number of governmental agencies and legislative bodies that have the ability to directly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BodyText"/>
        <w:spacing w:before="9"/>
        <w:rPr>
          <w:sz w:val="20"/>
        </w:rPr>
      </w:pPr>
    </w:p>
    <w:p>
      <w:pPr>
        <w:pStyle w:val="Heading1"/>
        <w:ind w:left="460"/>
        <w:jc w:val="left"/>
      </w:pPr>
      <w:r>
        <w:rPr>
          <w:color w:val="231F20"/>
        </w:rPr>
        <w:t>Economic and Operational Regulation</w:t>
      </w:r>
    </w:p>
    <w:p>
      <w:pPr>
        <w:pStyle w:val="BodyText"/>
        <w:spacing w:before="5"/>
        <w:rPr>
          <w:b/>
          <w:sz w:val="21"/>
        </w:rPr>
      </w:pPr>
    </w:p>
    <w:p>
      <w:pPr>
        <w:pStyle w:val="Heading2"/>
        <w:ind w:left="820"/>
        <w:rPr>
          <w:i/>
        </w:rPr>
      </w:pPr>
      <w:r>
        <w:rPr>
          <w:i/>
          <w:color w:val="231F20"/>
        </w:rPr>
        <w:t>Consumer Protection Regulation by the U.S. Department of Transportation</w:t>
      </w:r>
    </w:p>
    <w:p>
      <w:pPr>
        <w:pStyle w:val="BodyText"/>
        <w:spacing w:before="5"/>
        <w:rPr>
          <w:b/>
          <w:i/>
          <w:sz w:val="21"/>
        </w:rPr>
      </w:pPr>
    </w:p>
    <w:p>
      <w:pPr>
        <w:pStyle w:val="BodyText"/>
        <w:spacing w:line="247" w:lineRule="auto"/>
        <w:ind w:left="100" w:right="117"/>
        <w:jc w:val="both"/>
      </w:pPr>
      <w:r>
        <w:rPr>
          <w:color w:val="231F20"/>
        </w:rPr>
        <w:t>The U.S. Department of Transportation (the “DOT”) regulates economic operating authority for air carriers and consumer protection for airline passengers. The Federal Aviation Authority (“FAA”), a sub-agency of the DOT, regulates aviation safety. The DOT may impose civil penalties on air carriers for violating its regulations.</w:t>
      </w:r>
    </w:p>
    <w:p>
      <w:pPr>
        <w:pStyle w:val="BodyText"/>
        <w:spacing w:before="9"/>
        <w:rPr>
          <w:sz w:val="20"/>
        </w:rPr>
      </w:pPr>
    </w:p>
    <w:p>
      <w:pPr>
        <w:pStyle w:val="BodyText"/>
        <w:spacing w:line="247" w:lineRule="auto"/>
        <w:ind w:left="100" w:right="117"/>
        <w:jc w:val="both"/>
      </w:pPr>
      <w:r>
        <w:rPr>
          <w:color w:val="231F20"/>
        </w:rPr>
        <w:t>To provide passenger transportation in the United States, a domestic airline is required to hold both a Certificate of Public Convenience &amp; Necessity from the DOT and an Air Carrier Operating Certificate from the FAA.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Exemptions granted by the DOT to serve international markets are generally limited in duration and are subject to periodic renewal requirements.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before="9"/>
        <w:rPr>
          <w:sz w:val="20"/>
        </w:rPr>
      </w:pPr>
    </w:p>
    <w:p>
      <w:pPr>
        <w:pStyle w:val="BodyText"/>
        <w:spacing w:line="247" w:lineRule="auto"/>
        <w:ind w:left="100" w:right="117"/>
        <w:jc w:val="both"/>
      </w:pPr>
      <w:r>
        <w:rPr>
          <w:color w:val="231F20"/>
        </w:rPr>
        <w:t>The DOT’s consumer protection and enforcement activities relate to areas such as unfair and deceptive practices and unfair competition by air carriers, deceptive airline advertising (concerning, </w:t>
      </w:r>
      <w:r>
        <w:rPr>
          <w:i/>
          <w:color w:val="231F20"/>
        </w:rPr>
        <w:t>e.g.</w:t>
      </w:r>
      <w:r>
        <w:rPr>
          <w:color w:val="231F20"/>
        </w:rPr>
        <w:t>, fares, ontime performance, schedules,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pStyle w:val="BodyText"/>
        <w:spacing w:before="9"/>
        <w:rPr>
          <w:sz w:val="20"/>
        </w:rPr>
      </w:pPr>
    </w:p>
    <w:p>
      <w:pPr>
        <w:pStyle w:val="BodyText"/>
        <w:spacing w:line="247" w:lineRule="auto"/>
        <w:ind w:left="100" w:right="117"/>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and that no international flight will remain on the tarmac at a U.S. airport for more than four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 websites.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w:t>
      </w:r>
      <w:r>
        <w:rPr>
          <w:color w:val="231F20"/>
          <w:spacing w:val="24"/>
        </w:rPr>
        <w:t> </w:t>
      </w:r>
      <w:r>
        <w:rPr>
          <w:color w:val="231F20"/>
        </w:rPr>
        <w:t>with</w:t>
      </w:r>
      <w:r>
        <w:rPr>
          <w:color w:val="231F20"/>
          <w:spacing w:val="23"/>
        </w:rPr>
        <w:t> </w:t>
      </w:r>
      <w:r>
        <w:rPr>
          <w:color w:val="231F20"/>
        </w:rPr>
        <w:t>their</w:t>
      </w:r>
      <w:r>
        <w:rPr>
          <w:color w:val="231F20"/>
          <w:spacing w:val="23"/>
        </w:rPr>
        <w:t> </w:t>
      </w:r>
      <w:r>
        <w:rPr>
          <w:color w:val="231F20"/>
        </w:rPr>
        <w:t>plans;</w:t>
      </w:r>
      <w:r>
        <w:rPr>
          <w:color w:val="231F20"/>
          <w:spacing w:val="24"/>
        </w:rPr>
        <w:t> </w:t>
      </w:r>
      <w:r>
        <w:rPr>
          <w:color w:val="231F20"/>
        </w:rPr>
        <w:t>(iii)</w:t>
      </w:r>
      <w:r>
        <w:rPr>
          <w:color w:val="231F20"/>
          <w:spacing w:val="23"/>
        </w:rPr>
        <w:t> </w:t>
      </w:r>
      <w:r>
        <w:rPr>
          <w:color w:val="231F20"/>
        </w:rPr>
        <w:t>designate</w:t>
      </w:r>
      <w:r>
        <w:rPr>
          <w:color w:val="231F20"/>
          <w:spacing w:val="25"/>
        </w:rPr>
        <w:t> </w:t>
      </w:r>
      <w:r>
        <w:rPr>
          <w:color w:val="231F20"/>
        </w:rPr>
        <w:t>an</w:t>
      </w:r>
      <w:r>
        <w:rPr>
          <w:color w:val="231F20"/>
          <w:spacing w:val="24"/>
        </w:rPr>
        <w:t> </w:t>
      </w:r>
      <w:r>
        <w:rPr>
          <w:color w:val="231F20"/>
        </w:rPr>
        <w:t>employee</w:t>
      </w:r>
      <w:r>
        <w:rPr>
          <w:color w:val="231F20"/>
          <w:spacing w:val="24"/>
        </w:rPr>
        <w:t> </w:t>
      </w:r>
      <w:r>
        <w:rPr>
          <w:color w:val="231F20"/>
        </w:rPr>
        <w:t>to</w:t>
      </w:r>
      <w:r>
        <w:rPr>
          <w:color w:val="231F20"/>
          <w:spacing w:val="23"/>
        </w:rPr>
        <w:t> </w:t>
      </w:r>
      <w:r>
        <w:rPr>
          <w:color w:val="231F20"/>
        </w:rPr>
        <w:t>monitor</w:t>
      </w:r>
      <w:r>
        <w:rPr>
          <w:color w:val="231F20"/>
          <w:spacing w:val="23"/>
        </w:rPr>
        <w:t> </w:t>
      </w:r>
      <w:r>
        <w:rPr>
          <w:color w:val="231F20"/>
        </w:rPr>
        <w:t>the</w:t>
      </w:r>
      <w:r>
        <w:rPr>
          <w:color w:val="231F20"/>
          <w:spacing w:val="24"/>
        </w:rPr>
        <w:t> </w:t>
      </w:r>
      <w:r>
        <w:rPr>
          <w:color w:val="231F20"/>
        </w:rPr>
        <w:t>performance</w:t>
      </w:r>
      <w:r>
        <w:rPr>
          <w:color w:val="231F20"/>
          <w:spacing w:val="23"/>
        </w:rPr>
        <w:t> </w:t>
      </w:r>
      <w:r>
        <w:rPr>
          <w:color w:val="231F20"/>
        </w:rPr>
        <w:t>of</w:t>
      </w:r>
      <w:r>
        <w:rPr>
          <w:color w:val="231F20"/>
          <w:spacing w:val="22"/>
        </w:rPr>
        <w:t> </w:t>
      </w:r>
      <w:r>
        <w:rPr>
          <w:color w:val="231F20"/>
        </w:rPr>
        <w:t>their</w:t>
      </w:r>
      <w:r>
        <w:rPr>
          <w:color w:val="231F20"/>
          <w:spacing w:val="22"/>
        </w:rPr>
        <w:t> </w:t>
      </w:r>
      <w:r>
        <w:rPr>
          <w:color w:val="231F20"/>
        </w:rPr>
        <w:t>flights;</w:t>
      </w:r>
    </w:p>
    <w:p>
      <w:pPr>
        <w:pStyle w:val="BodyText"/>
        <w:spacing w:line="247" w:lineRule="auto"/>
        <w:ind w:left="100" w:right="118"/>
        <w:jc w:val="both"/>
      </w:pPr>
      <w:r>
        <w:rPr>
          <w:color w:val="231F20"/>
        </w:rPr>
        <w:t>(iv) provide information to passengers on how to file complaints; and (v) respond in a timely and substantive fashion to consumer complaints.</w:t>
      </w:r>
    </w:p>
    <w:p>
      <w:pPr>
        <w:pStyle w:val="BodyText"/>
        <w:spacing w:before="6"/>
      </w:pPr>
    </w:p>
    <w:p>
      <w:pPr>
        <w:pStyle w:val="BodyText"/>
        <w:spacing w:line="247" w:lineRule="auto"/>
        <w:ind w:left="100" w:right="117"/>
        <w:jc w:val="both"/>
      </w:pPr>
      <w:r>
        <w:rPr>
          <w:color w:val="231F20"/>
        </w:rPr>
        <w:t>The Passenger Protection Rules also require airlines to (i) pay up to $1,350 in denied boarding compensation to each passenger involuntarily bumped from a flight; (ii) refund any checked bag fee  for permanently lost luggage; (iii) prominently disclose all potential fees for optional ancillary services on their websites; and (iv) refund passenger fees paid for ancillary services if a flight cancels or oversells and a passenger is unable to take advantage of such services.</w:t>
      </w:r>
    </w:p>
    <w:p>
      <w:pPr>
        <w:pStyle w:val="BodyText"/>
        <w:spacing w:before="5"/>
      </w:pPr>
    </w:p>
    <w:p>
      <w:pPr>
        <w:pStyle w:val="BodyText"/>
        <w:spacing w:line="247" w:lineRule="auto"/>
        <w:ind w:left="100" w:right="117"/>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before="5"/>
      </w:pPr>
    </w:p>
    <w:p>
      <w:pPr>
        <w:pStyle w:val="BodyText"/>
        <w:spacing w:line="247" w:lineRule="auto"/>
        <w:ind w:left="100" w:right="117"/>
        <w:jc w:val="both"/>
      </w:pPr>
      <w:r>
        <w:rPr>
          <w:color w:val="231F20"/>
        </w:rPr>
        <w:t>The DOT has issued a proposed rule that would further expand the Passenger Protection Rules. First, the proposed rule would require airlines to share with ticket agents fee information for “basic ancillary services,” including fees for a first checked bag, second checked bag, carry-on items, and advance seat selection. Second, the proposed rule would require enhanced reporting of information to the DOT by mainline carriers for their domestic code-share partner operations. Third, the proposed rule would require ticket agencies to disclose which carriers’ tickets they sell to avoid leading consumers to mistakenly believe they are searching all possible flight options when in fact other options may be available. Fourth, the proposed rule would impose a variety of additional requirements on ticket agents and air carriers, such as public disclosures of information. The Company is not able to predict the impact of any new consumer protection rules on its services, although the Company is likely to be affected to a lesser degree than most other airlines, which generally offer more ancillary products and services, and sell their services largely via ticket agencies. The DOT is expected to issue a final rule in this proceeding in 2016.</w:t>
      </w:r>
    </w:p>
    <w:p>
      <w:pPr>
        <w:pStyle w:val="BodyText"/>
        <w:spacing w:before="5"/>
      </w:pPr>
    </w:p>
    <w:p>
      <w:pPr>
        <w:pStyle w:val="BodyText"/>
        <w:spacing w:line="247" w:lineRule="auto"/>
        <w:ind w:left="100" w:right="119"/>
        <w:jc w:val="both"/>
      </w:pPr>
      <w:r>
        <w:rPr>
          <w:color w:val="231F20"/>
        </w:rPr>
        <w:t>The DOT has expressed its intent to aggressively investigate alleged violations of its consumer protection rules. Airlines that violate any DOT regulation are subject to potential fines of up to $27,500 per occurrence.</w:t>
      </w:r>
    </w:p>
    <w:p>
      <w:pPr>
        <w:pStyle w:val="BodyText"/>
        <w:spacing w:before="5"/>
      </w:pPr>
    </w:p>
    <w:p>
      <w:pPr>
        <w:pStyle w:val="BodyText"/>
        <w:ind w:left="100"/>
        <w:jc w:val="both"/>
      </w:pPr>
      <w:r>
        <w:rPr>
          <w:color w:val="231F20"/>
        </w:rPr>
        <w:t>The Company is also monitoring other potential rulemakings that could impact its business such as</w:t>
      </w:r>
    </w:p>
    <w:p>
      <w:pPr>
        <w:pStyle w:val="BodyText"/>
        <w:spacing w:line="247" w:lineRule="auto" w:before="6"/>
        <w:ind w:left="100" w:right="119"/>
        <w:jc w:val="both"/>
      </w:pPr>
      <w:r>
        <w:rPr>
          <w:color w:val="231F20"/>
        </w:rPr>
        <w:t>(i) an FAA proposed rule designed to tighten the utilization requirements for takeoff and landing slots operated by air carriers at the three New York City airports; (ii) a DOT proposed rule to change the metric by which the DOT computes an air carrier’s mishandled baggage performance; (iii) a DOT proposed rule to require air carriers to publicly disclose the revenues received from the sale of ancillary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services to passengers; (iv) a potential DOT proposed rule to enhance accessibility for disabled passengers with respect to aircraft lavatories and in-flight entertainment; and (v) a potential DOT proposed rule to restrict passenger cell phone voice calls on aircraft.</w:t>
      </w:r>
    </w:p>
    <w:p>
      <w:pPr>
        <w:pStyle w:val="Heading2"/>
        <w:spacing w:before="194"/>
        <w:ind w:left="819"/>
        <w:rPr>
          <w:i/>
        </w:rPr>
      </w:pPr>
      <w:r>
        <w:rPr>
          <w:i/>
          <w:color w:val="231F20"/>
        </w:rPr>
        <w:t>Aviation Taxes and Fees</w:t>
      </w:r>
    </w:p>
    <w:p>
      <w:pPr>
        <w:pStyle w:val="BodyText"/>
        <w:spacing w:line="247" w:lineRule="auto" w:before="202"/>
        <w:ind w:left="100" w:right="118"/>
        <w:jc w:val="both"/>
      </w:pPr>
      <w:r>
        <w:rPr>
          <w:color w:val="231F20"/>
        </w:rPr>
        <w:t>The statutory authority for the federal government to collect most types of aviation taxes, which are used, in part, to finance programs administered by the FAA, must be periodically reauthorized by the</w:t>
      </w:r>
    </w:p>
    <w:p>
      <w:pPr>
        <w:pStyle w:val="ListParagraph"/>
        <w:numPr>
          <w:ilvl w:val="1"/>
          <w:numId w:val="2"/>
        </w:numPr>
        <w:tabs>
          <w:tab w:pos="572" w:val="left" w:leader="none"/>
        </w:tabs>
        <w:spacing w:line="247" w:lineRule="auto" w:before="0" w:after="0"/>
        <w:ind w:left="100" w:right="117" w:firstLine="0"/>
        <w:jc w:val="both"/>
        <w:rPr>
          <w:sz w:val="22"/>
        </w:rPr>
      </w:pPr>
      <w:r>
        <w:rPr>
          <w:color w:val="231F20"/>
          <w:sz w:val="22"/>
        </w:rPr>
        <w:t>Congress. In 2012, Congress adopted the FAA Modernization and Reform Act of 2012, which extended most commercial aviation taxes through September 30, 2015. In September 2015, Congress extended the expiration date for an additional six months. Congress is expected to try to enact a new FAA reauthorization bill in 2016,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April 1, 2016; otherwise, a lapse in the statutory authority could affect the airlines’ and passengers’ respective tax burdens, as well as impact the FAA’s ability to fund airport grants and regulate the airline</w:t>
      </w:r>
      <w:r>
        <w:rPr>
          <w:color w:val="231F20"/>
          <w:spacing w:val="-2"/>
          <w:sz w:val="22"/>
        </w:rPr>
        <w:t> </w:t>
      </w:r>
      <w:r>
        <w:rPr>
          <w:color w:val="231F20"/>
          <w:sz w:val="22"/>
        </w:rPr>
        <w:t>industry.</w:t>
      </w:r>
    </w:p>
    <w:p>
      <w:pPr>
        <w:pStyle w:val="BodyText"/>
        <w:spacing w:line="247" w:lineRule="auto" w:before="195"/>
        <w:ind w:left="100" w:right="117"/>
        <w:jc w:val="both"/>
      </w:pPr>
      <w:r>
        <w:rPr>
          <w:color w:val="231F20"/>
        </w:rPr>
        <w:t>In addition to FAA-related taxes, there are additional federal taxes related to the Department of Homeland Security. These taxes do not need to be reauthorized periodically. Congress has set the Transportation Security Fee paid by passengers at $5.60 per one-way passenger trip. In December  2015, Congress enacted another statute that indexes immigration and customs fees to inflation, beginning in 2016. These two fees are paid by inbound international passengers and are used to support the operations of U.S. Customs and Border Protection (“CBP”). Finally, the U.S. Department of Agriculture’s Animal and Plant Health Inspection Service published a final regulation in October 2015 that modifies international agriculture inspection fees. Under this new rule, effective December 28, 2015,</w:t>
      </w:r>
      <w:r>
        <w:rPr>
          <w:color w:val="231F20"/>
          <w:spacing w:val="48"/>
        </w:rPr>
        <w:t> </w:t>
      </w:r>
      <w:r>
        <w:rPr>
          <w:color w:val="231F20"/>
        </w:rPr>
        <w:t>the</w:t>
      </w:r>
      <w:r>
        <w:rPr>
          <w:color w:val="231F20"/>
          <w:spacing w:val="48"/>
        </w:rPr>
        <w:t> </w:t>
      </w:r>
      <w:r>
        <w:rPr>
          <w:color w:val="231F20"/>
        </w:rPr>
        <w:t>per-passenger</w:t>
      </w:r>
      <w:r>
        <w:rPr>
          <w:color w:val="231F20"/>
          <w:spacing w:val="49"/>
        </w:rPr>
        <w:t> </w:t>
      </w:r>
      <w:r>
        <w:rPr>
          <w:color w:val="231F20"/>
        </w:rPr>
        <w:t>agriculture</w:t>
      </w:r>
      <w:r>
        <w:rPr>
          <w:color w:val="231F20"/>
          <w:spacing w:val="47"/>
        </w:rPr>
        <w:t> </w:t>
      </w:r>
      <w:r>
        <w:rPr>
          <w:color w:val="231F20"/>
        </w:rPr>
        <w:t>inspection</w:t>
      </w:r>
      <w:r>
        <w:rPr>
          <w:color w:val="231F20"/>
          <w:spacing w:val="48"/>
        </w:rPr>
        <w:t> </w:t>
      </w:r>
      <w:r>
        <w:rPr>
          <w:color w:val="231F20"/>
        </w:rPr>
        <w:t>fee</w:t>
      </w:r>
      <w:r>
        <w:rPr>
          <w:color w:val="231F20"/>
          <w:spacing w:val="48"/>
        </w:rPr>
        <w:t> </w:t>
      </w:r>
      <w:r>
        <w:rPr>
          <w:color w:val="231F20"/>
        </w:rPr>
        <w:t>is</w:t>
      </w:r>
      <w:r>
        <w:rPr>
          <w:color w:val="231F20"/>
          <w:spacing w:val="48"/>
        </w:rPr>
        <w:t> </w:t>
      </w:r>
      <w:r>
        <w:rPr>
          <w:color w:val="231F20"/>
        </w:rPr>
        <w:t>$5.00</w:t>
      </w:r>
      <w:r>
        <w:rPr>
          <w:color w:val="231F20"/>
          <w:spacing w:val="47"/>
        </w:rPr>
        <w:t> </w:t>
      </w:r>
      <w:r>
        <w:rPr>
          <w:color w:val="231F20"/>
        </w:rPr>
        <w:t>and</w:t>
      </w:r>
      <w:r>
        <w:rPr>
          <w:color w:val="231F20"/>
          <w:spacing w:val="47"/>
        </w:rPr>
        <w:t> </w:t>
      </w:r>
      <w:r>
        <w:rPr>
          <w:color w:val="231F20"/>
        </w:rPr>
        <w:t>the</w:t>
      </w:r>
      <w:r>
        <w:rPr>
          <w:color w:val="231F20"/>
          <w:spacing w:val="47"/>
        </w:rPr>
        <w:t> </w:t>
      </w:r>
      <w:r>
        <w:rPr>
          <w:color w:val="231F20"/>
        </w:rPr>
        <w:t>per-commercial</w:t>
      </w:r>
      <w:r>
        <w:rPr>
          <w:color w:val="231F20"/>
          <w:spacing w:val="47"/>
        </w:rPr>
        <w:t> </w:t>
      </w:r>
      <w:r>
        <w:rPr>
          <w:color w:val="231F20"/>
        </w:rPr>
        <w:t>aircraft</w:t>
      </w:r>
      <w:r>
        <w:rPr>
          <w:color w:val="231F20"/>
          <w:spacing w:val="46"/>
        </w:rPr>
        <w:t> </w:t>
      </w:r>
      <w:r>
        <w:rPr>
          <w:color w:val="231F20"/>
        </w:rPr>
        <w:t>fee</w:t>
      </w:r>
      <w:r>
        <w:rPr>
          <w:color w:val="231F20"/>
          <w:spacing w:val="47"/>
        </w:rPr>
        <w:t> </w:t>
      </w:r>
      <w:r>
        <w:rPr>
          <w:color w:val="231F20"/>
        </w:rPr>
        <w:t>is</w:t>
      </w:r>
    </w:p>
    <w:p>
      <w:pPr>
        <w:pStyle w:val="BodyText"/>
        <w:spacing w:line="253" w:lineRule="exact"/>
        <w:ind w:left="100"/>
        <w:jc w:val="both"/>
      </w:pPr>
      <w:r>
        <w:rPr>
          <w:color w:val="231F20"/>
        </w:rPr>
        <w:t>$225.00.</w:t>
      </w:r>
    </w:p>
    <w:p>
      <w:pPr>
        <w:pStyle w:val="BodyText"/>
        <w:spacing w:line="247" w:lineRule="auto" w:before="202"/>
        <w:ind w:left="100" w:right="117"/>
        <w:jc w:val="both"/>
      </w:pPr>
      <w:r>
        <w:rPr>
          <w:color w:val="231F20"/>
        </w:rPr>
        <w:t>In 2016, in addition to FAA reauthorization legislation, Congress may consider comprehensive tax reform legislation, which could result in a lower corporate tax rate and the elimination of certain tax deductions and preferences. Grants to airports and/or airport bond financing may also be affected through future legislation, which could result in higher fees, rates, and charges at many of the airports the Company serves.</w:t>
      </w:r>
    </w:p>
    <w:p>
      <w:pPr>
        <w:pStyle w:val="Heading1"/>
        <w:spacing w:before="194"/>
        <w:ind w:left="460"/>
        <w:jc w:val="left"/>
      </w:pPr>
      <w:r>
        <w:rPr>
          <w:color w:val="231F20"/>
        </w:rPr>
        <w:t>Operational, Safety, and Health Regulation</w:t>
      </w:r>
    </w:p>
    <w:p>
      <w:pPr>
        <w:pStyle w:val="BodyText"/>
        <w:spacing w:line="247" w:lineRule="auto" w:before="201"/>
        <w:ind w:left="100" w:right="117"/>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line="247" w:lineRule="auto" w:before="194"/>
        <w:ind w:left="100" w:right="119"/>
        <w:jc w:val="both"/>
      </w:pPr>
      <w:r>
        <w:rPr>
          <w:color w:val="231F20"/>
        </w:rPr>
        <w:t>To address compliance with its regulations, the FAA requires airlines to obtain the Air Carrier Operating Certificate and other certificates, approvals, and authorities. These certificates, approvals, and authorities are subject to suspension or revocation for cause.</w:t>
      </w:r>
    </w:p>
    <w:p>
      <w:pPr>
        <w:pStyle w:val="BodyText"/>
        <w:spacing w:line="247" w:lineRule="auto" w:before="194"/>
        <w:ind w:left="100" w:right="117"/>
        <w:jc w:val="both"/>
      </w:pPr>
      <w:r>
        <w:rPr>
          <w:color w:val="231F20"/>
        </w:rPr>
        <w:t>The FAA has rules in effect with respect to flight, duty, and rest regulations. Among other things, the rules require a ten hour minimum rest period prior to a pilot’s flight duty period; mandate that a pilot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must have an opportunity for eight hours of uninterrupted sleep within the rest period; and impose pilot “flight time” and “duty time” limitations based upon report times, the number of scheduled flight segments, and other operational factors. The rules affect the Company’s staffing flexibility, which could impact the Company’s operational performance, costs, and Customer</w:t>
      </w:r>
      <w:r>
        <w:rPr>
          <w:color w:val="231F20"/>
          <w:spacing w:val="1"/>
        </w:rPr>
        <w:t> </w:t>
      </w:r>
      <w:r>
        <w:rPr>
          <w:color w:val="231F20"/>
        </w:rPr>
        <w:t>Experience.</w:t>
      </w:r>
    </w:p>
    <w:p>
      <w:pPr>
        <w:pStyle w:val="BodyText"/>
        <w:spacing w:before="5"/>
      </w:pPr>
    </w:p>
    <w:p>
      <w:pPr>
        <w:pStyle w:val="BodyText"/>
        <w:spacing w:line="247" w:lineRule="auto"/>
        <w:ind w:left="100" w:right="118"/>
        <w:jc w:val="both"/>
      </w:pPr>
      <w:r>
        <w:rPr>
          <w:color w:val="231F20"/>
        </w:rPr>
        <w:t>In addition to its role as safety regulator, the FAA also operates the nation’s air traffic control system and is in the midst of implementing a multi-faceted “next generation” air traffic control system (“NextGen”). The Air Traffic Organization (“ATO”) is the operational arm of the FAA. The ATO is responsible for providing safe and efficient air navigation services to all of the United States and large portions of the Atlantic and Pacific Oceans and the Gulf of Mexico. The Company is subject to any operational changes imposed by the FAA/ATO as they relate to the “NextGen” program, as well as the day-to-day management of the air traffic control system. The FAA reauthorization discussed above under “Aviation Taxes and Fees,” as well as the annual appropriation legislation that will fund the DOT and the FAA in federal fiscal year 2017, could include provisions impacting future FAA safety- related activities and ATO operations in 2016 and</w:t>
      </w:r>
      <w:r>
        <w:rPr>
          <w:color w:val="231F20"/>
          <w:spacing w:val="-2"/>
        </w:rPr>
        <w:t> </w:t>
      </w:r>
      <w:r>
        <w:rPr>
          <w:color w:val="231F20"/>
        </w:rPr>
        <w:t>beyond.</w:t>
      </w:r>
    </w:p>
    <w:p>
      <w:pPr>
        <w:pStyle w:val="BodyText"/>
        <w:spacing w:before="5"/>
      </w:pPr>
    </w:p>
    <w:p>
      <w:pPr>
        <w:pStyle w:val="BodyText"/>
        <w:spacing w:line="247" w:lineRule="auto"/>
        <w:ind w:left="100" w:right="117"/>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5"/>
      </w:pPr>
    </w:p>
    <w:p>
      <w:pPr>
        <w:pStyle w:val="Heading1"/>
        <w:ind w:left="460"/>
        <w:jc w:val="left"/>
      </w:pPr>
      <w:r>
        <w:rPr>
          <w:color w:val="231F20"/>
        </w:rPr>
        <w:t>Security Regulation</w:t>
      </w:r>
    </w:p>
    <w:p>
      <w:pPr>
        <w:pStyle w:val="BodyText"/>
        <w:spacing w:before="1"/>
        <w:rPr>
          <w:b/>
          <w:sz w:val="23"/>
        </w:rPr>
      </w:pPr>
    </w:p>
    <w:p>
      <w:pPr>
        <w:pStyle w:val="BodyText"/>
        <w:spacing w:line="247" w:lineRule="auto"/>
        <w:ind w:left="100" w:right="115"/>
        <w:jc w:val="both"/>
      </w:pPr>
      <w:r>
        <w:rPr>
          <w:color w:val="231F20"/>
          <w:spacing w:val="-4"/>
        </w:rPr>
        <w:t>Pursuant </w:t>
      </w:r>
      <w:r>
        <w:rPr>
          <w:color w:val="231F20"/>
        </w:rPr>
        <w:t>to </w:t>
      </w:r>
      <w:r>
        <w:rPr>
          <w:color w:val="231F20"/>
          <w:spacing w:val="-3"/>
        </w:rPr>
        <w:t>the </w:t>
      </w:r>
      <w:r>
        <w:rPr>
          <w:color w:val="231F20"/>
          <w:spacing w:val="-4"/>
        </w:rPr>
        <w:t>Aviation </w:t>
      </w:r>
      <w:r>
        <w:rPr>
          <w:color w:val="231F20"/>
          <w:spacing w:val="-3"/>
        </w:rPr>
        <w:t>and </w:t>
      </w:r>
      <w:r>
        <w:rPr>
          <w:color w:val="231F20"/>
          <w:spacing w:val="-4"/>
        </w:rPr>
        <w:t>Transportation Security </w:t>
      </w:r>
      <w:r>
        <w:rPr>
          <w:color w:val="231F20"/>
          <w:spacing w:val="-3"/>
        </w:rPr>
        <w:t>Act </w:t>
      </w:r>
      <w:r>
        <w:rPr>
          <w:color w:val="231F20"/>
          <w:spacing w:val="-4"/>
        </w:rPr>
        <w:t>(“ATSA”), </w:t>
      </w:r>
      <w:r>
        <w:rPr>
          <w:color w:val="231F20"/>
          <w:spacing w:val="-3"/>
        </w:rPr>
        <w:t>the </w:t>
      </w:r>
      <w:r>
        <w:rPr>
          <w:color w:val="231F20"/>
          <w:spacing w:val="-4"/>
        </w:rPr>
        <w:t>Transportation </w:t>
      </w:r>
      <w:r>
        <w:rPr>
          <w:color w:val="231F20"/>
          <w:spacing w:val="-5"/>
        </w:rPr>
        <w:t>Security </w:t>
      </w:r>
      <w:r>
        <w:rPr>
          <w:color w:val="231F20"/>
          <w:spacing w:val="-4"/>
        </w:rPr>
        <w:t>Administration (the “TSA”), </w:t>
      </w:r>
      <w:r>
        <w:rPr>
          <w:color w:val="231F20"/>
        </w:rPr>
        <w:t>a </w:t>
      </w:r>
      <w:r>
        <w:rPr>
          <w:color w:val="231F20"/>
          <w:spacing w:val="-4"/>
        </w:rPr>
        <w:t>division </w:t>
      </w:r>
      <w:r>
        <w:rPr>
          <w:color w:val="231F20"/>
        </w:rPr>
        <w:t>of </w:t>
      </w:r>
      <w:r>
        <w:rPr>
          <w:color w:val="231F20"/>
          <w:spacing w:val="-3"/>
        </w:rPr>
        <w:t>the U.S. </w:t>
      </w:r>
      <w:r>
        <w:rPr>
          <w:color w:val="231F20"/>
          <w:spacing w:val="-4"/>
        </w:rPr>
        <w:t>Department </w:t>
      </w:r>
      <w:r>
        <w:rPr>
          <w:color w:val="231F20"/>
        </w:rPr>
        <w:t>of </w:t>
      </w:r>
      <w:r>
        <w:rPr>
          <w:color w:val="231F20"/>
          <w:spacing w:val="-4"/>
        </w:rPr>
        <w:t>Homeland Security, </w:t>
      </w:r>
      <w:r>
        <w:rPr>
          <w:color w:val="231F20"/>
          <w:spacing w:val="-3"/>
        </w:rPr>
        <w:t>is </w:t>
      </w:r>
      <w:r>
        <w:rPr>
          <w:color w:val="231F20"/>
          <w:spacing w:val="-4"/>
        </w:rPr>
        <w:t>responsible for certain civil aviation security matters. </w:t>
      </w:r>
      <w:r>
        <w:rPr>
          <w:color w:val="231F20"/>
          <w:spacing w:val="-3"/>
        </w:rPr>
        <w:t>ATSA and </w:t>
      </w:r>
      <w:r>
        <w:rPr>
          <w:color w:val="231F20"/>
          <w:spacing w:val="-4"/>
        </w:rPr>
        <w:t>subsequent </w:t>
      </w:r>
      <w:r>
        <w:rPr>
          <w:color w:val="231F20"/>
          <w:spacing w:val="-3"/>
        </w:rPr>
        <w:t>TSA </w:t>
      </w:r>
      <w:r>
        <w:rPr>
          <w:color w:val="231F20"/>
          <w:spacing w:val="-4"/>
        </w:rPr>
        <w:t>regulations </w:t>
      </w:r>
      <w:r>
        <w:rPr>
          <w:color w:val="231F20"/>
          <w:spacing w:val="-3"/>
        </w:rPr>
        <w:t>and </w:t>
      </w:r>
      <w:r>
        <w:rPr>
          <w:color w:val="231F20"/>
          <w:spacing w:val="-4"/>
        </w:rPr>
        <w:t>procedures</w:t>
      </w:r>
      <w:r>
        <w:rPr>
          <w:color w:val="231F20"/>
          <w:spacing w:val="-22"/>
        </w:rPr>
        <w:t> </w:t>
      </w:r>
      <w:r>
        <w:rPr>
          <w:color w:val="231F20"/>
          <w:spacing w:val="-4"/>
        </w:rPr>
        <w:t>implementing </w:t>
      </w:r>
      <w:r>
        <w:rPr>
          <w:color w:val="231F20"/>
          <w:spacing w:val="-3"/>
        </w:rPr>
        <w:t>ATSA </w:t>
      </w:r>
      <w:r>
        <w:rPr>
          <w:color w:val="231F20"/>
          <w:spacing w:val="-4"/>
        </w:rPr>
        <w:t>address, among other things, </w:t>
      </w:r>
      <w:r>
        <w:rPr>
          <w:color w:val="231F20"/>
          <w:spacing w:val="-3"/>
        </w:rPr>
        <w:t>(i) </w:t>
      </w:r>
      <w:r>
        <w:rPr>
          <w:color w:val="231F20"/>
          <w:spacing w:val="-4"/>
        </w:rPr>
        <w:t>flight </w:t>
      </w:r>
      <w:r>
        <w:rPr>
          <w:color w:val="231F20"/>
          <w:spacing w:val="-3"/>
        </w:rPr>
        <w:t>deck </w:t>
      </w:r>
      <w:r>
        <w:rPr>
          <w:color w:val="231F20"/>
          <w:spacing w:val="-4"/>
        </w:rPr>
        <w:t>security; (ii) </w:t>
      </w:r>
      <w:r>
        <w:rPr>
          <w:color w:val="231F20"/>
          <w:spacing w:val="-3"/>
        </w:rPr>
        <w:t>the use </w:t>
      </w:r>
      <w:r>
        <w:rPr>
          <w:color w:val="231F20"/>
        </w:rPr>
        <w:t>of </w:t>
      </w:r>
      <w:r>
        <w:rPr>
          <w:color w:val="231F20"/>
          <w:spacing w:val="-4"/>
        </w:rPr>
        <w:t>federal </w:t>
      </w:r>
      <w:r>
        <w:rPr>
          <w:color w:val="231F20"/>
          <w:spacing w:val="-3"/>
        </w:rPr>
        <w:t>air </w:t>
      </w:r>
      <w:r>
        <w:rPr>
          <w:color w:val="231F20"/>
          <w:spacing w:val="-4"/>
        </w:rPr>
        <w:t>marshals onboard flights; (iii) airport perimeter access security; (iv) airline </w:t>
      </w:r>
      <w:r>
        <w:rPr>
          <w:color w:val="231F20"/>
          <w:spacing w:val="-3"/>
        </w:rPr>
        <w:t>crew </w:t>
      </w:r>
      <w:r>
        <w:rPr>
          <w:color w:val="231F20"/>
          <w:spacing w:val="-4"/>
        </w:rPr>
        <w:t>security training; </w:t>
      </w:r>
      <w:r>
        <w:rPr>
          <w:color w:val="231F20"/>
          <w:spacing w:val="-3"/>
        </w:rPr>
        <w:t>(v) </w:t>
      </w:r>
      <w:r>
        <w:rPr>
          <w:color w:val="231F20"/>
          <w:spacing w:val="-4"/>
        </w:rPr>
        <w:t>security screening </w:t>
      </w:r>
      <w:r>
        <w:rPr>
          <w:color w:val="231F20"/>
        </w:rPr>
        <w:t>of </w:t>
      </w:r>
      <w:r>
        <w:rPr>
          <w:color w:val="231F20"/>
          <w:spacing w:val="-4"/>
        </w:rPr>
        <w:t>passengers, baggage, cargo, mail, employees, </w:t>
      </w:r>
      <w:r>
        <w:rPr>
          <w:color w:val="231F20"/>
          <w:spacing w:val="-3"/>
        </w:rPr>
        <w:t>and </w:t>
      </w:r>
      <w:r>
        <w:rPr>
          <w:color w:val="231F20"/>
          <w:spacing w:val="-4"/>
        </w:rPr>
        <w:t>vendors; </w:t>
      </w:r>
      <w:r>
        <w:rPr>
          <w:color w:val="231F20"/>
          <w:spacing w:val="-3"/>
        </w:rPr>
        <w:t>(vi) </w:t>
      </w:r>
      <w:r>
        <w:rPr>
          <w:color w:val="231F20"/>
          <w:spacing w:val="-4"/>
        </w:rPr>
        <w:t>training </w:t>
      </w:r>
      <w:r>
        <w:rPr>
          <w:color w:val="231F20"/>
          <w:spacing w:val="-3"/>
        </w:rPr>
        <w:t>and </w:t>
      </w:r>
      <w:r>
        <w:rPr>
          <w:color w:val="231F20"/>
          <w:spacing w:val="-4"/>
        </w:rPr>
        <w:t>qualifications </w:t>
      </w:r>
      <w:r>
        <w:rPr>
          <w:color w:val="231F20"/>
        </w:rPr>
        <w:t>of </w:t>
      </w:r>
      <w:r>
        <w:rPr>
          <w:color w:val="231F20"/>
          <w:spacing w:val="-4"/>
        </w:rPr>
        <w:t>security screening personnel; (vii) provision </w:t>
      </w:r>
      <w:r>
        <w:rPr>
          <w:color w:val="231F20"/>
        </w:rPr>
        <w:t>of </w:t>
      </w:r>
      <w:r>
        <w:rPr>
          <w:color w:val="231F20"/>
          <w:spacing w:val="-4"/>
        </w:rPr>
        <w:t>passenger </w:t>
      </w:r>
      <w:r>
        <w:rPr>
          <w:color w:val="231F20"/>
          <w:spacing w:val="-3"/>
        </w:rPr>
        <w:t>data to CBP; and </w:t>
      </w:r>
      <w:r>
        <w:rPr>
          <w:color w:val="231F20"/>
          <w:spacing w:val="-4"/>
        </w:rPr>
        <w:t>(viii) background checks. Under ATSA, substantially </w:t>
      </w:r>
      <w:r>
        <w:rPr>
          <w:color w:val="231F20"/>
          <w:spacing w:val="-3"/>
        </w:rPr>
        <w:t>all </w:t>
      </w:r>
      <w:r>
        <w:rPr>
          <w:color w:val="231F20"/>
          <w:spacing w:val="-4"/>
        </w:rPr>
        <w:t>security officers </w:t>
      </w:r>
      <w:r>
        <w:rPr>
          <w:color w:val="231F20"/>
        </w:rPr>
        <w:t>at </w:t>
      </w:r>
      <w:r>
        <w:rPr>
          <w:color w:val="231F20"/>
          <w:spacing w:val="-4"/>
        </w:rPr>
        <w:t>airports </w:t>
      </w:r>
      <w:r>
        <w:rPr>
          <w:color w:val="231F20"/>
          <w:spacing w:val="-3"/>
        </w:rPr>
        <w:t>are </w:t>
      </w:r>
      <w:r>
        <w:rPr>
          <w:color w:val="231F20"/>
          <w:spacing w:val="-4"/>
        </w:rPr>
        <w:t>federal employees, </w:t>
      </w:r>
      <w:r>
        <w:rPr>
          <w:color w:val="231F20"/>
          <w:spacing w:val="-3"/>
        </w:rPr>
        <w:t>and </w:t>
      </w:r>
      <w:r>
        <w:rPr>
          <w:color w:val="231F20"/>
          <w:spacing w:val="-4"/>
        </w:rPr>
        <w:t>significant other elements </w:t>
      </w:r>
      <w:r>
        <w:rPr>
          <w:color w:val="231F20"/>
        </w:rPr>
        <w:t>of </w:t>
      </w:r>
      <w:r>
        <w:rPr>
          <w:color w:val="231F20"/>
          <w:spacing w:val="-4"/>
        </w:rPr>
        <w:t>airline </w:t>
      </w:r>
      <w:r>
        <w:rPr>
          <w:color w:val="231F20"/>
          <w:spacing w:val="-3"/>
        </w:rPr>
        <w:t>and </w:t>
      </w:r>
      <w:r>
        <w:rPr>
          <w:color w:val="231F20"/>
          <w:spacing w:val="-4"/>
        </w:rPr>
        <w:t>airport security </w:t>
      </w:r>
      <w:r>
        <w:rPr>
          <w:color w:val="231F20"/>
          <w:spacing w:val="-3"/>
        </w:rPr>
        <w:t>are </w:t>
      </w:r>
      <w:r>
        <w:rPr>
          <w:color w:val="231F20"/>
          <w:spacing w:val="-4"/>
        </w:rPr>
        <w:t>overseen </w:t>
      </w:r>
      <w:r>
        <w:rPr>
          <w:color w:val="231F20"/>
          <w:spacing w:val="-3"/>
        </w:rPr>
        <w:t>and </w:t>
      </w:r>
      <w:r>
        <w:rPr>
          <w:color w:val="231F20"/>
          <w:spacing w:val="-4"/>
        </w:rPr>
        <w:t>performed </w:t>
      </w:r>
      <w:r>
        <w:rPr>
          <w:color w:val="231F20"/>
        </w:rPr>
        <w:t>by </w:t>
      </w:r>
      <w:r>
        <w:rPr>
          <w:color w:val="231F20"/>
          <w:spacing w:val="-4"/>
        </w:rPr>
        <w:t>federal employees, including federal security managers, federal </w:t>
      </w:r>
      <w:r>
        <w:rPr>
          <w:color w:val="231F20"/>
          <w:spacing w:val="-3"/>
        </w:rPr>
        <w:t>law </w:t>
      </w:r>
      <w:r>
        <w:rPr>
          <w:color w:val="231F20"/>
          <w:spacing w:val="-4"/>
        </w:rPr>
        <w:t>enforcement officers, </w:t>
      </w:r>
      <w:r>
        <w:rPr>
          <w:color w:val="231F20"/>
          <w:spacing w:val="-3"/>
        </w:rPr>
        <w:t>and </w:t>
      </w:r>
      <w:r>
        <w:rPr>
          <w:color w:val="231F20"/>
          <w:spacing w:val="-4"/>
        </w:rPr>
        <w:t>federal </w:t>
      </w:r>
      <w:r>
        <w:rPr>
          <w:color w:val="231F20"/>
          <w:spacing w:val="-3"/>
        </w:rPr>
        <w:t>air </w:t>
      </w:r>
      <w:r>
        <w:rPr>
          <w:color w:val="231F20"/>
          <w:spacing w:val="-4"/>
        </w:rPr>
        <w:t>marshals. </w:t>
      </w:r>
      <w:r>
        <w:rPr>
          <w:color w:val="231F20"/>
          <w:spacing w:val="-3"/>
        </w:rPr>
        <w:t>TSA </w:t>
      </w:r>
      <w:r>
        <w:rPr>
          <w:color w:val="231F20"/>
          <w:spacing w:val="-4"/>
        </w:rPr>
        <w:t>personnel </w:t>
      </w:r>
      <w:r>
        <w:rPr>
          <w:color w:val="231F20"/>
          <w:spacing w:val="-3"/>
        </w:rPr>
        <w:t>and </w:t>
      </w:r>
      <w:r>
        <w:rPr>
          <w:color w:val="231F20"/>
          <w:spacing w:val="-4"/>
        </w:rPr>
        <w:t>TSA-mandated security procedures </w:t>
      </w:r>
      <w:r>
        <w:rPr>
          <w:color w:val="231F20"/>
          <w:spacing w:val="-3"/>
        </w:rPr>
        <w:t>can </w:t>
      </w:r>
      <w:r>
        <w:rPr>
          <w:color w:val="231F20"/>
          <w:spacing w:val="-4"/>
        </w:rPr>
        <w:t>affect </w:t>
      </w:r>
      <w:r>
        <w:rPr>
          <w:color w:val="231F20"/>
          <w:spacing w:val="-3"/>
        </w:rPr>
        <w:t>the </w:t>
      </w:r>
      <w:r>
        <w:rPr>
          <w:color w:val="231F20"/>
          <w:spacing w:val="-4"/>
        </w:rPr>
        <w:t>Company’s operations, costs, </w:t>
      </w:r>
      <w:r>
        <w:rPr>
          <w:color w:val="231F20"/>
          <w:spacing w:val="-3"/>
        </w:rPr>
        <w:t>and </w:t>
      </w:r>
      <w:r>
        <w:rPr>
          <w:color w:val="231F20"/>
          <w:spacing w:val="-4"/>
        </w:rPr>
        <w:t>Customer experience. </w:t>
      </w:r>
      <w:r>
        <w:rPr>
          <w:color w:val="231F20"/>
          <w:spacing w:val="-3"/>
        </w:rPr>
        <w:t>For </w:t>
      </w:r>
      <w:r>
        <w:rPr>
          <w:color w:val="231F20"/>
          <w:spacing w:val="-4"/>
        </w:rPr>
        <w:t>example, </w:t>
      </w:r>
      <w:r>
        <w:rPr>
          <w:color w:val="231F20"/>
        </w:rPr>
        <w:t>as </w:t>
      </w:r>
      <w:r>
        <w:rPr>
          <w:color w:val="231F20"/>
          <w:spacing w:val="-4"/>
        </w:rPr>
        <w:t>part </w:t>
      </w:r>
      <w:r>
        <w:rPr>
          <w:color w:val="231F20"/>
          <w:spacing w:val="-3"/>
        </w:rPr>
        <w:t>of its </w:t>
      </w:r>
      <w:r>
        <w:rPr>
          <w:color w:val="231F20"/>
          <w:spacing w:val="-4"/>
        </w:rPr>
        <w:t>security measures, </w:t>
      </w:r>
      <w:r>
        <w:rPr>
          <w:color w:val="231F20"/>
          <w:spacing w:val="-3"/>
        </w:rPr>
        <w:t>the TSA </w:t>
      </w:r>
      <w:r>
        <w:rPr>
          <w:color w:val="231F20"/>
          <w:spacing w:val="-4"/>
        </w:rPr>
        <w:t>regulates </w:t>
      </w:r>
      <w:r>
        <w:rPr>
          <w:color w:val="231F20"/>
          <w:spacing w:val="-3"/>
        </w:rPr>
        <w:t>the </w:t>
      </w:r>
      <w:r>
        <w:rPr>
          <w:color w:val="231F20"/>
          <w:spacing w:val="-4"/>
        </w:rPr>
        <w:t>types </w:t>
      </w:r>
      <w:r>
        <w:rPr>
          <w:color w:val="231F20"/>
        </w:rPr>
        <w:t>of </w:t>
      </w:r>
      <w:r>
        <w:rPr>
          <w:color w:val="231F20"/>
          <w:spacing w:val="-4"/>
        </w:rPr>
        <w:t>liquid items </w:t>
      </w:r>
      <w:r>
        <w:rPr>
          <w:color w:val="231F20"/>
          <w:spacing w:val="-3"/>
        </w:rPr>
        <w:t>that can </w:t>
      </w:r>
      <w:r>
        <w:rPr>
          <w:color w:val="231F20"/>
        </w:rPr>
        <w:t>be </w:t>
      </w:r>
      <w:r>
        <w:rPr>
          <w:color w:val="231F20"/>
          <w:spacing w:val="-4"/>
        </w:rPr>
        <w:t>carried onboard aircraft. </w:t>
      </w:r>
      <w:r>
        <w:rPr>
          <w:color w:val="231F20"/>
          <w:spacing w:val="-3"/>
        </w:rPr>
        <w:t>In  </w:t>
      </w:r>
      <w:r>
        <w:rPr>
          <w:color w:val="231F20"/>
          <w:spacing w:val="-4"/>
        </w:rPr>
        <w:t>addition, </w:t>
      </w:r>
      <w:r>
        <w:rPr>
          <w:color w:val="231F20"/>
        </w:rPr>
        <w:t>as </w:t>
      </w:r>
      <w:r>
        <w:rPr>
          <w:color w:val="231F20"/>
          <w:spacing w:val="-3"/>
        </w:rPr>
        <w:t>part </w:t>
      </w:r>
      <w:r>
        <w:rPr>
          <w:color w:val="231F20"/>
        </w:rPr>
        <w:t>of </w:t>
      </w:r>
      <w:r>
        <w:rPr>
          <w:color w:val="231F20"/>
          <w:spacing w:val="-3"/>
        </w:rPr>
        <w:t>its </w:t>
      </w:r>
      <w:r>
        <w:rPr>
          <w:color w:val="231F20"/>
          <w:spacing w:val="-4"/>
        </w:rPr>
        <w:t>Secure Flight program, </w:t>
      </w:r>
      <w:r>
        <w:rPr>
          <w:color w:val="231F20"/>
          <w:spacing w:val="-3"/>
        </w:rPr>
        <w:t>the TSA </w:t>
      </w:r>
      <w:r>
        <w:rPr>
          <w:color w:val="231F20"/>
          <w:spacing w:val="-4"/>
        </w:rPr>
        <w:t>requires airlines </w:t>
      </w:r>
      <w:r>
        <w:rPr>
          <w:color w:val="231F20"/>
        </w:rPr>
        <w:t>to </w:t>
      </w:r>
      <w:r>
        <w:rPr>
          <w:color w:val="231F20"/>
          <w:spacing w:val="-4"/>
        </w:rPr>
        <w:t>collect </w:t>
      </w:r>
      <w:r>
        <w:rPr>
          <w:color w:val="231F20"/>
        </w:rPr>
        <w:t>a </w:t>
      </w:r>
      <w:r>
        <w:rPr>
          <w:color w:val="231F20"/>
          <w:spacing w:val="-4"/>
        </w:rPr>
        <w:t>passenger’s </w:t>
      </w:r>
      <w:r>
        <w:rPr>
          <w:color w:val="231F20"/>
          <w:spacing w:val="-3"/>
        </w:rPr>
        <w:t>full </w:t>
      </w:r>
      <w:r>
        <w:rPr>
          <w:color w:val="231F20"/>
          <w:spacing w:val="-4"/>
        </w:rPr>
        <w:t>name </w:t>
      </w:r>
      <w:r>
        <w:rPr>
          <w:color w:val="231F20"/>
          <w:spacing w:val="-3"/>
        </w:rPr>
        <w:t>(as it </w:t>
      </w:r>
      <w:r>
        <w:rPr>
          <w:color w:val="231F20"/>
          <w:spacing w:val="-4"/>
        </w:rPr>
        <w:t>appears </w:t>
      </w:r>
      <w:r>
        <w:rPr>
          <w:color w:val="231F20"/>
          <w:spacing w:val="-3"/>
        </w:rPr>
        <w:t>on </w:t>
      </w:r>
      <w:r>
        <w:rPr>
          <w:color w:val="231F20"/>
        </w:rPr>
        <w:t>a </w:t>
      </w:r>
      <w:r>
        <w:rPr>
          <w:color w:val="231F20"/>
          <w:spacing w:val="-4"/>
        </w:rPr>
        <w:t>government-issued </w:t>
      </w:r>
      <w:r>
        <w:rPr>
          <w:color w:val="231F20"/>
          <w:spacing w:val="-3"/>
        </w:rPr>
        <w:t>ID), date </w:t>
      </w:r>
      <w:r>
        <w:rPr>
          <w:color w:val="231F20"/>
        </w:rPr>
        <w:t>of </w:t>
      </w:r>
      <w:r>
        <w:rPr>
          <w:color w:val="231F20"/>
          <w:spacing w:val="-4"/>
        </w:rPr>
        <w:t>birth, gender, </w:t>
      </w:r>
      <w:r>
        <w:rPr>
          <w:color w:val="231F20"/>
          <w:spacing w:val="-3"/>
        </w:rPr>
        <w:t>and </w:t>
      </w:r>
      <w:r>
        <w:rPr>
          <w:color w:val="231F20"/>
          <w:spacing w:val="-4"/>
        </w:rPr>
        <w:t>Redress Number </w:t>
      </w:r>
      <w:r>
        <w:rPr>
          <w:color w:val="231F20"/>
          <w:spacing w:val="-3"/>
        </w:rPr>
        <w:t>(if </w:t>
      </w:r>
      <w:r>
        <w:rPr>
          <w:color w:val="231F20"/>
          <w:spacing w:val="-4"/>
        </w:rPr>
        <w:t>applicable). Airlines </w:t>
      </w:r>
      <w:r>
        <w:rPr>
          <w:color w:val="231F20"/>
          <w:spacing w:val="-3"/>
        </w:rPr>
        <w:t>must </w:t>
      </w:r>
      <w:r>
        <w:rPr>
          <w:color w:val="231F20"/>
          <w:spacing w:val="-4"/>
        </w:rPr>
        <w:t>transmit </w:t>
      </w:r>
      <w:r>
        <w:rPr>
          <w:color w:val="231F20"/>
          <w:spacing w:val="-3"/>
        </w:rPr>
        <w:t>this </w:t>
      </w:r>
      <w:r>
        <w:rPr>
          <w:color w:val="231F20"/>
          <w:spacing w:val="-4"/>
        </w:rPr>
        <w:t>information </w:t>
      </w:r>
      <w:r>
        <w:rPr>
          <w:color w:val="231F20"/>
          <w:spacing w:val="-3"/>
        </w:rPr>
        <w:t>to </w:t>
      </w:r>
      <w:r>
        <w:rPr>
          <w:color w:val="231F20"/>
          <w:spacing w:val="-4"/>
        </w:rPr>
        <w:t>Secure Flight, which </w:t>
      </w:r>
      <w:r>
        <w:rPr>
          <w:color w:val="231F20"/>
          <w:spacing w:val="-3"/>
        </w:rPr>
        <w:t>uses the </w:t>
      </w:r>
      <w:r>
        <w:rPr>
          <w:color w:val="231F20"/>
          <w:spacing w:val="-4"/>
        </w:rPr>
        <w:t>information </w:t>
      </w:r>
      <w:r>
        <w:rPr>
          <w:color w:val="231F20"/>
          <w:spacing w:val="-3"/>
        </w:rPr>
        <w:t>to </w:t>
      </w:r>
      <w:r>
        <w:rPr>
          <w:color w:val="231F20"/>
          <w:spacing w:val="-4"/>
        </w:rPr>
        <w:t>perform matching against terrorist watch lists. After matching passenger information against </w:t>
      </w:r>
      <w:r>
        <w:rPr>
          <w:color w:val="231F20"/>
          <w:spacing w:val="-3"/>
        </w:rPr>
        <w:t>the </w:t>
      </w:r>
      <w:r>
        <w:rPr>
          <w:color w:val="231F20"/>
          <w:spacing w:val="-4"/>
        </w:rPr>
        <w:t>watch lists, Secure Flight transmits </w:t>
      </w:r>
      <w:r>
        <w:rPr>
          <w:color w:val="231F20"/>
          <w:spacing w:val="-3"/>
        </w:rPr>
        <w:t>the </w:t>
      </w:r>
      <w:r>
        <w:rPr>
          <w:color w:val="231F20"/>
          <w:spacing w:val="-4"/>
        </w:rPr>
        <w:t>matching results </w:t>
      </w:r>
      <w:r>
        <w:rPr>
          <w:color w:val="231F20"/>
          <w:spacing w:val="-3"/>
        </w:rPr>
        <w:t>back </w:t>
      </w:r>
      <w:r>
        <w:rPr>
          <w:color w:val="231F20"/>
        </w:rPr>
        <w:t>to </w:t>
      </w:r>
      <w:r>
        <w:rPr>
          <w:color w:val="231F20"/>
          <w:spacing w:val="-4"/>
        </w:rPr>
        <w:t>airlines. This serves </w:t>
      </w:r>
      <w:r>
        <w:rPr>
          <w:color w:val="231F20"/>
          <w:spacing w:val="-3"/>
        </w:rPr>
        <w:t>to </w:t>
      </w:r>
      <w:r>
        <w:rPr>
          <w:color w:val="231F20"/>
          <w:spacing w:val="-4"/>
        </w:rPr>
        <w:t>identify individuals </w:t>
      </w:r>
      <w:r>
        <w:rPr>
          <w:color w:val="231F20"/>
          <w:spacing w:val="-3"/>
        </w:rPr>
        <w:t>for </w:t>
      </w:r>
      <w:r>
        <w:rPr>
          <w:color w:val="231F20"/>
          <w:spacing w:val="-4"/>
        </w:rPr>
        <w:t>enhanced security screening </w:t>
      </w:r>
      <w:r>
        <w:rPr>
          <w:color w:val="231F20"/>
          <w:spacing w:val="-3"/>
        </w:rPr>
        <w:t>and </w:t>
      </w:r>
      <w:r>
        <w:rPr>
          <w:color w:val="231F20"/>
        </w:rPr>
        <w:t>to </w:t>
      </w:r>
      <w:r>
        <w:rPr>
          <w:color w:val="231F20"/>
          <w:spacing w:val="-4"/>
        </w:rPr>
        <w:t>prevent individuals </w:t>
      </w:r>
      <w:r>
        <w:rPr>
          <w:color w:val="231F20"/>
        </w:rPr>
        <w:t>on </w:t>
      </w:r>
      <w:r>
        <w:rPr>
          <w:color w:val="231F20"/>
          <w:spacing w:val="-4"/>
        </w:rPr>
        <w:t>watch lists </w:t>
      </w:r>
      <w:r>
        <w:rPr>
          <w:color w:val="231F20"/>
          <w:spacing w:val="-3"/>
        </w:rPr>
        <w:t>from </w:t>
      </w:r>
      <w:r>
        <w:rPr>
          <w:color w:val="231F20"/>
          <w:spacing w:val="-4"/>
        </w:rPr>
        <w:t>boarding </w:t>
      </w:r>
      <w:r>
        <w:rPr>
          <w:color w:val="231F20"/>
        </w:rPr>
        <w:t>an </w:t>
      </w:r>
      <w:r>
        <w:rPr>
          <w:color w:val="231F20"/>
          <w:spacing w:val="-4"/>
        </w:rPr>
        <w:t>aircraft. </w:t>
      </w:r>
      <w:r>
        <w:rPr>
          <w:color w:val="231F20"/>
        </w:rPr>
        <w:t>It </w:t>
      </w:r>
      <w:r>
        <w:rPr>
          <w:color w:val="231F20"/>
          <w:spacing w:val="-3"/>
        </w:rPr>
        <w:t>also </w:t>
      </w:r>
      <w:r>
        <w:rPr>
          <w:color w:val="231F20"/>
          <w:spacing w:val="-4"/>
        </w:rPr>
        <w:t>helps prevent the misidentification </w:t>
      </w:r>
      <w:r>
        <w:rPr>
          <w:color w:val="231F20"/>
        </w:rPr>
        <w:t>of </w:t>
      </w:r>
      <w:r>
        <w:rPr>
          <w:color w:val="231F20"/>
          <w:spacing w:val="-4"/>
        </w:rPr>
        <w:t>passengers </w:t>
      </w:r>
      <w:r>
        <w:rPr>
          <w:color w:val="231F20"/>
          <w:spacing w:val="-3"/>
        </w:rPr>
        <w:t>who have </w:t>
      </w:r>
      <w:r>
        <w:rPr>
          <w:color w:val="231F20"/>
          <w:spacing w:val="-4"/>
        </w:rPr>
        <w:t>names similar </w:t>
      </w:r>
      <w:r>
        <w:rPr>
          <w:color w:val="231F20"/>
          <w:spacing w:val="-3"/>
        </w:rPr>
        <w:t>to </w:t>
      </w:r>
      <w:r>
        <w:rPr>
          <w:color w:val="231F20"/>
          <w:spacing w:val="-4"/>
        </w:rPr>
        <w:t>individuals </w:t>
      </w:r>
      <w:r>
        <w:rPr>
          <w:color w:val="231F20"/>
        </w:rPr>
        <w:t>on </w:t>
      </w:r>
      <w:r>
        <w:rPr>
          <w:color w:val="231F20"/>
          <w:spacing w:val="-4"/>
        </w:rPr>
        <w:t>watch lists. </w:t>
      </w:r>
      <w:r>
        <w:rPr>
          <w:color w:val="231F20"/>
          <w:spacing w:val="-3"/>
        </w:rPr>
        <w:t>The TSA has </w:t>
      </w:r>
      <w:r>
        <w:rPr>
          <w:color w:val="231F20"/>
          <w:spacing w:val="-4"/>
        </w:rPr>
        <w:t>also implemented enhanced security procedures </w:t>
      </w:r>
      <w:r>
        <w:rPr>
          <w:color w:val="231F20"/>
        </w:rPr>
        <w:t>as </w:t>
      </w:r>
      <w:r>
        <w:rPr>
          <w:color w:val="231F20"/>
          <w:spacing w:val="-3"/>
        </w:rPr>
        <w:t>part </w:t>
      </w:r>
      <w:r>
        <w:rPr>
          <w:color w:val="231F20"/>
        </w:rPr>
        <w:t>of </w:t>
      </w:r>
      <w:r>
        <w:rPr>
          <w:color w:val="231F20"/>
          <w:spacing w:val="-3"/>
        </w:rPr>
        <w:t>its </w:t>
      </w:r>
      <w:r>
        <w:rPr>
          <w:color w:val="231F20"/>
          <w:spacing w:val="-4"/>
        </w:rPr>
        <w:t>enhanced, multi-layer approach </w:t>
      </w:r>
      <w:r>
        <w:rPr>
          <w:color w:val="231F20"/>
        </w:rPr>
        <w:t>to </w:t>
      </w:r>
      <w:r>
        <w:rPr>
          <w:color w:val="231F20"/>
          <w:spacing w:val="-4"/>
        </w:rPr>
        <w:t>airport security, including physical </w:t>
      </w:r>
      <w:r>
        <w:rPr>
          <w:color w:val="231F20"/>
          <w:spacing w:val="-3"/>
        </w:rPr>
        <w:t>pat down </w:t>
      </w:r>
      <w:r>
        <w:rPr>
          <w:color w:val="231F20"/>
          <w:spacing w:val="-4"/>
        </w:rPr>
        <w:t>procedures, </w:t>
      </w:r>
      <w:r>
        <w:rPr>
          <w:color w:val="231F20"/>
        </w:rPr>
        <w:t>at </w:t>
      </w:r>
      <w:r>
        <w:rPr>
          <w:color w:val="231F20"/>
          <w:spacing w:val="-4"/>
        </w:rPr>
        <w:t>security checkpoints. </w:t>
      </w:r>
      <w:r>
        <w:rPr>
          <w:color w:val="231F20"/>
          <w:spacing w:val="-3"/>
        </w:rPr>
        <w:t>Such </w:t>
      </w:r>
      <w:r>
        <w:rPr>
          <w:color w:val="231F20"/>
          <w:spacing w:val="-4"/>
        </w:rPr>
        <w:t>enhanced security procedures have raised privacy concerns </w:t>
      </w:r>
      <w:r>
        <w:rPr>
          <w:color w:val="231F20"/>
        </w:rPr>
        <w:t>by </w:t>
      </w:r>
      <w:r>
        <w:rPr>
          <w:color w:val="231F20"/>
          <w:spacing w:val="-3"/>
        </w:rPr>
        <w:t>some air</w:t>
      </w:r>
      <w:r>
        <w:rPr>
          <w:color w:val="231F20"/>
          <w:spacing w:val="-18"/>
        </w:rPr>
        <w:t> </w:t>
      </w:r>
      <w:r>
        <w:rPr>
          <w:color w:val="231F20"/>
          <w:spacing w:val="-5"/>
        </w:rPr>
        <w:t>travelers.</w:t>
      </w:r>
    </w:p>
    <w:p>
      <w:pPr>
        <w:pStyle w:val="BodyText"/>
        <w:spacing w:before="5"/>
      </w:pPr>
    </w:p>
    <w:p>
      <w:pPr>
        <w:pStyle w:val="BodyText"/>
        <w:spacing w:line="247" w:lineRule="auto"/>
        <w:ind w:left="100" w:right="117"/>
        <w:jc w:val="both"/>
      </w:pPr>
      <w:r>
        <w:rPr>
          <w:color w:val="231F20"/>
        </w:rPr>
        <w:t>The Company, in conjunction with the TSA and CBP, participates in TSA PreCheck™, a pre- screening initiative that allows a select group of low risk passengers to move through security checkpoints</w:t>
      </w:r>
      <w:r>
        <w:rPr>
          <w:color w:val="231F20"/>
          <w:spacing w:val="30"/>
        </w:rPr>
        <w:t> </w:t>
      </w:r>
      <w:r>
        <w:rPr>
          <w:color w:val="231F20"/>
        </w:rPr>
        <w:t>with</w:t>
      </w:r>
      <w:r>
        <w:rPr>
          <w:color w:val="231F20"/>
          <w:spacing w:val="28"/>
        </w:rPr>
        <w:t> </w:t>
      </w:r>
      <w:r>
        <w:rPr>
          <w:color w:val="231F20"/>
        </w:rPr>
        <w:t>greater</w:t>
      </w:r>
      <w:r>
        <w:rPr>
          <w:color w:val="231F20"/>
          <w:spacing w:val="29"/>
        </w:rPr>
        <w:t> </w:t>
      </w:r>
      <w:r>
        <w:rPr>
          <w:color w:val="231F20"/>
        </w:rPr>
        <w:t>efficiency</w:t>
      </w:r>
      <w:r>
        <w:rPr>
          <w:color w:val="231F20"/>
          <w:spacing w:val="29"/>
        </w:rPr>
        <w:t> </w:t>
      </w:r>
      <w:r>
        <w:rPr>
          <w:color w:val="231F20"/>
        </w:rPr>
        <w:t>and</w:t>
      </w:r>
      <w:r>
        <w:rPr>
          <w:color w:val="231F20"/>
          <w:spacing w:val="29"/>
        </w:rPr>
        <w:t> </w:t>
      </w:r>
      <w:r>
        <w:rPr>
          <w:color w:val="231F20"/>
        </w:rPr>
        <w:t>ease</w:t>
      </w:r>
      <w:r>
        <w:rPr>
          <w:color w:val="231F20"/>
          <w:spacing w:val="30"/>
        </w:rPr>
        <w:t> </w:t>
      </w:r>
      <w:r>
        <w:rPr>
          <w:color w:val="231F20"/>
        </w:rPr>
        <w:t>when</w:t>
      </w:r>
      <w:r>
        <w:rPr>
          <w:color w:val="231F20"/>
          <w:spacing w:val="29"/>
        </w:rPr>
        <w:t> </w:t>
      </w:r>
      <w:r>
        <w:rPr>
          <w:color w:val="231F20"/>
        </w:rPr>
        <w:t>traveling.</w:t>
      </w:r>
      <w:r>
        <w:rPr>
          <w:color w:val="231F20"/>
          <w:spacing w:val="28"/>
        </w:rPr>
        <w:t> </w:t>
      </w:r>
      <w:r>
        <w:rPr>
          <w:color w:val="231F20"/>
        </w:rPr>
        <w:t>Eligible</w:t>
      </w:r>
      <w:r>
        <w:rPr>
          <w:color w:val="231F20"/>
          <w:spacing w:val="28"/>
        </w:rPr>
        <w:t> </w:t>
      </w:r>
      <w:r>
        <w:rPr>
          <w:color w:val="231F20"/>
        </w:rPr>
        <w:t>passengers</w:t>
      </w:r>
      <w:r>
        <w:rPr>
          <w:color w:val="231F20"/>
          <w:spacing w:val="30"/>
        </w:rPr>
        <w:t> </w:t>
      </w:r>
      <w:r>
        <w:rPr>
          <w:color w:val="231F20"/>
        </w:rPr>
        <w:t>may</w:t>
      </w:r>
      <w:r>
        <w:rPr>
          <w:color w:val="231F20"/>
          <w:spacing w:val="28"/>
        </w:rPr>
        <w:t> </w:t>
      </w:r>
      <w:r>
        <w:rPr>
          <w:color w:val="231F20"/>
        </w:rPr>
        <w:t>use</w:t>
      </w:r>
      <w:r>
        <w:rPr>
          <w:color w:val="231F20"/>
          <w:spacing w:val="28"/>
        </w:rPr>
        <w:t> </w:t>
      </w:r>
      <w:r>
        <w:rPr>
          <w:color w:val="231F20"/>
        </w:rPr>
        <w:t>dedicated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9"/>
        <w:jc w:val="both"/>
      </w:pPr>
      <w:r>
        <w:rPr>
          <w:color w:val="231F20"/>
        </w:rPr>
        <w:t>screening lanes at certain airports the Company serves for screening benefits, which include leaving on shoes, light outerwear, and belts, as well as leaving laptops and permitted liquids in carryon bags.</w:t>
      </w:r>
    </w:p>
    <w:p>
      <w:pPr>
        <w:pStyle w:val="BodyText"/>
        <w:spacing w:line="247" w:lineRule="auto" w:before="215"/>
        <w:ind w:left="100" w:right="121"/>
        <w:jc w:val="both"/>
      </w:pPr>
      <w:r>
        <w:rPr>
          <w:color w:val="231F20"/>
          <w:spacing w:val="-3"/>
        </w:rPr>
        <w:t>The </w:t>
      </w:r>
      <w:r>
        <w:rPr>
          <w:color w:val="231F20"/>
          <w:spacing w:val="-4"/>
        </w:rPr>
        <w:t>Company </w:t>
      </w:r>
      <w:r>
        <w:rPr>
          <w:color w:val="231F20"/>
          <w:spacing w:val="-3"/>
        </w:rPr>
        <w:t>also </w:t>
      </w:r>
      <w:r>
        <w:rPr>
          <w:color w:val="231F20"/>
          <w:spacing w:val="-4"/>
        </w:rPr>
        <w:t>participates </w:t>
      </w:r>
      <w:r>
        <w:rPr>
          <w:color w:val="231F20"/>
        </w:rPr>
        <w:t>in </w:t>
      </w:r>
      <w:r>
        <w:rPr>
          <w:color w:val="231F20"/>
          <w:spacing w:val="-3"/>
        </w:rPr>
        <w:t>the TSA </w:t>
      </w:r>
      <w:r>
        <w:rPr>
          <w:color w:val="231F20"/>
          <w:spacing w:val="-4"/>
        </w:rPr>
        <w:t>Known Crewmember</w:t>
      </w:r>
      <w:r>
        <w:rPr>
          <w:color w:val="231F20"/>
          <w:spacing w:val="-4"/>
          <w:position w:val="5"/>
          <w:sz w:val="16"/>
        </w:rPr>
        <w:t>® </w:t>
      </w:r>
      <w:r>
        <w:rPr>
          <w:color w:val="231F20"/>
          <w:spacing w:val="-4"/>
        </w:rPr>
        <w:t>program, which </w:t>
      </w:r>
      <w:r>
        <w:rPr>
          <w:color w:val="231F20"/>
        </w:rPr>
        <w:t>is a </w:t>
      </w:r>
      <w:r>
        <w:rPr>
          <w:color w:val="231F20"/>
          <w:spacing w:val="-4"/>
        </w:rPr>
        <w:t>risk-based</w:t>
      </w:r>
      <w:r>
        <w:rPr>
          <w:color w:val="231F20"/>
          <w:spacing w:val="-33"/>
        </w:rPr>
        <w:t> </w:t>
      </w:r>
      <w:r>
        <w:rPr>
          <w:color w:val="231F20"/>
          <w:spacing w:val="-4"/>
        </w:rPr>
        <w:t>screening system </w:t>
      </w:r>
      <w:r>
        <w:rPr>
          <w:color w:val="231F20"/>
          <w:spacing w:val="-3"/>
        </w:rPr>
        <w:t>that </w:t>
      </w:r>
      <w:r>
        <w:rPr>
          <w:color w:val="231F20"/>
          <w:spacing w:val="-4"/>
        </w:rPr>
        <w:t>enables </w:t>
      </w:r>
      <w:r>
        <w:rPr>
          <w:color w:val="231F20"/>
          <w:spacing w:val="-3"/>
        </w:rPr>
        <w:t>TSA </w:t>
      </w:r>
      <w:r>
        <w:rPr>
          <w:color w:val="231F20"/>
          <w:spacing w:val="-4"/>
        </w:rPr>
        <w:t>security officers </w:t>
      </w:r>
      <w:r>
        <w:rPr>
          <w:color w:val="231F20"/>
          <w:spacing w:val="-3"/>
        </w:rPr>
        <w:t>to </w:t>
      </w:r>
      <w:r>
        <w:rPr>
          <w:color w:val="231F20"/>
          <w:spacing w:val="-4"/>
        </w:rPr>
        <w:t>positively verify </w:t>
      </w:r>
      <w:r>
        <w:rPr>
          <w:color w:val="231F20"/>
          <w:spacing w:val="-3"/>
        </w:rPr>
        <w:t>the </w:t>
      </w:r>
      <w:r>
        <w:rPr>
          <w:color w:val="231F20"/>
          <w:spacing w:val="-4"/>
        </w:rPr>
        <w:t>identity </w:t>
      </w:r>
      <w:r>
        <w:rPr>
          <w:color w:val="231F20"/>
          <w:spacing w:val="-3"/>
        </w:rPr>
        <w:t>and </w:t>
      </w:r>
      <w:r>
        <w:rPr>
          <w:color w:val="231F20"/>
          <w:spacing w:val="-4"/>
        </w:rPr>
        <w:t>employment status </w:t>
      </w:r>
      <w:r>
        <w:rPr>
          <w:color w:val="231F20"/>
        </w:rPr>
        <w:t>of </w:t>
      </w:r>
      <w:r>
        <w:rPr>
          <w:color w:val="231F20"/>
          <w:spacing w:val="-5"/>
        </w:rPr>
        <w:t>flight- </w:t>
      </w:r>
      <w:r>
        <w:rPr>
          <w:color w:val="231F20"/>
          <w:spacing w:val="-3"/>
        </w:rPr>
        <w:t>crew </w:t>
      </w:r>
      <w:r>
        <w:rPr>
          <w:color w:val="231F20"/>
          <w:spacing w:val="-4"/>
        </w:rPr>
        <w:t>members. </w:t>
      </w:r>
      <w:r>
        <w:rPr>
          <w:color w:val="231F20"/>
          <w:spacing w:val="-3"/>
        </w:rPr>
        <w:t>The </w:t>
      </w:r>
      <w:r>
        <w:rPr>
          <w:color w:val="231F20"/>
          <w:spacing w:val="-4"/>
        </w:rPr>
        <w:t>program expedites flight </w:t>
      </w:r>
      <w:r>
        <w:rPr>
          <w:color w:val="231F20"/>
          <w:spacing w:val="-3"/>
        </w:rPr>
        <w:t>crew </w:t>
      </w:r>
      <w:r>
        <w:rPr>
          <w:color w:val="231F20"/>
          <w:spacing w:val="-4"/>
        </w:rPr>
        <w:t>member access </w:t>
      </w:r>
      <w:r>
        <w:rPr>
          <w:color w:val="231F20"/>
          <w:spacing w:val="-3"/>
        </w:rPr>
        <w:t>to </w:t>
      </w:r>
      <w:r>
        <w:rPr>
          <w:color w:val="231F20"/>
          <w:spacing w:val="-4"/>
        </w:rPr>
        <w:t>sterile areas </w:t>
      </w:r>
      <w:r>
        <w:rPr>
          <w:color w:val="231F20"/>
        </w:rPr>
        <w:t>of</w:t>
      </w:r>
      <w:r>
        <w:rPr>
          <w:color w:val="231F20"/>
          <w:spacing w:val="-33"/>
        </w:rPr>
        <w:t> </w:t>
      </w:r>
      <w:r>
        <w:rPr>
          <w:color w:val="231F20"/>
          <w:spacing w:val="-4"/>
        </w:rPr>
        <w:t>airports.</w:t>
      </w:r>
    </w:p>
    <w:p>
      <w:pPr>
        <w:pStyle w:val="BodyText"/>
        <w:spacing w:line="247" w:lineRule="auto" w:before="215"/>
        <w:ind w:left="100" w:right="117"/>
        <w:jc w:val="both"/>
      </w:pPr>
      <w:r>
        <w:rPr>
          <w:color w:val="231F20"/>
        </w:rPr>
        <w:t>The Company works collaboratively with foreign national governments and airports to provide risk- based security measures at international departure locations.</w:t>
      </w:r>
    </w:p>
    <w:p>
      <w:pPr>
        <w:pStyle w:val="BodyText"/>
        <w:spacing w:line="247" w:lineRule="auto" w:before="215"/>
        <w:ind w:left="100" w:right="118"/>
        <w:jc w:val="both"/>
      </w:pPr>
      <w:r>
        <w:rPr>
          <w:color w:val="231F20"/>
        </w:rPr>
        <w:t>The Company has also made significant investments to address the effect of security regulations, including investments in facilities, equipment, and technology to process Customers, checked baggage, and cargo efficiently; however, the Company is not able to predict the impact, if any, that various security measures or the lack of TSA resources at certain airports will have on Passenger revenues and the Company’s costs, either in the short-term or the long-term.</w:t>
      </w:r>
    </w:p>
    <w:p>
      <w:pPr>
        <w:pStyle w:val="Heading1"/>
        <w:spacing w:before="215"/>
        <w:ind w:left="460"/>
        <w:jc w:val="left"/>
      </w:pPr>
      <w:r>
        <w:rPr>
          <w:color w:val="231F20"/>
        </w:rPr>
        <w:t>Environmental Regulation</w:t>
      </w:r>
    </w:p>
    <w:p>
      <w:pPr>
        <w:pStyle w:val="BodyText"/>
        <w:spacing w:before="3"/>
        <w:rPr>
          <w:b/>
          <w:sz w:val="19"/>
        </w:rPr>
      </w:pPr>
    </w:p>
    <w:p>
      <w:pPr>
        <w:pStyle w:val="BodyText"/>
        <w:spacing w:line="247" w:lineRule="auto" w:before="1"/>
        <w:ind w:left="100" w:right="117"/>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and storm water discharges from operations, and the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7" w:lineRule="auto" w:before="215"/>
        <w:ind w:left="100" w:right="117"/>
        <w:jc w:val="both"/>
      </w:pPr>
      <w:r>
        <w:rPr>
          <w:color w:val="231F20"/>
        </w:rPr>
        <w:t>The federal government, as well as several state and local governments, the governments of other countries, and the United Nations’ International Civil Aviation Organization (“ICAO”) are considering legislative and regulatory proposals and voluntary measures to address climate change by reducing green-house gas emissions. At the federal level, on July 1, 2015, the Environmental Protection Agency (the “EPA”) issued a proposed endangerment finding for greenhouse gas emissions from aircraft. That proposal is expected to be finalized sometime in 2016. The EPA would be required under the Clean Air Act to regulate greenhouse gases from aircraft if it determines the emissions endanger public health or the environment. In addition, along with its proposed endangerment finding, the EPA published an advance notice of proposed rulemaking summarizing international efforts to regulate aircraft  emissions. ICAO could adopt a carbon dioxide standard for aircraft in 2016 and possibly a larger international framework for aviation emissions. Regardless of the method of regulation, policy changes with regards to climate change are possible, which could significantly increase operating costs in the airline industry and, as a result, adversely affect</w:t>
      </w:r>
      <w:r>
        <w:rPr>
          <w:color w:val="231F20"/>
          <w:spacing w:val="-2"/>
        </w:rPr>
        <w:t> </w:t>
      </w:r>
      <w:r>
        <w:rPr>
          <w:color w:val="231F20"/>
        </w:rPr>
        <w:t>operations.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 addition to climate change, aircraft noise continues to be an environmental focus, especially as the FAA implements new flight procedures as part of its “NextGen” airspace modernization program discussed below. 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can limit the ability of air carriers to expand operations at the affected airports. At the federal level, the FAA is considering changes in 2016 to enhance community engagement when developing new flight procedures, and there is a possibility that Congress may enact legislation in 2016 to address local noise concerns at one or more commercial airports in the United States.</w:t>
      </w:r>
    </w:p>
    <w:p>
      <w:pPr>
        <w:pStyle w:val="BodyText"/>
        <w:spacing w:before="10"/>
        <w:rPr>
          <w:sz w:val="20"/>
        </w:rPr>
      </w:pPr>
    </w:p>
    <w:p>
      <w:pPr>
        <w:pStyle w:val="BodyText"/>
        <w:spacing w:line="247" w:lineRule="auto"/>
        <w:ind w:left="100" w:right="118"/>
        <w:jc w:val="both"/>
      </w:pPr>
      <w:r>
        <w:rPr>
          <w:color w:val="231F20"/>
        </w:rPr>
        <w:t>The Company has undertaken a number of fuel conservation and carbon emission reduction initiatives such as the following:</w:t>
      </w:r>
    </w:p>
    <w:p>
      <w:pPr>
        <w:pStyle w:val="BodyText"/>
        <w:spacing w:before="10"/>
        <w:rPr>
          <w:sz w:val="20"/>
        </w:rPr>
      </w:pPr>
    </w:p>
    <w:p>
      <w:pPr>
        <w:pStyle w:val="ListParagraph"/>
        <w:numPr>
          <w:ilvl w:val="2"/>
          <w:numId w:val="2"/>
        </w:numPr>
        <w:tabs>
          <w:tab w:pos="980" w:val="left" w:leader="none"/>
        </w:tabs>
        <w:spacing w:line="247" w:lineRule="auto" w:before="0" w:after="0"/>
        <w:ind w:left="980" w:right="118" w:hanging="440"/>
        <w:jc w:val="both"/>
        <w:rPr>
          <w:sz w:val="22"/>
        </w:rPr>
      </w:pPr>
      <w:r>
        <w:rPr>
          <w:color w:val="231F20"/>
          <w:sz w:val="22"/>
        </w:rPr>
        <w:t>installation of blended winglets, which reduce drag and increase fuel efficiency, on all Boeing 737-700 and 737-800 aircraft in Southwest’s fleet and on a majority of Southwest’s 737-300</w:t>
      </w:r>
      <w:r>
        <w:rPr>
          <w:color w:val="231F20"/>
          <w:spacing w:val="-1"/>
          <w:sz w:val="22"/>
        </w:rPr>
        <w:t> </w:t>
      </w:r>
      <w:r>
        <w:rPr>
          <w:color w:val="231F20"/>
          <w:sz w:val="22"/>
        </w:rPr>
        <w:t>aircraft;</w:t>
      </w:r>
    </w:p>
    <w:p>
      <w:pPr>
        <w:pStyle w:val="BodyText"/>
        <w:spacing w:before="10"/>
        <w:rPr>
          <w:sz w:val="20"/>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upgrading of the Company’s 737-800 fleet with newly designed, split scimitar</w:t>
      </w:r>
      <w:r>
        <w:rPr>
          <w:color w:val="231F20"/>
          <w:spacing w:val="-5"/>
          <w:sz w:val="22"/>
        </w:rPr>
        <w:t> </w:t>
      </w:r>
      <w:r>
        <w:rPr>
          <w:color w:val="231F20"/>
          <w:sz w:val="22"/>
        </w:rPr>
        <w:t>winglets;</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periodic engine washes;</w:t>
      </w:r>
    </w:p>
    <w:p>
      <w:pPr>
        <w:pStyle w:val="BodyText"/>
        <w:spacing w:before="6"/>
        <w:rPr>
          <w:sz w:val="21"/>
        </w:rPr>
      </w:pPr>
    </w:p>
    <w:p>
      <w:pPr>
        <w:pStyle w:val="ListParagraph"/>
        <w:numPr>
          <w:ilvl w:val="2"/>
          <w:numId w:val="2"/>
        </w:numPr>
        <w:tabs>
          <w:tab w:pos="979" w:val="left" w:leader="none"/>
          <w:tab w:pos="980" w:val="left" w:leader="none"/>
        </w:tabs>
        <w:spacing w:line="247" w:lineRule="auto" w:before="0" w:after="0"/>
        <w:ind w:left="980" w:right="118" w:hanging="440"/>
        <w:jc w:val="left"/>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BodyText"/>
        <w:spacing w:before="10"/>
        <w:rPr>
          <w:sz w:val="20"/>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deployment of auto-throttle and vertical navigation to maintain optimum cruising</w:t>
      </w:r>
      <w:r>
        <w:rPr>
          <w:color w:val="231F20"/>
          <w:spacing w:val="-3"/>
          <w:sz w:val="22"/>
        </w:rPr>
        <w:t> </w:t>
      </w:r>
      <w:r>
        <w:rPr>
          <w:color w:val="231F20"/>
          <w:sz w:val="22"/>
        </w:rPr>
        <w:t>speeds;</w:t>
      </w:r>
    </w:p>
    <w:p>
      <w:pPr>
        <w:pStyle w:val="BodyText"/>
        <w:spacing w:before="5"/>
        <w:rPr>
          <w:sz w:val="21"/>
        </w:rPr>
      </w:pPr>
    </w:p>
    <w:p>
      <w:pPr>
        <w:pStyle w:val="ListParagraph"/>
        <w:numPr>
          <w:ilvl w:val="2"/>
          <w:numId w:val="2"/>
        </w:numPr>
        <w:tabs>
          <w:tab w:pos="979" w:val="left" w:leader="none"/>
          <w:tab w:pos="980" w:val="left" w:leader="none"/>
        </w:tabs>
        <w:spacing w:line="247" w:lineRule="auto" w:before="1" w:after="0"/>
        <w:ind w:left="980" w:right="118" w:hanging="440"/>
        <w:jc w:val="left"/>
        <w:rPr>
          <w:sz w:val="22"/>
        </w:rPr>
      </w:pPr>
      <w:r>
        <w:rPr>
          <w:color w:val="231F20"/>
          <w:sz w:val="22"/>
        </w:rPr>
        <w:t>implementation of engine start procedures to support the Company’s single engine taxi procedures;</w:t>
      </w:r>
    </w:p>
    <w:p>
      <w:pPr>
        <w:pStyle w:val="BodyText"/>
        <w:spacing w:before="10"/>
        <w:rPr>
          <w:sz w:val="20"/>
        </w:rPr>
      </w:pPr>
    </w:p>
    <w:p>
      <w:pPr>
        <w:pStyle w:val="ListParagraph"/>
        <w:numPr>
          <w:ilvl w:val="2"/>
          <w:numId w:val="2"/>
        </w:numPr>
        <w:tabs>
          <w:tab w:pos="979" w:val="left" w:leader="none"/>
          <w:tab w:pos="980" w:val="left" w:leader="none"/>
        </w:tabs>
        <w:spacing w:line="247" w:lineRule="auto" w:before="0" w:after="0"/>
        <w:ind w:left="980" w:right="118" w:hanging="44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BodyText"/>
        <w:spacing w:before="9"/>
        <w:rPr>
          <w:sz w:val="20"/>
        </w:rPr>
      </w:pPr>
    </w:p>
    <w:p>
      <w:pPr>
        <w:pStyle w:val="ListParagraph"/>
        <w:numPr>
          <w:ilvl w:val="2"/>
          <w:numId w:val="2"/>
        </w:numPr>
        <w:tabs>
          <w:tab w:pos="979" w:val="left" w:leader="none"/>
          <w:tab w:pos="980" w:val="left" w:leader="none"/>
        </w:tabs>
        <w:spacing w:line="240" w:lineRule="auto" w:before="1" w:after="0"/>
        <w:ind w:left="980" w:right="0" w:hanging="440"/>
        <w:jc w:val="left"/>
        <w:rPr>
          <w:sz w:val="22"/>
        </w:rPr>
      </w:pPr>
      <w:r>
        <w:rPr>
          <w:color w:val="231F20"/>
          <w:sz w:val="22"/>
        </w:rPr>
        <w:t>implementation of fuel planning initiatives to safely reduce loading of excess</w:t>
      </w:r>
      <w:r>
        <w:rPr>
          <w:color w:val="231F20"/>
          <w:spacing w:val="-3"/>
          <w:sz w:val="22"/>
        </w:rPr>
        <w:t> </w:t>
      </w:r>
      <w:r>
        <w:rPr>
          <w:color w:val="231F20"/>
          <w:sz w:val="22"/>
        </w:rPr>
        <w:t>fuel;</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i/>
          <w:color w:val="231F20"/>
          <w:sz w:val="22"/>
        </w:rPr>
        <w:t>Evolve </w:t>
      </w:r>
      <w:r>
        <w:rPr>
          <w:color w:val="231F20"/>
          <w:sz w:val="22"/>
        </w:rPr>
        <w:t>aircraft cabin interior retrofitting featuring lighter</w:t>
      </w:r>
      <w:r>
        <w:rPr>
          <w:color w:val="231F20"/>
          <w:spacing w:val="-5"/>
          <w:sz w:val="22"/>
        </w:rPr>
        <w:t> </w:t>
      </w:r>
      <w:r>
        <w:rPr>
          <w:color w:val="231F20"/>
          <w:sz w:val="22"/>
        </w:rPr>
        <w:t>seats;</w:t>
      </w:r>
    </w:p>
    <w:p>
      <w:pPr>
        <w:pStyle w:val="BodyText"/>
        <w:spacing w:before="5"/>
        <w:rPr>
          <w:sz w:val="21"/>
        </w:rPr>
      </w:pPr>
    </w:p>
    <w:p>
      <w:pPr>
        <w:pStyle w:val="ListParagraph"/>
        <w:numPr>
          <w:ilvl w:val="2"/>
          <w:numId w:val="2"/>
        </w:numPr>
        <w:tabs>
          <w:tab w:pos="979" w:val="left" w:leader="none"/>
          <w:tab w:pos="980" w:val="left" w:leader="none"/>
        </w:tabs>
        <w:spacing w:line="240" w:lineRule="auto" w:before="1" w:after="0"/>
        <w:ind w:left="980" w:right="0" w:hanging="440"/>
        <w:jc w:val="left"/>
        <w:rPr>
          <w:sz w:val="22"/>
        </w:rPr>
      </w:pPr>
      <w:r>
        <w:rPr>
          <w:color w:val="231F20"/>
          <w:sz w:val="22"/>
        </w:rPr>
        <w:t>reduction of aircraft engine idle speed while on the ground, which also increases engine life;</w:t>
      </w:r>
    </w:p>
    <w:p>
      <w:pPr>
        <w:pStyle w:val="BodyText"/>
        <w:spacing w:before="6"/>
        <w:rPr>
          <w:sz w:val="21"/>
        </w:rPr>
      </w:pPr>
    </w:p>
    <w:p>
      <w:pPr>
        <w:pStyle w:val="ListParagraph"/>
        <w:numPr>
          <w:ilvl w:val="2"/>
          <w:numId w:val="2"/>
        </w:numPr>
        <w:tabs>
          <w:tab w:pos="979" w:val="left" w:leader="none"/>
          <w:tab w:pos="980" w:val="left" w:leader="none"/>
        </w:tabs>
        <w:spacing w:line="240" w:lineRule="auto" w:before="0" w:after="0"/>
        <w:ind w:left="980" w:right="0" w:hanging="440"/>
        <w:jc w:val="left"/>
        <w:rPr>
          <w:sz w:val="22"/>
        </w:rPr>
      </w:pPr>
      <w:r>
        <w:rPr>
          <w:color w:val="231F20"/>
          <w:sz w:val="22"/>
        </w:rPr>
        <w:t>galley refreshes with dry goods weight</w:t>
      </w:r>
      <w:r>
        <w:rPr>
          <w:color w:val="231F20"/>
          <w:spacing w:val="-1"/>
          <w:sz w:val="22"/>
        </w:rPr>
        <w:t> </w:t>
      </w:r>
      <w:r>
        <w:rPr>
          <w:color w:val="231F20"/>
          <w:sz w:val="22"/>
        </w:rPr>
        <w:t>reduction;</w:t>
      </w:r>
    </w:p>
    <w:p>
      <w:pPr>
        <w:pStyle w:val="BodyText"/>
        <w:spacing w:before="5"/>
        <w:rPr>
          <w:sz w:val="21"/>
        </w:rPr>
      </w:pPr>
    </w:p>
    <w:p>
      <w:pPr>
        <w:pStyle w:val="ListParagraph"/>
        <w:numPr>
          <w:ilvl w:val="2"/>
          <w:numId w:val="2"/>
        </w:numPr>
        <w:tabs>
          <w:tab w:pos="979" w:val="left" w:leader="none"/>
          <w:tab w:pos="980" w:val="left" w:leader="none"/>
        </w:tabs>
        <w:spacing w:line="247" w:lineRule="auto" w:before="1" w:after="0"/>
        <w:ind w:left="980" w:right="117" w:hanging="440"/>
        <w:jc w:val="left"/>
        <w:rPr>
          <w:sz w:val="22"/>
        </w:rPr>
      </w:pPr>
      <w:r>
        <w:rPr>
          <w:color w:val="231F20"/>
          <w:sz w:val="22"/>
        </w:rPr>
        <w:t>Company optimized routes (flying the best wind routes to take advantage of tailwinds or to minimize</w:t>
      </w:r>
      <w:r>
        <w:rPr>
          <w:color w:val="231F20"/>
          <w:spacing w:val="-1"/>
          <w:sz w:val="22"/>
        </w:rPr>
        <w:t> </w:t>
      </w:r>
      <w:r>
        <w:rPr>
          <w:color w:val="231F20"/>
          <w:sz w:val="22"/>
        </w:rPr>
        <w:t>headwinds);</w:t>
      </w:r>
    </w:p>
    <w:p>
      <w:pPr>
        <w:pStyle w:val="BodyText"/>
        <w:spacing w:before="10"/>
        <w:rPr>
          <w:sz w:val="20"/>
        </w:rPr>
      </w:pPr>
    </w:p>
    <w:p>
      <w:pPr>
        <w:pStyle w:val="ListParagraph"/>
        <w:numPr>
          <w:ilvl w:val="2"/>
          <w:numId w:val="2"/>
        </w:numPr>
        <w:tabs>
          <w:tab w:pos="980" w:val="left" w:leader="none"/>
        </w:tabs>
        <w:spacing w:line="247" w:lineRule="auto" w:before="0" w:after="0"/>
        <w:ind w:left="980" w:right="117" w:hanging="440"/>
        <w:jc w:val="both"/>
        <w:rPr>
          <w:sz w:val="22"/>
        </w:rPr>
      </w:pPr>
      <w:r>
        <w:rPr>
          <w:color w:val="231F20"/>
          <w:sz w:val="22"/>
        </w:rPr>
        <w:t>improvements in flight planning algorithms to better match the Company’s aircraft flight management system (and thereby enabling the Company to fly at the most efficient  altitudes);</w:t>
      </w:r>
    </w:p>
    <w:p>
      <w:pPr>
        <w:spacing w:after="0" w:line="247" w:lineRule="auto"/>
        <w:jc w:val="both"/>
        <w:rPr>
          <w:sz w:val="22"/>
        </w:rPr>
        <w:sectPr>
          <w:pgSz w:w="11880" w:h="15480"/>
          <w:pgMar w:header="0" w:footer="1240" w:top="1240" w:bottom="1420" w:left="1280" w:right="1260"/>
        </w:sectPr>
      </w:pPr>
    </w:p>
    <w:p>
      <w:pPr>
        <w:pStyle w:val="ListParagraph"/>
        <w:numPr>
          <w:ilvl w:val="2"/>
          <w:numId w:val="2"/>
        </w:numPr>
        <w:tabs>
          <w:tab w:pos="999" w:val="left" w:leader="none"/>
          <w:tab w:pos="1000" w:val="left" w:leader="none"/>
        </w:tabs>
        <w:spacing w:line="240" w:lineRule="auto" w:before="74" w:after="0"/>
        <w:ind w:left="1000" w:right="0" w:hanging="440"/>
        <w:jc w:val="left"/>
        <w:rPr>
          <w:sz w:val="22"/>
        </w:rPr>
      </w:pPr>
      <w:r>
        <w:rPr>
          <w:color w:val="231F20"/>
          <w:sz w:val="22"/>
        </w:rPr>
        <w:t>substitution of Pilot flight bags with lighter Electronic Flight Bag tablets;</w:t>
      </w:r>
      <w:r>
        <w:rPr>
          <w:color w:val="231F20"/>
          <w:spacing w:val="-6"/>
          <w:sz w:val="22"/>
        </w:rPr>
        <w:t> </w:t>
      </w:r>
      <w:r>
        <w:rPr>
          <w:color w:val="231F20"/>
          <w:sz w:val="22"/>
        </w:rPr>
        <w:t>and</w:t>
      </w:r>
    </w:p>
    <w:p>
      <w:pPr>
        <w:pStyle w:val="BodyText"/>
        <w:rPr>
          <w:sz w:val="23"/>
        </w:rPr>
      </w:pPr>
    </w:p>
    <w:p>
      <w:pPr>
        <w:pStyle w:val="ListParagraph"/>
        <w:numPr>
          <w:ilvl w:val="2"/>
          <w:numId w:val="2"/>
        </w:numPr>
        <w:tabs>
          <w:tab w:pos="999" w:val="left" w:leader="none"/>
          <w:tab w:pos="1000" w:val="left" w:leader="none"/>
        </w:tabs>
        <w:spacing w:line="247" w:lineRule="auto" w:before="1" w:after="0"/>
        <w:ind w:left="1000" w:right="117" w:hanging="440"/>
        <w:jc w:val="left"/>
        <w:rPr>
          <w:sz w:val="22"/>
        </w:rPr>
      </w:pPr>
      <w:r>
        <w:rPr>
          <w:color w:val="231F20"/>
          <w:sz w:val="22"/>
        </w:rPr>
        <w:t>implementation of Real Time Descent Winds (automatic uplinking of up-to-date wind data to the aircraft allowing crews to time the descent to minimize thrust</w:t>
      </w:r>
      <w:r>
        <w:rPr>
          <w:color w:val="231F20"/>
          <w:spacing w:val="-4"/>
          <w:sz w:val="22"/>
        </w:rPr>
        <w:t> </w:t>
      </w:r>
      <w:r>
        <w:rPr>
          <w:color w:val="231F20"/>
          <w:sz w:val="22"/>
        </w:rPr>
        <w:t>inputs).</w:t>
      </w:r>
    </w:p>
    <w:p>
      <w:pPr>
        <w:pStyle w:val="BodyText"/>
        <w:spacing w:before="5"/>
      </w:pPr>
    </w:p>
    <w:p>
      <w:pPr>
        <w:pStyle w:val="BodyText"/>
        <w:spacing w:line="247" w:lineRule="auto" w:before="1"/>
        <w:ind w:left="120" w:right="117"/>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By the end of 2015, Southwest had conducted over 23,000 RNP approaches, including approximately 5,000 in 2015. Southwest must rely on RNP approaches published by the FAA, and the rate of introduction of RNP approaches continues to be slower than expected, with fuel efficient RNP approaches currently available at only 46 of Southwest’s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8"/>
        </w:rPr>
        <w:t> </w:t>
      </w:r>
      <w:r>
        <w:rPr>
          <w:color w:val="231F20"/>
        </w:rPr>
        <w:t>RNP.</w:t>
      </w:r>
    </w:p>
    <w:p>
      <w:pPr>
        <w:pStyle w:val="BodyText"/>
        <w:spacing w:before="5"/>
      </w:pPr>
    </w:p>
    <w:p>
      <w:pPr>
        <w:pStyle w:val="BodyText"/>
        <w:spacing w:line="247" w:lineRule="auto" w:before="1"/>
        <w:ind w:left="119" w:right="117"/>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these and other efforts to reduce greenhouse gas emissions and address other environmental matters such as energy and water conservation, waste minimization, and recycling.</w:t>
      </w:r>
    </w:p>
    <w:p>
      <w:pPr>
        <w:pStyle w:val="BodyText"/>
        <w:spacing w:before="5"/>
      </w:pPr>
    </w:p>
    <w:p>
      <w:pPr>
        <w:pStyle w:val="Heading1"/>
        <w:spacing w:before="1"/>
        <w:ind w:left="480"/>
        <w:jc w:val="left"/>
      </w:pPr>
      <w:r>
        <w:rPr>
          <w:color w:val="231F20"/>
        </w:rPr>
        <w:t>International Regulation</w:t>
      </w:r>
    </w:p>
    <w:p>
      <w:pPr>
        <w:pStyle w:val="BodyText"/>
        <w:spacing w:before="1"/>
        <w:rPr>
          <w:b/>
          <w:sz w:val="23"/>
        </w:rPr>
      </w:pPr>
    </w:p>
    <w:p>
      <w:pPr>
        <w:pStyle w:val="BodyText"/>
        <w:spacing w:line="247" w:lineRule="auto"/>
        <w:ind w:left="119" w:right="117"/>
        <w:jc w:val="both"/>
      </w:pPr>
      <w:r>
        <w:rPr>
          <w:color w:val="231F20"/>
        </w:rPr>
        <w:t>All international air service is subject to certain U.S. federal requirements and approvals, as well as the regulatory requirements of the appropriate authorities of the foreign countries involved. The Company has obtained the necessary economic authority from the DOT, as well as approvals required by the FAA and applicable foreign government entities, to conduct operations, under certain circumstances, to points outside of the continental United States currently served by the Company. Certain international authorities and approvals held by the Company are subject to periodic renewal requirements. The Company requests extensions of such authorities and approvals when and as appropriate.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2"/>
        </w:rPr>
        <w:t> </w:t>
      </w:r>
      <w:r>
        <w:rPr>
          <w:color w:val="231F20"/>
        </w:rPr>
        <w:t>entity.</w:t>
      </w:r>
    </w:p>
    <w:p>
      <w:pPr>
        <w:pStyle w:val="BodyText"/>
        <w:spacing w:before="5"/>
      </w:pPr>
    </w:p>
    <w:p>
      <w:pPr>
        <w:pStyle w:val="BodyText"/>
        <w:spacing w:line="247" w:lineRule="auto"/>
        <w:ind w:left="119" w:right="117"/>
        <w:jc w:val="both"/>
      </w:pPr>
      <w:r>
        <w:rPr>
          <w:color w:val="231F20"/>
        </w:rPr>
        <w:t>Certain international route authorities are governed by bilateral air transportation agreements between the United States and foreign countries. Changes in U.S. or foreign government aviation policies could result in the alteration or termination of such agreements, diminish the value of the Company’s existing international authorities, present barriers to renewing existing or securing new authorities, or otherwise affect the Company’s international operations. Bilateral agreements between the United States and foreign countries the Company currently serves, or may serve in the future, may be subject to renegotiation from time to time. While the U.S. government has negotiated “open skies” agreements with many countries, which allow for unrestricted access between the United States and respective foreign destinations, agreements with other countries may restrict the Company’s entry and/or   growth</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opportunities. For example, the bilateral air transport agreement currently in force between the United States and Mexico imposes limitations on the number of U.S. air carriers that may operate on city-pair routes between points in the United States and points in Mexico. These restrictions currently prevent the Company from entering certain U.S.-Mexico routes on which it would like to provide service. Although the United States and Mexican governments signed a new  bilateral  agreement  on  December 18, 2015, that would remove such restrictions and thereby provide greater market access </w:t>
      </w:r>
      <w:r>
        <w:rPr>
          <w:color w:val="231F20"/>
          <w:spacing w:val="44"/>
        </w:rPr>
        <w:t> </w:t>
      </w:r>
      <w:r>
        <w:rPr>
          <w:color w:val="231F20"/>
        </w:rPr>
        <w:t>by</w:t>
      </w:r>
    </w:p>
    <w:p>
      <w:pPr>
        <w:pStyle w:val="BodyText"/>
        <w:spacing w:line="247" w:lineRule="auto"/>
        <w:ind w:left="100" w:right="118"/>
        <w:jc w:val="both"/>
      </w:pPr>
      <w:r>
        <w:rPr>
          <w:color w:val="231F20"/>
        </w:rPr>
        <w:t>U.S. carriers to Mexico, that agreement does not take effect until ratification by the Mexican legislature occurs and other diplomatic procedures are completed. The Company is not able to predict if or when the new U.S.-Mexico bilateral aviation agreement will officially enter into force.</w:t>
      </w:r>
    </w:p>
    <w:p>
      <w:pPr>
        <w:pStyle w:val="BodyText"/>
        <w:spacing w:before="9"/>
        <w:rPr>
          <w:sz w:val="18"/>
        </w:rPr>
      </w:pPr>
    </w:p>
    <w:p>
      <w:pPr>
        <w:pStyle w:val="BodyText"/>
        <w:spacing w:line="247" w:lineRule="auto"/>
        <w:ind w:left="100" w:right="117"/>
        <w:jc w:val="both"/>
      </w:pPr>
      <w:r>
        <w:rPr>
          <w:color w:val="231F20"/>
        </w:rPr>
        <w:t>The CBP is the federal agency of the U.S. Department of Homeland Security charged with facilitating international trade, collecting import duties, and enforcing U.S. regulations with respect to trade, customs, and immigration. As the Company expands its international flight offerings, CBP and its requirements and resources will also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has made and expects to continue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Heading1"/>
        <w:spacing w:before="215"/>
      </w:pPr>
      <w:r>
        <w:rPr>
          <w:color w:val="231F20"/>
        </w:rPr>
        <w:t>Insurance</w:t>
      </w:r>
    </w:p>
    <w:p>
      <w:pPr>
        <w:pStyle w:val="BodyText"/>
        <w:spacing w:before="4"/>
        <w:rPr>
          <w:b/>
          <w:sz w:val="19"/>
        </w:rPr>
      </w:pPr>
    </w:p>
    <w:p>
      <w:pPr>
        <w:pStyle w:val="BodyText"/>
        <w:spacing w:line="247" w:lineRule="auto"/>
        <w:ind w:left="100" w:right="117"/>
        <w:jc w:val="both"/>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carries a cyber-security insurance policy with regards to data protection and business interruption associated with both security breaches from malicious parties and from certain system failures.</w:t>
      </w:r>
    </w:p>
    <w:p>
      <w:pPr>
        <w:pStyle w:val="BodyText"/>
        <w:spacing w:line="247" w:lineRule="auto" w:before="215"/>
        <w:ind w:left="100" w:right="117"/>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on September 30, 2014, the Company proactively canceled its government provided war-risk insurance coverage prior to that date and purchased comparable 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the Company’s risk of loss from future acts of terrorism.</w:t>
      </w:r>
    </w:p>
    <w:p>
      <w:pPr>
        <w:pStyle w:val="Heading1"/>
        <w:spacing w:before="215"/>
      </w:pPr>
      <w:r>
        <w:rPr>
          <w:color w:val="231F20"/>
        </w:rPr>
        <w:t>Competition</w:t>
      </w:r>
    </w:p>
    <w:p>
      <w:pPr>
        <w:pStyle w:val="BodyText"/>
        <w:spacing w:before="4"/>
        <w:rPr>
          <w:b/>
          <w:sz w:val="19"/>
        </w:rPr>
      </w:pPr>
    </w:p>
    <w:p>
      <w:pPr>
        <w:pStyle w:val="BodyText"/>
        <w:spacing w:line="247" w:lineRule="auto"/>
        <w:ind w:left="100" w:right="117"/>
        <w:jc w:val="both"/>
      </w:pPr>
      <w:r>
        <w:rPr>
          <w:color w:val="231F20"/>
        </w:rPr>
        <w:t>Competition within the airline industry is intense and highly unpredictable, and Southwest currently competes with other airlines on virtually all of its scheduled routes. As a result of moderately improved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economic conditions and an increased focus by airlines on costs, the airline industry has become increasingly competitive in recent years with healthier financial condition and improved profitability.</w:t>
      </w:r>
    </w:p>
    <w:p>
      <w:pPr>
        <w:pStyle w:val="BodyText"/>
        <w:spacing w:before="6"/>
        <w:rPr>
          <w:sz w:val="20"/>
        </w:rPr>
      </w:pPr>
    </w:p>
    <w:p>
      <w:pPr>
        <w:pStyle w:val="BodyText"/>
        <w:spacing w:line="247" w:lineRule="auto"/>
        <w:ind w:left="100" w:right="117"/>
        <w:jc w:val="both"/>
      </w:pPr>
      <w:r>
        <w:rPr>
          <w:color w:val="231F20"/>
        </w:rPr>
        <w:t>Key competitive factors within the airline industry include (i) pricing and cost structure; (ii)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and United Airlines. The DOT defines major U.S. airlines as those airlines with annual revenues of at least $1 billion; there are currently 13 passenger airlines offering scheduled service, including Southwest, that meet this  standard.</w:t>
      </w:r>
    </w:p>
    <w:p>
      <w:pPr>
        <w:pStyle w:val="BodyText"/>
        <w:spacing w:before="6"/>
        <w:rPr>
          <w:sz w:val="20"/>
        </w:rPr>
      </w:pPr>
    </w:p>
    <w:p>
      <w:pPr>
        <w:pStyle w:val="Heading1"/>
        <w:ind w:left="460"/>
        <w:jc w:val="left"/>
      </w:pPr>
      <w:r>
        <w:rPr>
          <w:color w:val="231F20"/>
        </w:rPr>
        <w:t>Pricing and Cost Structure</w:t>
      </w:r>
    </w:p>
    <w:p>
      <w:pPr>
        <w:pStyle w:val="BodyText"/>
        <w:spacing w:before="9"/>
        <w:rPr>
          <w:b/>
          <w:sz w:val="20"/>
        </w:rPr>
      </w:pPr>
    </w:p>
    <w:p>
      <w:pPr>
        <w:pStyle w:val="BodyText"/>
        <w:spacing w:line="242" w:lineRule="auto"/>
        <w:ind w:left="100" w:right="117"/>
        <w:jc w:val="both"/>
      </w:pPr>
      <w:r>
        <w:rPr>
          <w:color w:val="231F20"/>
        </w:rPr>
        <w:t>Pricing is a significant competitive factor in the airline industry, and the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w:t>
      </w:r>
      <w:r>
        <w:rPr>
          <w:color w:val="231F20"/>
          <w:spacing w:val="-9"/>
        </w:rPr>
        <w:t> </w:t>
      </w:r>
      <w:r>
        <w:rPr>
          <w:color w:val="231F20"/>
        </w:rPr>
        <w:t>fares.</w:t>
      </w:r>
    </w:p>
    <w:p>
      <w:pPr>
        <w:pStyle w:val="BodyText"/>
        <w:spacing w:before="7"/>
        <w:rPr>
          <w:sz w:val="20"/>
        </w:rPr>
      </w:pPr>
    </w:p>
    <w:p>
      <w:pPr>
        <w:pStyle w:val="BodyText"/>
        <w:spacing w:line="242" w:lineRule="auto"/>
        <w:ind w:left="100" w:right="117"/>
        <w:jc w:val="both"/>
      </w:pPr>
      <w:r>
        <w:rPr>
          <w:color w:val="231F20"/>
        </w:rPr>
        <w:t>The Company believes its low-cost operating structure continues to provide it with an advantage over many of its airline competitors by enabling it to continue to charge low fares. The Company also believes it has gained a competitive advantage by differentiating Southwest from all of its major competitors by not charging additional fees for items such as first and second checked bags, flight changes, seat selection, snacks, curb-side check-in, and telephone reservations.</w:t>
      </w:r>
    </w:p>
    <w:p>
      <w:pPr>
        <w:pStyle w:val="BodyText"/>
        <w:spacing w:before="11"/>
        <w:rPr>
          <w:sz w:val="20"/>
        </w:rPr>
      </w:pPr>
    </w:p>
    <w:p>
      <w:pPr>
        <w:pStyle w:val="Heading1"/>
        <w:ind w:left="460"/>
        <w:jc w:val="left"/>
      </w:pPr>
      <w:r>
        <w:rPr>
          <w:color w:val="231F20"/>
        </w:rPr>
        <w:t>Routes, Frequent Flyer Programs, and Schedules</w:t>
      </w:r>
    </w:p>
    <w:p>
      <w:pPr>
        <w:pStyle w:val="BodyText"/>
        <w:spacing w:before="9"/>
        <w:rPr>
          <w:b/>
          <w:sz w:val="20"/>
        </w:rPr>
      </w:pPr>
    </w:p>
    <w:p>
      <w:pPr>
        <w:pStyle w:val="BodyText"/>
        <w:spacing w:line="242" w:lineRule="auto"/>
        <w:ind w:left="100" w:right="117"/>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w:t>
      </w:r>
      <w:r>
        <w:rPr>
          <w:color w:val="231F20"/>
          <w:spacing w:val="44"/>
        </w:rPr>
        <w:t> </w:t>
      </w:r>
      <w:r>
        <w:rPr>
          <w:color w:val="231F20"/>
        </w:rPr>
        <w:t>of</w:t>
      </w:r>
      <w:r>
        <w:rPr>
          <w:color w:val="231F20"/>
          <w:spacing w:val="43"/>
        </w:rPr>
        <w:t> </w:t>
      </w:r>
      <w:r>
        <w:rPr>
          <w:color w:val="231F20"/>
        </w:rPr>
        <w:t>the</w:t>
      </w:r>
      <w:r>
        <w:rPr>
          <w:color w:val="231F20"/>
          <w:spacing w:val="44"/>
        </w:rPr>
        <w:t> </w:t>
      </w:r>
      <w:r>
        <w:rPr>
          <w:color w:val="231F20"/>
        </w:rPr>
        <w:t>specific</w:t>
      </w:r>
      <w:r>
        <w:rPr>
          <w:color w:val="231F20"/>
          <w:spacing w:val="44"/>
        </w:rPr>
        <w:t> </w:t>
      </w:r>
      <w:r>
        <w:rPr>
          <w:color w:val="231F20"/>
        </w:rPr>
        <w:t>alliance</w:t>
      </w:r>
      <w:r>
        <w:rPr>
          <w:color w:val="231F20"/>
          <w:spacing w:val="43"/>
        </w:rPr>
        <w:t> </w:t>
      </w:r>
      <w:r>
        <w:rPr>
          <w:color w:val="231F20"/>
        </w:rPr>
        <w:t>or</w:t>
      </w:r>
      <w:r>
        <w:rPr>
          <w:color w:val="231F20"/>
          <w:spacing w:val="42"/>
        </w:rPr>
        <w:t> </w:t>
      </w:r>
      <w:r>
        <w:rPr>
          <w:color w:val="231F20"/>
        </w:rPr>
        <w:t>code-sharing</w:t>
      </w:r>
      <w:r>
        <w:rPr>
          <w:color w:val="231F20"/>
          <w:spacing w:val="43"/>
        </w:rPr>
        <w:t> </w:t>
      </w:r>
      <w:r>
        <w:rPr>
          <w:color w:val="231F20"/>
        </w:rPr>
        <w:t>arrangement,</w:t>
      </w:r>
      <w:r>
        <w:rPr>
          <w:color w:val="231F20"/>
          <w:spacing w:val="43"/>
        </w:rPr>
        <w:t> </w:t>
      </w:r>
      <w:r>
        <w:rPr>
          <w:color w:val="231F20"/>
        </w:rPr>
        <w:t>a</w:t>
      </w:r>
      <w:r>
        <w:rPr>
          <w:color w:val="231F20"/>
          <w:spacing w:val="43"/>
        </w:rPr>
        <w:t> </w:t>
      </w:r>
      <w:r>
        <w:rPr>
          <w:color w:val="231F20"/>
        </w:rPr>
        <w:t>participating</w:t>
      </w:r>
      <w:r>
        <w:rPr>
          <w:color w:val="231F20"/>
          <w:spacing w:val="42"/>
        </w:rPr>
        <w:t> </w:t>
      </w:r>
      <w:r>
        <w:rPr>
          <w:color w:val="231F20"/>
        </w:rPr>
        <w:t>airline</w:t>
      </w:r>
      <w:r>
        <w:rPr>
          <w:color w:val="231F20"/>
          <w:spacing w:val="42"/>
        </w:rPr>
        <w:t> </w:t>
      </w:r>
      <w:r>
        <w:rPr>
          <w:color w:val="231F20"/>
        </w:rPr>
        <w:t>may</w:t>
      </w:r>
      <w:r>
        <w:rPr>
          <w:color w:val="231F20"/>
          <w:spacing w:val="43"/>
        </w:rPr>
        <w:t> </w:t>
      </w:r>
      <w:r>
        <w:rPr>
          <w:color w:val="231F20"/>
        </w:rPr>
        <w:t>be</w:t>
      </w:r>
      <w:r>
        <w:rPr>
          <w:color w:val="231F20"/>
          <w:spacing w:val="43"/>
        </w:rPr>
        <w:t> </w:t>
      </w:r>
      <w:r>
        <w:rPr>
          <w:color w:val="231F20"/>
        </w:rPr>
        <w:t>able</w:t>
      </w:r>
      <w:r>
        <w:rPr>
          <w:color w:val="231F20"/>
          <w:spacing w:val="43"/>
        </w:rPr>
        <w:t> </w:t>
      </w:r>
      <w:r>
        <w:rPr>
          <w:color w:val="231F20"/>
        </w:rPr>
        <w:t>to</w:t>
      </w:r>
    </w:p>
    <w:p>
      <w:pPr>
        <w:pStyle w:val="BodyText"/>
        <w:spacing w:line="242" w:lineRule="auto"/>
        <w:ind w:left="100" w:right="117"/>
        <w:jc w:val="both"/>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itself to offer additional itineraries.</w:t>
      </w:r>
    </w:p>
    <w:p>
      <w:pPr>
        <w:spacing w:after="0" w:line="242" w:lineRule="auto"/>
        <w:jc w:val="both"/>
        <w:sectPr>
          <w:pgSz w:w="11880" w:h="15480"/>
          <w:pgMar w:header="0" w:footer="1240" w:top="1240" w:bottom="1420" w:left="1280" w:right="1260"/>
        </w:sectPr>
      </w:pPr>
    </w:p>
    <w:p>
      <w:pPr>
        <w:pStyle w:val="Heading1"/>
        <w:spacing w:before="74"/>
        <w:ind w:left="480"/>
        <w:jc w:val="left"/>
      </w:pPr>
      <w:r>
        <w:rPr>
          <w:color w:val="231F20"/>
        </w:rPr>
        <w:t>Customer Service, Comfort, and Amenities</w:t>
      </w:r>
    </w:p>
    <w:p>
      <w:pPr>
        <w:pStyle w:val="BodyText"/>
        <w:spacing w:before="2"/>
        <w:rPr>
          <w:b/>
          <w:sz w:val="23"/>
        </w:rPr>
      </w:pPr>
    </w:p>
    <w:p>
      <w:pPr>
        <w:pStyle w:val="BodyText"/>
        <w:spacing w:line="242" w:lineRule="auto" w:before="1"/>
        <w:ind w:left="119" w:right="117"/>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including Southwest, are adding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w:t>
      </w:r>
      <w:r>
        <w:rPr>
          <w:color w:val="231F20"/>
          <w:spacing w:val="-1"/>
        </w:rPr>
        <w:t> </w:t>
      </w:r>
      <w:r>
        <w:rPr>
          <w:color w:val="231F20"/>
        </w:rPr>
        <w:t>fleet.</w:t>
      </w:r>
    </w:p>
    <w:p>
      <w:pPr>
        <w:pStyle w:val="BodyText"/>
        <w:spacing w:before="5"/>
        <w:rPr>
          <w:sz w:val="23"/>
        </w:rPr>
      </w:pPr>
    </w:p>
    <w:p>
      <w:pPr>
        <w:pStyle w:val="Heading1"/>
        <w:ind w:left="480"/>
        <w:jc w:val="left"/>
      </w:pPr>
      <w:r>
        <w:rPr>
          <w:color w:val="231F20"/>
        </w:rPr>
        <w:t>Other Forms of Competition</w:t>
      </w:r>
    </w:p>
    <w:p>
      <w:pPr>
        <w:pStyle w:val="BodyText"/>
        <w:spacing w:before="7"/>
        <w:rPr>
          <w:b/>
          <w:sz w:val="23"/>
        </w:rPr>
      </w:pPr>
    </w:p>
    <w:p>
      <w:pPr>
        <w:pStyle w:val="BodyText"/>
        <w:spacing w:line="247" w:lineRule="auto"/>
        <w:ind w:left="119" w:right="117"/>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BodyText"/>
        <w:spacing w:before="11"/>
      </w:pPr>
    </w:p>
    <w:p>
      <w:pPr>
        <w:pStyle w:val="Heading1"/>
        <w:ind w:left="119"/>
      </w:pPr>
      <w:r>
        <w:rPr>
          <w:color w:val="231F20"/>
        </w:rPr>
        <w:t>Seasonality</w:t>
      </w:r>
    </w:p>
    <w:p>
      <w:pPr>
        <w:pStyle w:val="BodyText"/>
        <w:spacing w:before="7"/>
        <w:rPr>
          <w:b/>
          <w:sz w:val="23"/>
        </w:rPr>
      </w:pPr>
    </w:p>
    <w:p>
      <w:pPr>
        <w:pStyle w:val="BodyText"/>
        <w:spacing w:line="247" w:lineRule="auto"/>
        <w:ind w:left="119" w:right="117"/>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rPr>
          <w:sz w:val="23"/>
        </w:rPr>
      </w:pPr>
    </w:p>
    <w:p>
      <w:pPr>
        <w:pStyle w:val="Heading1"/>
        <w:ind w:left="119"/>
      </w:pPr>
      <w:r>
        <w:rPr>
          <w:color w:val="231F20"/>
        </w:rPr>
        <w:t>Employees</w:t>
      </w:r>
    </w:p>
    <w:p>
      <w:pPr>
        <w:pStyle w:val="BodyText"/>
        <w:spacing w:before="7"/>
        <w:rPr>
          <w:b/>
          <w:sz w:val="23"/>
        </w:rPr>
      </w:pPr>
    </w:p>
    <w:p>
      <w:pPr>
        <w:pStyle w:val="BodyText"/>
        <w:spacing w:line="247" w:lineRule="auto"/>
        <w:ind w:left="119" w:right="117"/>
        <w:jc w:val="both"/>
      </w:pPr>
      <w:r>
        <w:rPr>
          <w:color w:val="231F20"/>
        </w:rPr>
        <w:t>At December 31, 2015, the Company had approximately 49,600 active fulltime equivalent Employees, consisting of 21,100 flight, 2,800 maintenance, 17,300 ground, Customer, and fleet service, and 8,400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 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The following table sets forth the Company’s Employee groups and the status of the respective collective-bargaining agreements as of December 31, 2015:</w:t>
      </w:r>
    </w:p>
    <w:p>
      <w:pPr>
        <w:pStyle w:val="BodyText"/>
        <w:rPr>
          <w:sz w:val="16"/>
        </w:r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35"/>
        <w:gridCol w:w="1820"/>
        <w:gridCol w:w="2200"/>
        <w:gridCol w:w="2855"/>
      </w:tblGrid>
      <w:tr>
        <w:trPr>
          <w:trHeight w:val="430" w:hRule="exact"/>
        </w:trPr>
        <w:tc>
          <w:tcPr>
            <w:tcW w:w="2235" w:type="dxa"/>
            <w:tcBorders>
              <w:right w:val="single" w:sz="8" w:space="0" w:color="231F20"/>
            </w:tcBorders>
          </w:tcPr>
          <w:p>
            <w:pPr>
              <w:pStyle w:val="TableParagraph"/>
              <w:spacing w:before="9"/>
              <w:rPr>
                <w:sz w:val="15"/>
              </w:rPr>
            </w:pPr>
          </w:p>
          <w:p>
            <w:pPr>
              <w:pStyle w:val="TableParagraph"/>
              <w:spacing w:before="0"/>
              <w:ind w:left="50"/>
              <w:rPr>
                <w:b/>
                <w:sz w:val="18"/>
              </w:rPr>
            </w:pPr>
            <w:r>
              <w:rPr>
                <w:b/>
                <w:color w:val="231F20"/>
                <w:sz w:val="18"/>
              </w:rPr>
              <w:t>Employee Group</w:t>
            </w:r>
          </w:p>
        </w:tc>
        <w:tc>
          <w:tcPr>
            <w:tcW w:w="1820" w:type="dxa"/>
            <w:tcBorders>
              <w:left w:val="single" w:sz="8" w:space="0" w:color="231F20"/>
              <w:right w:val="single" w:sz="8" w:space="0" w:color="231F20"/>
            </w:tcBorders>
          </w:tcPr>
          <w:p>
            <w:pPr>
              <w:pStyle w:val="TableParagraph"/>
              <w:spacing w:line="180" w:lineRule="exact" w:before="26"/>
              <w:ind w:left="70" w:right="5"/>
              <w:rPr>
                <w:b/>
                <w:sz w:val="18"/>
              </w:rPr>
            </w:pPr>
            <w:r>
              <w:rPr>
                <w:b/>
                <w:color w:val="231F20"/>
                <w:sz w:val="18"/>
              </w:rPr>
              <w:t>Approximate Number of Employees</w:t>
            </w:r>
          </w:p>
        </w:tc>
        <w:tc>
          <w:tcPr>
            <w:tcW w:w="2200" w:type="dxa"/>
            <w:tcBorders>
              <w:left w:val="single" w:sz="8" w:space="0" w:color="231F20"/>
              <w:righ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Representatives</w:t>
            </w:r>
          </w:p>
        </w:tc>
        <w:tc>
          <w:tcPr>
            <w:tcW w:w="2855" w:type="dxa"/>
            <w:tcBorders>
              <w:lef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Status of Agreement</w:t>
            </w:r>
          </w:p>
        </w:tc>
      </w:tr>
      <w:tr>
        <w:trPr>
          <w:trHeight w:val="448" w:hRule="exact"/>
        </w:trPr>
        <w:tc>
          <w:tcPr>
            <w:tcW w:w="2235" w:type="dxa"/>
            <w:tcBorders>
              <w:right w:val="single" w:sz="8" w:space="0" w:color="231F20"/>
            </w:tcBorders>
            <w:shd w:val="clear" w:color="auto" w:fill="D1D3D4"/>
          </w:tcPr>
          <w:p>
            <w:pPr>
              <w:pStyle w:val="TableParagraph"/>
              <w:spacing w:before="1"/>
              <w:rPr>
                <w:sz w:val="19"/>
              </w:rPr>
            </w:pPr>
          </w:p>
          <w:p>
            <w:pPr>
              <w:pStyle w:val="TableParagraph"/>
              <w:spacing w:before="0"/>
              <w:ind w:left="50"/>
              <w:rPr>
                <w:sz w:val="18"/>
              </w:rPr>
            </w:pPr>
            <w:r>
              <w:rPr>
                <w:color w:val="231F20"/>
                <w:sz w:val="18"/>
              </w:rPr>
              <w:t>Southwest Pilots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7,600</w:t>
            </w:r>
          </w:p>
        </w:tc>
        <w:tc>
          <w:tcPr>
            <w:tcW w:w="2200" w:type="dxa"/>
            <w:tcBorders>
              <w:left w:val="single" w:sz="8" w:space="0" w:color="231F20"/>
              <w:right w:val="single" w:sz="8" w:space="0" w:color="231F20"/>
            </w:tcBorders>
            <w:shd w:val="clear" w:color="auto" w:fill="D1D3D4"/>
          </w:tcPr>
          <w:p>
            <w:pPr>
              <w:pStyle w:val="TableParagraph"/>
              <w:spacing w:line="194" w:lineRule="exact" w:before="38"/>
              <w:ind w:left="70" w:right="199"/>
              <w:rPr>
                <w:sz w:val="18"/>
              </w:rPr>
            </w:pPr>
            <w:r>
              <w:rPr>
                <w:color w:val="231F20"/>
                <w:sz w:val="18"/>
              </w:rPr>
              <w:t>Southwest Airlines Pilots’ Association (“SWAPA”)</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70"/>
              <w:rPr>
                <w:sz w:val="18"/>
              </w:rPr>
            </w:pPr>
            <w:r>
              <w:rPr>
                <w:color w:val="231F20"/>
                <w:sz w:val="18"/>
              </w:rPr>
              <w:t>In negotiations</w:t>
            </w:r>
          </w:p>
        </w:tc>
      </w:tr>
      <w:tr>
        <w:trPr>
          <w:trHeight w:val="642" w:hRule="exact"/>
        </w:trPr>
        <w:tc>
          <w:tcPr>
            <w:tcW w:w="2235" w:type="dxa"/>
            <w:tcBorders>
              <w:righ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50"/>
              <w:rPr>
                <w:sz w:val="18"/>
              </w:rPr>
            </w:pPr>
            <w:r>
              <w:rPr>
                <w:color w:val="231F20"/>
                <w:sz w:val="18"/>
              </w:rPr>
              <w:t>Southwest Flight Attendants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69"/>
              <w:rPr>
                <w:sz w:val="18"/>
              </w:rPr>
            </w:pPr>
            <w:r>
              <w:rPr>
                <w:color w:val="231F20"/>
                <w:sz w:val="18"/>
              </w:rPr>
              <w:t>13,100</w:t>
            </w:r>
          </w:p>
        </w:tc>
        <w:tc>
          <w:tcPr>
            <w:tcW w:w="2200" w:type="dxa"/>
            <w:tcBorders>
              <w:left w:val="single" w:sz="8" w:space="0" w:color="231F20"/>
              <w:right w:val="single" w:sz="8" w:space="0" w:color="231F20"/>
            </w:tcBorders>
          </w:tcPr>
          <w:p>
            <w:pPr>
              <w:pStyle w:val="TableParagraph"/>
              <w:spacing w:line="194" w:lineRule="exact" w:before="38"/>
              <w:ind w:left="70" w:right="188"/>
              <w:jc w:val="both"/>
              <w:rPr>
                <w:sz w:val="18"/>
              </w:rPr>
            </w:pPr>
            <w:r>
              <w:rPr>
                <w:color w:val="231F20"/>
                <w:sz w:val="18"/>
              </w:rPr>
              <w:t>Transportation Workers of America, AFL-CIO, Local 556 (“TWU 556”)</w:t>
            </w:r>
          </w:p>
        </w:tc>
        <w:tc>
          <w:tcPr>
            <w:tcW w:w="2855" w:type="dxa"/>
            <w:tcBorders>
              <w:left w:val="single" w:sz="8" w:space="0" w:color="231F20"/>
            </w:tcBorders>
          </w:tcPr>
          <w:p>
            <w:pPr>
              <w:pStyle w:val="TableParagraph"/>
              <w:spacing w:before="0"/>
              <w:rPr>
                <w:sz w:val="20"/>
              </w:rPr>
            </w:pPr>
          </w:p>
          <w:p>
            <w:pPr>
              <w:pStyle w:val="TableParagraph"/>
              <w:spacing w:before="11"/>
              <w:rPr>
                <w:sz w:val="15"/>
              </w:rPr>
            </w:pPr>
          </w:p>
          <w:p>
            <w:pPr>
              <w:pStyle w:val="TableParagraph"/>
              <w:spacing w:before="0"/>
              <w:ind w:left="69"/>
              <w:rPr>
                <w:sz w:val="18"/>
              </w:rPr>
            </w:pPr>
            <w:r>
              <w:rPr>
                <w:color w:val="231F20"/>
                <w:sz w:val="18"/>
              </w:rPr>
              <w:t>In negotiations</w:t>
            </w:r>
          </w:p>
        </w:tc>
      </w:tr>
      <w:tr>
        <w:trPr>
          <w:trHeight w:val="1418"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line="194" w:lineRule="exact" w:before="0"/>
              <w:ind w:left="50"/>
              <w:rPr>
                <w:sz w:val="18"/>
              </w:rPr>
            </w:pPr>
            <w:r>
              <w:rPr>
                <w:color w:val="231F20"/>
                <w:sz w:val="18"/>
              </w:rPr>
              <w:t>Southwest Ramp, Operations, Provisioning, Freight Agents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23"/>
              </w:rPr>
            </w:pPr>
          </w:p>
          <w:p>
            <w:pPr>
              <w:pStyle w:val="TableParagraph"/>
              <w:spacing w:before="0"/>
              <w:ind w:left="69"/>
              <w:rPr>
                <w:sz w:val="18"/>
              </w:rPr>
            </w:pPr>
            <w:r>
              <w:rPr>
                <w:color w:val="231F20"/>
                <w:sz w:val="18"/>
              </w:rPr>
              <w:t>11,000</w:t>
            </w:r>
          </w:p>
        </w:tc>
        <w:tc>
          <w:tcPr>
            <w:tcW w:w="220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line="194" w:lineRule="exact" w:before="125"/>
              <w:ind w:left="70" w:right="188"/>
              <w:jc w:val="both"/>
              <w:rPr>
                <w:sz w:val="18"/>
              </w:rPr>
            </w:pPr>
            <w:r>
              <w:rPr>
                <w:color w:val="231F20"/>
                <w:sz w:val="18"/>
              </w:rPr>
              <w:t>Transportation Workers of America, AFL-CIO, Local 555 (“TWU 555”)</w:t>
            </w:r>
          </w:p>
        </w:tc>
        <w:tc>
          <w:tcPr>
            <w:tcW w:w="2855" w:type="dxa"/>
            <w:tcBorders>
              <w:left w:val="single" w:sz="8" w:space="0" w:color="231F20"/>
            </w:tcBorders>
            <w:shd w:val="clear" w:color="auto" w:fill="D1D3D4"/>
          </w:tcPr>
          <w:p>
            <w:pPr>
              <w:pStyle w:val="TableParagraph"/>
              <w:spacing w:line="194" w:lineRule="exact" w:before="39"/>
              <w:ind w:left="70" w:right="65"/>
              <w:rPr>
                <w:sz w:val="18"/>
              </w:rPr>
            </w:pPr>
            <w:r>
              <w:rPr>
                <w:color w:val="231F20"/>
                <w:sz w:val="18"/>
              </w:rPr>
              <w:t>The Company reached a tentative agreement with TWU 555 in December 2015. TWU 555 has presented the contract to its members for ratification. If ratified, the contract will become amendable in 2021.</w:t>
            </w:r>
          </w:p>
        </w:tc>
      </w:tr>
      <w:tr>
        <w:trPr>
          <w:trHeight w:val="836" w:hRule="exact"/>
        </w:trPr>
        <w:tc>
          <w:tcPr>
            <w:tcW w:w="2235" w:type="dxa"/>
            <w:tcBorders>
              <w:right w:val="single" w:sz="8" w:space="0" w:color="231F20"/>
            </w:tcBorders>
          </w:tcPr>
          <w:p>
            <w:pPr>
              <w:pStyle w:val="TableParagraph"/>
              <w:spacing w:before="2"/>
              <w:rPr>
                <w:sz w:val="20"/>
              </w:rPr>
            </w:pPr>
          </w:p>
          <w:p>
            <w:pPr>
              <w:pStyle w:val="TableParagraph"/>
              <w:spacing w:line="194" w:lineRule="exact" w:before="1"/>
              <w:ind w:left="50" w:right="70"/>
              <w:rPr>
                <w:sz w:val="18"/>
              </w:rPr>
            </w:pPr>
            <w:r>
              <w:rPr>
                <w:color w:val="231F20"/>
                <w:sz w:val="18"/>
              </w:rPr>
              <w:t>Southwest Customer Service Agents, Customer Representatives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20"/>
              </w:rPr>
            </w:pPr>
          </w:p>
          <w:p>
            <w:pPr>
              <w:pStyle w:val="TableParagraph"/>
              <w:spacing w:before="148"/>
              <w:ind w:left="69"/>
              <w:rPr>
                <w:sz w:val="18"/>
              </w:rPr>
            </w:pPr>
            <w:r>
              <w:rPr>
                <w:color w:val="231F20"/>
                <w:sz w:val="18"/>
              </w:rPr>
              <w:t>6,300</w:t>
            </w:r>
          </w:p>
        </w:tc>
        <w:tc>
          <w:tcPr>
            <w:tcW w:w="2200" w:type="dxa"/>
            <w:tcBorders>
              <w:left w:val="single" w:sz="8" w:space="0" w:color="231F20"/>
              <w:right w:val="single" w:sz="8" w:space="0" w:color="231F20"/>
            </w:tcBorders>
          </w:tcPr>
          <w:p>
            <w:pPr>
              <w:pStyle w:val="TableParagraph"/>
              <w:spacing w:line="194" w:lineRule="exact" w:before="39"/>
              <w:ind w:left="70" w:right="80"/>
              <w:rPr>
                <w:sz w:val="18"/>
              </w:rPr>
            </w:pPr>
            <w:r>
              <w:rPr>
                <w:color w:val="231F20"/>
                <w:sz w:val="18"/>
              </w:rPr>
              <w:t>International Association of Machinists and Aerospace Workers, AFL-CIO (“IAM 142”)</w:t>
            </w:r>
          </w:p>
        </w:tc>
        <w:tc>
          <w:tcPr>
            <w:tcW w:w="2855" w:type="dxa"/>
            <w:tcBorders>
              <w:left w:val="single" w:sz="8" w:space="0" w:color="231F20"/>
            </w:tcBorders>
          </w:tcPr>
          <w:p>
            <w:pPr>
              <w:pStyle w:val="TableParagraph"/>
              <w:spacing w:before="0"/>
              <w:rPr>
                <w:sz w:val="20"/>
              </w:rPr>
            </w:pPr>
          </w:p>
          <w:p>
            <w:pPr>
              <w:pStyle w:val="TableParagraph"/>
              <w:spacing w:before="0"/>
              <w:rPr>
                <w:sz w:val="20"/>
              </w:rPr>
            </w:pPr>
          </w:p>
          <w:p>
            <w:pPr>
              <w:pStyle w:val="TableParagraph"/>
              <w:spacing w:before="148"/>
              <w:ind w:left="70"/>
              <w:rPr>
                <w:sz w:val="18"/>
              </w:rPr>
            </w:pPr>
            <w:r>
              <w:rPr>
                <w:color w:val="231F20"/>
                <w:sz w:val="18"/>
              </w:rPr>
              <w:t>Amendable December 2018</w:t>
            </w:r>
          </w:p>
        </w:tc>
      </w:tr>
      <w:tr>
        <w:trPr>
          <w:trHeight w:val="642" w:hRule="exact"/>
        </w:trPr>
        <w:tc>
          <w:tcPr>
            <w:tcW w:w="2235" w:type="dxa"/>
            <w:tcBorders>
              <w:right w:val="single" w:sz="8" w:space="0" w:color="231F20"/>
            </w:tcBorders>
            <w:shd w:val="clear" w:color="auto" w:fill="D1D3D4"/>
          </w:tcPr>
          <w:p>
            <w:pPr>
              <w:pStyle w:val="TableParagraph"/>
              <w:spacing w:line="194" w:lineRule="exact" w:before="39"/>
              <w:ind w:left="50" w:right="110"/>
              <w:rPr>
                <w:sz w:val="18"/>
              </w:rPr>
            </w:pPr>
            <w:r>
              <w:rPr>
                <w:color w:val="231F20"/>
                <w:sz w:val="18"/>
              </w:rPr>
              <w:t>Southwest Material Specialists (formerly known as Stock Clerks)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215"/>
              <w:rPr>
                <w:sz w:val="18"/>
              </w:rPr>
            </w:pPr>
            <w:r>
              <w:rPr>
                <w:color w:val="231F20"/>
                <w:sz w:val="18"/>
              </w:rPr>
              <w:t>International Brotherhood of Teamsters, Local 19 (“IBT 19”)</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70"/>
              <w:rPr>
                <w:sz w:val="18"/>
              </w:rPr>
            </w:pPr>
            <w:r>
              <w:rPr>
                <w:color w:val="231F20"/>
                <w:sz w:val="18"/>
              </w:rPr>
              <w:t>In negotiations</w:t>
            </w:r>
          </w:p>
        </w:tc>
      </w:tr>
      <w:tr>
        <w:trPr>
          <w:trHeight w:val="642" w:hRule="exact"/>
        </w:trPr>
        <w:tc>
          <w:tcPr>
            <w:tcW w:w="2235" w:type="dxa"/>
            <w:tcBorders>
              <w:righ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50"/>
              <w:rPr>
                <w:sz w:val="18"/>
              </w:rPr>
            </w:pPr>
            <w:r>
              <w:rPr>
                <w:color w:val="231F20"/>
                <w:sz w:val="18"/>
              </w:rPr>
              <w:t>Southwest Mechanics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2,300</w:t>
            </w:r>
          </w:p>
        </w:tc>
        <w:tc>
          <w:tcPr>
            <w:tcW w:w="2200" w:type="dxa"/>
            <w:tcBorders>
              <w:left w:val="single" w:sz="8" w:space="0" w:color="231F20"/>
              <w:right w:val="single" w:sz="8" w:space="0" w:color="231F20"/>
            </w:tcBorders>
          </w:tcPr>
          <w:p>
            <w:pPr>
              <w:pStyle w:val="TableParagraph"/>
              <w:spacing w:line="194" w:lineRule="exact" w:before="39"/>
              <w:ind w:left="70" w:right="545"/>
              <w:rPr>
                <w:sz w:val="18"/>
              </w:rPr>
            </w:pPr>
            <w:r>
              <w:rPr>
                <w:color w:val="231F20"/>
                <w:sz w:val="18"/>
              </w:rPr>
              <w:t>Aircraft Mechanics Fraternal Association (“AMFA”)</w:t>
            </w:r>
          </w:p>
        </w:tc>
        <w:tc>
          <w:tcPr>
            <w:tcW w:w="2855" w:type="dxa"/>
            <w:tcBorders>
              <w:left w:val="single" w:sz="8" w:space="0" w:color="231F20"/>
            </w:tcBorders>
          </w:tcPr>
          <w:p>
            <w:pPr>
              <w:pStyle w:val="TableParagraph"/>
              <w:spacing w:before="0"/>
              <w:rPr>
                <w:sz w:val="20"/>
              </w:rPr>
            </w:pPr>
          </w:p>
          <w:p>
            <w:pPr>
              <w:pStyle w:val="TableParagraph"/>
              <w:spacing w:before="0"/>
              <w:rPr>
                <w:sz w:val="16"/>
              </w:rPr>
            </w:pPr>
          </w:p>
          <w:p>
            <w:pPr>
              <w:pStyle w:val="TableParagraph"/>
              <w:spacing w:before="0"/>
              <w:ind w:left="70"/>
              <w:rPr>
                <w:sz w:val="18"/>
              </w:rPr>
            </w:pPr>
            <w:r>
              <w:rPr>
                <w:color w:val="231F20"/>
                <w:sz w:val="18"/>
              </w:rPr>
              <w:t>In negotiations</w:t>
            </w:r>
          </w:p>
        </w:tc>
      </w:tr>
      <w:tr>
        <w:trPr>
          <w:trHeight w:val="448" w:hRule="exact"/>
        </w:trPr>
        <w:tc>
          <w:tcPr>
            <w:tcW w:w="2235" w:type="dxa"/>
            <w:tcBorders>
              <w:right w:val="single" w:sz="8" w:space="0" w:color="231F20"/>
            </w:tcBorders>
            <w:shd w:val="clear" w:color="auto" w:fill="D1D3D4"/>
          </w:tcPr>
          <w:p>
            <w:pPr>
              <w:pStyle w:val="TableParagraph"/>
              <w:spacing w:line="194" w:lineRule="exact" w:before="39"/>
              <w:ind w:left="50" w:right="376"/>
              <w:rPr>
                <w:sz w:val="18"/>
              </w:rPr>
            </w:pPr>
            <w:r>
              <w:rPr>
                <w:color w:val="231F20"/>
                <w:sz w:val="18"/>
              </w:rPr>
              <w:t>Southwest Aircraft Appearance Technicians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200</w:t>
            </w:r>
          </w:p>
        </w:tc>
        <w:tc>
          <w:tcPr>
            <w:tcW w:w="220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AMFA</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Amendable February 2017</w:t>
            </w:r>
          </w:p>
        </w:tc>
      </w:tr>
      <w:tr>
        <w:trPr>
          <w:trHeight w:val="448" w:hRule="exact"/>
        </w:trPr>
        <w:tc>
          <w:tcPr>
            <w:tcW w:w="2235" w:type="dxa"/>
            <w:tcBorders>
              <w:right w:val="single" w:sz="8" w:space="0" w:color="231F20"/>
            </w:tcBorders>
          </w:tcPr>
          <w:p>
            <w:pPr>
              <w:pStyle w:val="TableParagraph"/>
              <w:spacing w:line="194" w:lineRule="exact" w:before="39"/>
              <w:ind w:left="50" w:right="305"/>
              <w:rPr>
                <w:sz w:val="18"/>
              </w:rPr>
            </w:pPr>
            <w:r>
              <w:rPr>
                <w:color w:val="231F20"/>
                <w:sz w:val="18"/>
              </w:rPr>
              <w:t>Southwest Facilities Maintenance Technicians</w:t>
            </w:r>
          </w:p>
        </w:tc>
        <w:tc>
          <w:tcPr>
            <w:tcW w:w="182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AMFA</w:t>
            </w:r>
          </w:p>
        </w:tc>
        <w:tc>
          <w:tcPr>
            <w:tcW w:w="2855" w:type="dxa"/>
            <w:tcBorders>
              <w:left w:val="single" w:sz="8" w:space="0" w:color="231F20"/>
            </w:tcBorders>
          </w:tcPr>
          <w:p>
            <w:pPr>
              <w:pStyle w:val="TableParagraph"/>
              <w:spacing w:before="1"/>
              <w:rPr>
                <w:sz w:val="19"/>
              </w:rPr>
            </w:pPr>
          </w:p>
          <w:p>
            <w:pPr>
              <w:pStyle w:val="TableParagraph"/>
              <w:spacing w:before="0"/>
              <w:ind w:left="69"/>
              <w:rPr>
                <w:sz w:val="18"/>
              </w:rPr>
            </w:pPr>
            <w:r>
              <w:rPr>
                <w:color w:val="231F20"/>
                <w:sz w:val="18"/>
              </w:rPr>
              <w:t>In negotiations</w:t>
            </w:r>
          </w:p>
        </w:tc>
      </w:tr>
      <w:tr>
        <w:trPr>
          <w:trHeight w:val="642"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50"/>
              <w:rPr>
                <w:sz w:val="18"/>
              </w:rPr>
            </w:pPr>
            <w:r>
              <w:rPr>
                <w:color w:val="231F20"/>
                <w:sz w:val="18"/>
              </w:rPr>
              <w:t>Southwest Dispatchers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188"/>
              <w:jc w:val="both"/>
              <w:rPr>
                <w:sz w:val="18"/>
              </w:rPr>
            </w:pPr>
            <w:r>
              <w:rPr>
                <w:color w:val="231F20"/>
                <w:sz w:val="18"/>
              </w:rPr>
              <w:t>Transportation Workers of America, AFL-CIO, Local 550 (“TWU 550”)</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Amendable November 2019</w:t>
            </w:r>
          </w:p>
        </w:tc>
      </w:tr>
      <w:tr>
        <w:trPr>
          <w:trHeight w:val="448" w:hRule="exact"/>
        </w:trPr>
        <w:tc>
          <w:tcPr>
            <w:tcW w:w="2235" w:type="dxa"/>
            <w:tcBorders>
              <w:right w:val="single" w:sz="8" w:space="0" w:color="231F20"/>
            </w:tcBorders>
          </w:tcPr>
          <w:p>
            <w:pPr>
              <w:pStyle w:val="TableParagraph"/>
              <w:spacing w:line="194" w:lineRule="exact" w:before="39"/>
              <w:ind w:left="50" w:right="169"/>
              <w:rPr>
                <w:sz w:val="18"/>
              </w:rPr>
            </w:pPr>
            <w:r>
              <w:rPr>
                <w:color w:val="231F20"/>
                <w:sz w:val="18"/>
              </w:rPr>
              <w:t>Southwest Flight Simulator Technicians</w:t>
            </w:r>
          </w:p>
        </w:tc>
        <w:tc>
          <w:tcPr>
            <w:tcW w:w="1820" w:type="dxa"/>
            <w:tcBorders>
              <w:left w:val="single" w:sz="8" w:space="0" w:color="231F20"/>
              <w:right w:val="single" w:sz="8" w:space="0" w:color="231F20"/>
            </w:tcBorders>
          </w:tcPr>
          <w:p>
            <w:pPr>
              <w:pStyle w:val="TableParagraph"/>
              <w:spacing w:before="1"/>
              <w:rPr>
                <w:sz w:val="19"/>
              </w:rPr>
            </w:pPr>
          </w:p>
          <w:p>
            <w:pPr>
              <w:pStyle w:val="TableParagraph"/>
              <w:spacing w:before="0"/>
              <w:ind w:left="69"/>
              <w:rPr>
                <w:sz w:val="18"/>
              </w:rPr>
            </w:pPr>
            <w:r>
              <w:rPr>
                <w:color w:val="231F20"/>
                <w:sz w:val="18"/>
              </w:rPr>
              <w:t>30</w:t>
            </w:r>
          </w:p>
        </w:tc>
        <w:tc>
          <w:tcPr>
            <w:tcW w:w="2200" w:type="dxa"/>
            <w:tcBorders>
              <w:left w:val="single" w:sz="8" w:space="0" w:color="231F20"/>
              <w:right w:val="single" w:sz="8" w:space="0" w:color="231F20"/>
            </w:tcBorders>
          </w:tcPr>
          <w:p>
            <w:pPr>
              <w:pStyle w:val="TableParagraph"/>
              <w:spacing w:line="194" w:lineRule="exact" w:before="39"/>
              <w:ind w:left="70" w:right="215"/>
              <w:rPr>
                <w:sz w:val="18"/>
              </w:rPr>
            </w:pPr>
            <w:r>
              <w:rPr>
                <w:color w:val="231F20"/>
                <w:sz w:val="18"/>
              </w:rPr>
              <w:t>International Brotherhood of Teamsters (“IBT”)</w:t>
            </w:r>
          </w:p>
        </w:tc>
        <w:tc>
          <w:tcPr>
            <w:tcW w:w="2855" w:type="dxa"/>
            <w:tcBorders>
              <w:left w:val="single" w:sz="8" w:space="0" w:color="231F20"/>
            </w:tcBorders>
          </w:tcPr>
          <w:p>
            <w:pPr>
              <w:pStyle w:val="TableParagraph"/>
              <w:spacing w:before="1"/>
              <w:rPr>
                <w:sz w:val="19"/>
              </w:rPr>
            </w:pPr>
          </w:p>
          <w:p>
            <w:pPr>
              <w:pStyle w:val="TableParagraph"/>
              <w:spacing w:before="0"/>
              <w:ind w:left="70"/>
              <w:rPr>
                <w:sz w:val="18"/>
              </w:rPr>
            </w:pPr>
            <w:r>
              <w:rPr>
                <w:color w:val="231F20"/>
                <w:sz w:val="18"/>
              </w:rPr>
              <w:t>Amendable April 2019</w:t>
            </w:r>
          </w:p>
        </w:tc>
      </w:tr>
      <w:tr>
        <w:trPr>
          <w:trHeight w:val="642" w:hRule="exact"/>
        </w:trPr>
        <w:tc>
          <w:tcPr>
            <w:tcW w:w="2235" w:type="dxa"/>
            <w:tcBorders>
              <w:right w:val="single" w:sz="8" w:space="0" w:color="231F20"/>
            </w:tcBorders>
            <w:shd w:val="clear" w:color="auto" w:fill="D1D3D4"/>
          </w:tcPr>
          <w:p>
            <w:pPr>
              <w:pStyle w:val="TableParagraph"/>
              <w:spacing w:before="2"/>
              <w:rPr>
                <w:sz w:val="20"/>
              </w:rPr>
            </w:pPr>
          </w:p>
          <w:p>
            <w:pPr>
              <w:pStyle w:val="TableParagraph"/>
              <w:spacing w:line="194" w:lineRule="exact" w:before="1"/>
              <w:ind w:left="50" w:right="489"/>
              <w:rPr>
                <w:sz w:val="18"/>
              </w:rPr>
            </w:pPr>
            <w:r>
              <w:rPr>
                <w:color w:val="231F20"/>
                <w:sz w:val="18"/>
              </w:rPr>
              <w:t>Southwest Flight Crew Training Instructors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80</w:t>
            </w:r>
          </w:p>
        </w:tc>
        <w:tc>
          <w:tcPr>
            <w:tcW w:w="2200" w:type="dxa"/>
            <w:tcBorders>
              <w:left w:val="single" w:sz="8" w:space="0" w:color="231F20"/>
              <w:right w:val="single" w:sz="8" w:space="0" w:color="231F20"/>
            </w:tcBorders>
            <w:shd w:val="clear" w:color="auto" w:fill="D1D3D4"/>
          </w:tcPr>
          <w:p>
            <w:pPr>
              <w:pStyle w:val="TableParagraph"/>
              <w:spacing w:line="194" w:lineRule="exact" w:before="39"/>
              <w:ind w:left="70" w:right="188"/>
              <w:jc w:val="both"/>
              <w:rPr>
                <w:sz w:val="18"/>
              </w:rPr>
            </w:pPr>
            <w:r>
              <w:rPr>
                <w:color w:val="231F20"/>
                <w:sz w:val="18"/>
              </w:rPr>
              <w:t>Transportation Workers of America, AFL-CIO, Local 557 (“TWU 557”)</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0"/>
              <w:rPr>
                <w:sz w:val="16"/>
              </w:rPr>
            </w:pPr>
          </w:p>
          <w:p>
            <w:pPr>
              <w:pStyle w:val="TableParagraph"/>
              <w:spacing w:before="0"/>
              <w:ind w:left="69"/>
              <w:rPr>
                <w:sz w:val="18"/>
              </w:rPr>
            </w:pPr>
            <w:r>
              <w:rPr>
                <w:color w:val="231F20"/>
                <w:sz w:val="18"/>
              </w:rPr>
              <w:t>In negotiations</w:t>
            </w:r>
          </w:p>
        </w:tc>
      </w:tr>
      <w:tr>
        <w:trPr>
          <w:trHeight w:val="254" w:hRule="exact"/>
        </w:trPr>
        <w:tc>
          <w:tcPr>
            <w:tcW w:w="2235" w:type="dxa"/>
            <w:tcBorders>
              <w:right w:val="single" w:sz="8" w:space="0" w:color="231F20"/>
            </w:tcBorders>
          </w:tcPr>
          <w:p>
            <w:pPr>
              <w:pStyle w:val="TableParagraph"/>
              <w:spacing w:before="26"/>
              <w:ind w:left="50"/>
              <w:rPr>
                <w:sz w:val="18"/>
              </w:rPr>
            </w:pPr>
            <w:r>
              <w:rPr>
                <w:color w:val="231F20"/>
                <w:sz w:val="18"/>
              </w:rPr>
              <w:t>Southwest Meteorologists</w:t>
            </w:r>
          </w:p>
        </w:tc>
        <w:tc>
          <w:tcPr>
            <w:tcW w:w="1820" w:type="dxa"/>
            <w:tcBorders>
              <w:left w:val="single" w:sz="8" w:space="0" w:color="231F20"/>
              <w:right w:val="single" w:sz="8" w:space="0" w:color="231F20"/>
            </w:tcBorders>
          </w:tcPr>
          <w:p>
            <w:pPr>
              <w:pStyle w:val="TableParagraph"/>
              <w:spacing w:before="26"/>
              <w:ind w:left="69"/>
              <w:rPr>
                <w:sz w:val="18"/>
              </w:rPr>
            </w:pPr>
            <w:r>
              <w:rPr>
                <w:color w:val="231F20"/>
                <w:sz w:val="18"/>
              </w:rPr>
              <w:t>7</w:t>
            </w:r>
          </w:p>
        </w:tc>
        <w:tc>
          <w:tcPr>
            <w:tcW w:w="2200" w:type="dxa"/>
            <w:tcBorders>
              <w:left w:val="single" w:sz="8" w:space="0" w:color="231F20"/>
              <w:right w:val="single" w:sz="8" w:space="0" w:color="231F20"/>
            </w:tcBorders>
          </w:tcPr>
          <w:p>
            <w:pPr>
              <w:pStyle w:val="TableParagraph"/>
              <w:spacing w:before="26"/>
              <w:ind w:left="69"/>
              <w:rPr>
                <w:sz w:val="18"/>
              </w:rPr>
            </w:pPr>
            <w:r>
              <w:rPr>
                <w:color w:val="231F20"/>
                <w:sz w:val="18"/>
              </w:rPr>
              <w:t>TWU 550</w:t>
            </w:r>
          </w:p>
        </w:tc>
        <w:tc>
          <w:tcPr>
            <w:tcW w:w="2855" w:type="dxa"/>
            <w:tcBorders>
              <w:left w:val="single" w:sz="8" w:space="0" w:color="231F20"/>
            </w:tcBorders>
          </w:tcPr>
          <w:p>
            <w:pPr>
              <w:pStyle w:val="TableParagraph"/>
              <w:spacing w:before="26"/>
              <w:ind w:left="69"/>
              <w:rPr>
                <w:sz w:val="18"/>
              </w:rPr>
            </w:pPr>
            <w:r>
              <w:rPr>
                <w:color w:val="231F20"/>
                <w:sz w:val="18"/>
              </w:rPr>
              <w:t>Amendable June 2019</w:t>
            </w:r>
          </w:p>
        </w:tc>
      </w:tr>
      <w:tr>
        <w:trPr>
          <w:trHeight w:val="448" w:hRule="exact"/>
        </w:trPr>
        <w:tc>
          <w:tcPr>
            <w:tcW w:w="2235" w:type="dxa"/>
            <w:tcBorders>
              <w:right w:val="single" w:sz="8" w:space="0" w:color="231F20"/>
            </w:tcBorders>
            <w:shd w:val="clear" w:color="auto" w:fill="D1D3D4"/>
          </w:tcPr>
          <w:p>
            <w:pPr>
              <w:pStyle w:val="TableParagraph"/>
              <w:spacing w:line="194" w:lineRule="exact" w:before="39"/>
              <w:ind w:left="50" w:right="45"/>
              <w:rPr>
                <w:sz w:val="18"/>
              </w:rPr>
            </w:pPr>
            <w:r>
              <w:rPr>
                <w:color w:val="231F20"/>
                <w:sz w:val="18"/>
              </w:rPr>
              <w:t>Southwest Source of Support Representatives</w:t>
            </w:r>
          </w:p>
        </w:tc>
        <w:tc>
          <w:tcPr>
            <w:tcW w:w="182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90</w:t>
            </w:r>
          </w:p>
        </w:tc>
        <w:tc>
          <w:tcPr>
            <w:tcW w:w="2200" w:type="dxa"/>
            <w:tcBorders>
              <w:left w:val="single" w:sz="8" w:space="0" w:color="231F20"/>
              <w:righ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IAM 142</w:t>
            </w:r>
          </w:p>
        </w:tc>
        <w:tc>
          <w:tcPr>
            <w:tcW w:w="2855" w:type="dxa"/>
            <w:tcBorders>
              <w:left w:val="single" w:sz="8" w:space="0" w:color="231F20"/>
            </w:tcBorders>
            <w:shd w:val="clear" w:color="auto" w:fill="D1D3D4"/>
          </w:tcPr>
          <w:p>
            <w:pPr>
              <w:pStyle w:val="TableParagraph"/>
              <w:spacing w:before="1"/>
              <w:rPr>
                <w:sz w:val="19"/>
              </w:rPr>
            </w:pPr>
          </w:p>
          <w:p>
            <w:pPr>
              <w:pStyle w:val="TableParagraph"/>
              <w:spacing w:before="0"/>
              <w:ind w:left="69"/>
              <w:rPr>
                <w:sz w:val="18"/>
              </w:rPr>
            </w:pPr>
            <w:r>
              <w:rPr>
                <w:color w:val="231F20"/>
                <w:sz w:val="18"/>
              </w:rPr>
              <w:t>In negotiations</w:t>
            </w:r>
          </w:p>
        </w:tc>
      </w:tr>
    </w:tbl>
    <w:p>
      <w:pPr>
        <w:spacing w:after="0"/>
        <w:rPr>
          <w:sz w:val="18"/>
        </w:rPr>
        <w:sectPr>
          <w:pgSz w:w="11880" w:h="15480"/>
          <w:pgMar w:header="0" w:footer="1240" w:top="1240" w:bottom="1420" w:left="1280" w:right="1260"/>
        </w:sectPr>
      </w:pPr>
    </w:p>
    <w:p>
      <w:pPr>
        <w:pStyle w:val="Heading1"/>
        <w:spacing w:before="74"/>
      </w:pPr>
      <w:r>
        <w:rPr>
          <w:color w:val="231F20"/>
        </w:rPr>
        <w:t>Additional Information About the Company</w:t>
      </w:r>
    </w:p>
    <w:p>
      <w:pPr>
        <w:pStyle w:val="BodyText"/>
        <w:rPr>
          <w:b/>
          <w:sz w:val="23"/>
        </w:rPr>
      </w:pPr>
    </w:p>
    <w:p>
      <w:pPr>
        <w:pStyle w:val="BodyText"/>
        <w:spacing w:line="247" w:lineRule="auto" w:before="1"/>
        <w:ind w:left="100" w:right="556"/>
      </w:pPr>
      <w:r>
        <w:rPr>
          <w:color w:val="231F20"/>
        </w:rPr>
        <w:t>The Company was incorporated in Texas in 1967. The following documents are available free of charge through the </w:t>
      </w:r>
      <w:hyperlink r:id="rId17">
        <w:r>
          <w:rPr>
            <w:color w:val="231F20"/>
          </w:rPr>
          <w:t>Company’s website, www.southwest.com:</w:t>
        </w:r>
      </w:hyperlink>
      <w:r>
        <w:rPr>
          <w:color w:val="231F20"/>
        </w:rPr>
        <w:t> the Company’s annual report on Form 10-K, quarterly reports on Form 10-Q, current reports on Form 8-K, and any amendments to those reports that are filed with or furnished to the Securities and Exchange Commission (“SEC”)</w:t>
      </w:r>
    </w:p>
    <w:p>
      <w:pPr>
        <w:pStyle w:val="BodyText"/>
        <w:spacing w:line="247" w:lineRule="auto"/>
        <w:ind w:left="100" w:right="134"/>
      </w:pPr>
      <w:r>
        <w:rPr>
          <w:color w:val="231F20"/>
        </w:rPr>
        <w:t>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w:t>
      </w:r>
      <w:r>
        <w:rPr>
          <w:color w:val="231F20"/>
          <w:spacing w:val="-2"/>
        </w:rPr>
        <w:t> </w:t>
      </w:r>
      <w:r>
        <w:rPr>
          <w:color w:val="231F20"/>
        </w:rPr>
        <w:t>pages).</w:t>
      </w:r>
    </w:p>
    <w:p>
      <w:pPr>
        <w:pStyle w:val="BodyText"/>
        <w:spacing w:before="5"/>
      </w:pPr>
    </w:p>
    <w:p>
      <w:pPr>
        <w:pStyle w:val="Heading1"/>
        <w:spacing w:before="1"/>
        <w:ind w:left="1202"/>
        <w:jc w:val="left"/>
      </w:pPr>
      <w:r>
        <w:rPr>
          <w:color w:val="231F20"/>
        </w:rPr>
        <w:t>DISCLOSURE REGARDING FORWARD-LOOKING INFORMATION</w:t>
      </w:r>
    </w:p>
    <w:p>
      <w:pPr>
        <w:pStyle w:val="BodyText"/>
        <w:spacing w:before="1"/>
        <w:rPr>
          <w:b/>
          <w:sz w:val="23"/>
        </w:rPr>
      </w:pPr>
    </w:p>
    <w:p>
      <w:pPr>
        <w:pStyle w:val="BodyText"/>
        <w:spacing w:line="247" w:lineRule="auto"/>
        <w:ind w:left="100" w:right="117"/>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before="5"/>
      </w:pPr>
    </w:p>
    <w:p>
      <w:pPr>
        <w:pStyle w:val="BodyText"/>
        <w:spacing w:line="247" w:lineRule="auto"/>
        <w:ind w:left="100" w:right="118"/>
        <w:jc w:val="both"/>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5"/>
      </w:pPr>
    </w:p>
    <w:p>
      <w:pPr>
        <w:tabs>
          <w:tab w:pos="1529" w:val="left" w:leader="none"/>
        </w:tabs>
        <w:spacing w:before="0"/>
        <w:ind w:left="100" w:right="0" w:firstLine="0"/>
        <w:jc w:val="both"/>
        <w:rPr>
          <w:b/>
          <w:i/>
          <w:sz w:val="22"/>
        </w:rPr>
      </w:pPr>
      <w:bookmarkStart w:name="Item 1A. Risk Factors " w:id="3"/>
      <w:bookmarkEnd w:id="3"/>
      <w:r>
        <w:rPr/>
      </w:r>
      <w:r>
        <w:rPr>
          <w:b/>
          <w:color w:val="231F20"/>
          <w:sz w:val="22"/>
        </w:rPr>
        <w:t>Item 1A.</w:t>
        <w:tab/>
      </w:r>
      <w:r>
        <w:rPr>
          <w:b/>
          <w:i/>
          <w:color w:val="231F20"/>
          <w:sz w:val="22"/>
        </w:rPr>
        <w:t>Risk</w:t>
      </w:r>
      <w:r>
        <w:rPr>
          <w:b/>
          <w:i/>
          <w:color w:val="231F20"/>
          <w:spacing w:val="-1"/>
          <w:sz w:val="22"/>
        </w:rPr>
        <w:t> </w:t>
      </w:r>
      <w:r>
        <w:rPr>
          <w:b/>
          <w:i/>
          <w:color w:val="231F20"/>
          <w:sz w:val="22"/>
        </w:rPr>
        <w:t>Factors</w:t>
      </w:r>
    </w:p>
    <w:p>
      <w:pPr>
        <w:pStyle w:val="BodyText"/>
        <w:rPr>
          <w:b/>
          <w:i/>
          <w:sz w:val="23"/>
        </w:rPr>
      </w:pPr>
    </w:p>
    <w:p>
      <w:pPr>
        <w:pStyle w:val="Heading2"/>
        <w:spacing w:line="247" w:lineRule="auto" w:before="1"/>
        <w:ind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before="5"/>
        <w:rPr>
          <w:b/>
          <w:i/>
        </w:rPr>
      </w:pPr>
    </w:p>
    <w:p>
      <w:pPr>
        <w:pStyle w:val="BodyText"/>
        <w:spacing w:line="247" w:lineRule="auto"/>
        <w:ind w:left="100" w:right="117"/>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t>
      </w:r>
      <w:r>
        <w:rPr>
          <w:color w:val="231F20"/>
          <w:spacing w:val="52"/>
        </w:rPr>
        <w:t> </w:t>
      </w:r>
      <w:r>
        <w:rPr>
          <w:color w:val="231F20"/>
        </w:rPr>
        <w:t>with</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have also historically hampered the ability of airlines to raise fares to counteract any increases in fuel, labor, and other costs. Although the U.S. economy has experienced moderate economic growth over  the course of the past three years, any continuing or future U.S. or global economic uncertainty could negatively affect the Company’s results of operations and could cause the Company to adjust its business</w:t>
      </w:r>
      <w:r>
        <w:rPr>
          <w:color w:val="231F20"/>
          <w:spacing w:val="1"/>
        </w:rPr>
        <w:t> </w:t>
      </w:r>
      <w:r>
        <w:rPr>
          <w:color w:val="231F20"/>
        </w:rPr>
        <w:t>strategies.</w:t>
      </w:r>
    </w:p>
    <w:p>
      <w:pPr>
        <w:pStyle w:val="BodyText"/>
        <w:spacing w:before="5"/>
      </w:pPr>
    </w:p>
    <w:p>
      <w:pPr>
        <w:pStyle w:val="Heading2"/>
        <w:spacing w:line="247" w:lineRule="auto"/>
        <w:ind w:right="201"/>
      </w:pPr>
      <w:r>
        <w:rPr>
          <w:i/>
          <w:color w:val="231F20"/>
        </w:rPr>
        <w:t>The Company’s business can be significantly impacted by high and/or volatile fuel prices, and </w:t>
      </w:r>
      <w:r>
        <w:rPr>
          <w:color w:val="231F20"/>
        </w:rPr>
        <w:t>the Company’s operations are subject to disruption in the event of any delayed supply of fuel; therefore, the Company’s strategic plans and future profitability are likely to be impacted by the Company’s ability to effectively address fuel price increases and fuel price volatility and availability.</w:t>
      </w:r>
    </w:p>
    <w:p>
      <w:pPr>
        <w:pStyle w:val="BodyText"/>
        <w:spacing w:before="5"/>
        <w:rPr>
          <w:b/>
          <w:i/>
        </w:rPr>
      </w:pPr>
    </w:p>
    <w:p>
      <w:pPr>
        <w:pStyle w:val="BodyText"/>
        <w:spacing w:line="247" w:lineRule="auto"/>
        <w:ind w:left="100" w:right="117"/>
        <w:jc w:val="both"/>
      </w:pPr>
      <w:r>
        <w:rPr>
          <w:color w:val="231F20"/>
        </w:rPr>
        <w:t>Airlines are inherently dependent upon energy to operate, and jet fuel and oil represented  approximately 23 percent of the Company’s operating expenses for 2015. Although 2015 fuel prices were lower than in 2014, and dropped significantly beginning in the second half of 2014, the cost of fuel continues to be volatile and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w:t>
      </w:r>
      <w:r>
        <w:rPr>
          <w:color w:val="231F20"/>
          <w:spacing w:val="16"/>
        </w:rPr>
        <w:t> </w:t>
      </w:r>
      <w:r>
        <w:rPr>
          <w:color w:val="231F20"/>
        </w:rPr>
        <w:t>or</w:t>
      </w:r>
      <w:r>
        <w:rPr>
          <w:color w:val="231F20"/>
          <w:spacing w:val="15"/>
        </w:rPr>
        <w:t> </w:t>
      </w:r>
      <w:r>
        <w:rPr>
          <w:color w:val="231F20"/>
        </w:rPr>
        <w:t>other</w:t>
      </w:r>
      <w:r>
        <w:rPr>
          <w:color w:val="231F20"/>
          <w:spacing w:val="15"/>
        </w:rPr>
        <w:t> </w:t>
      </w:r>
      <w:r>
        <w:rPr>
          <w:color w:val="231F20"/>
        </w:rPr>
        <w:t>conflicts</w:t>
      </w:r>
      <w:r>
        <w:rPr>
          <w:color w:val="231F20"/>
          <w:spacing w:val="16"/>
        </w:rPr>
        <w:t> </w:t>
      </w:r>
      <w:r>
        <w:rPr>
          <w:color w:val="231F20"/>
        </w:rPr>
        <w:t>in</w:t>
      </w:r>
      <w:r>
        <w:rPr>
          <w:color w:val="231F20"/>
          <w:spacing w:val="15"/>
        </w:rPr>
        <w:t> </w:t>
      </w:r>
      <w:r>
        <w:rPr>
          <w:color w:val="231F20"/>
        </w:rPr>
        <w:t>oil</w:t>
      </w:r>
      <w:r>
        <w:rPr>
          <w:color w:val="231F20"/>
          <w:spacing w:val="15"/>
        </w:rPr>
        <w:t> </w:t>
      </w:r>
      <w:r>
        <w:rPr>
          <w:color w:val="231F20"/>
        </w:rPr>
        <w:t>producing</w:t>
      </w:r>
      <w:r>
        <w:rPr>
          <w:color w:val="231F20"/>
          <w:spacing w:val="15"/>
        </w:rPr>
        <w:t> </w:t>
      </w:r>
      <w:r>
        <w:rPr>
          <w:color w:val="231F20"/>
        </w:rPr>
        <w:t>areas;</w:t>
      </w:r>
      <w:r>
        <w:rPr>
          <w:color w:val="231F20"/>
          <w:spacing w:val="16"/>
        </w:rPr>
        <w:t> </w:t>
      </w:r>
      <w:r>
        <w:rPr>
          <w:color w:val="231F20"/>
        </w:rPr>
        <w:t>(ii)</w:t>
      </w:r>
      <w:r>
        <w:rPr>
          <w:color w:val="231F20"/>
          <w:spacing w:val="15"/>
        </w:rPr>
        <w:t> </w:t>
      </w:r>
      <w:r>
        <w:rPr>
          <w:color w:val="231F20"/>
        </w:rPr>
        <w:t>limited</w:t>
      </w:r>
      <w:r>
        <w:rPr>
          <w:color w:val="231F20"/>
          <w:spacing w:val="15"/>
        </w:rPr>
        <w:t> </w:t>
      </w:r>
      <w:r>
        <w:rPr>
          <w:color w:val="231F20"/>
        </w:rPr>
        <w:t>domestic</w:t>
      </w:r>
      <w:r>
        <w:rPr>
          <w:color w:val="231F20"/>
          <w:spacing w:val="16"/>
        </w:rPr>
        <w:t> </w:t>
      </w:r>
      <w:r>
        <w:rPr>
          <w:color w:val="231F20"/>
        </w:rPr>
        <w:t>refining</w:t>
      </w:r>
      <w:r>
        <w:rPr>
          <w:color w:val="231F20"/>
          <w:spacing w:val="15"/>
        </w:rPr>
        <w:t> </w:t>
      </w:r>
      <w:r>
        <w:rPr>
          <w:color w:val="231F20"/>
        </w:rPr>
        <w:t>or</w:t>
      </w:r>
      <w:r>
        <w:rPr>
          <w:color w:val="231F20"/>
          <w:spacing w:val="15"/>
        </w:rPr>
        <w:t> </w:t>
      </w:r>
      <w:r>
        <w:rPr>
          <w:color w:val="231F20"/>
        </w:rPr>
        <w:t>pipeline</w:t>
      </w:r>
      <w:r>
        <w:rPr>
          <w:color w:val="231F20"/>
          <w:spacing w:val="15"/>
        </w:rPr>
        <w:t> </w:t>
      </w:r>
      <w:r>
        <w:rPr>
          <w:color w:val="231F20"/>
        </w:rPr>
        <w:t>capacity;</w:t>
      </w:r>
    </w:p>
    <w:p>
      <w:pPr>
        <w:pStyle w:val="BodyText"/>
        <w:spacing w:line="247" w:lineRule="auto"/>
        <w:ind w:left="100" w:right="117"/>
        <w:jc w:val="both"/>
      </w:pPr>
      <w:r>
        <w:rPr>
          <w:color w:val="231F20"/>
        </w:rPr>
        <w:t>(iii) worldwide demand for fuel, particularly in developing countries, which can result in inflated energy prices; (iv) changes in U.S. governmental policies on fuel production, transportation, taxes, and marketing; and (v) changes in currency exchange rates.</w:t>
      </w:r>
    </w:p>
    <w:p>
      <w:pPr>
        <w:pStyle w:val="BodyText"/>
        <w:spacing w:before="6"/>
      </w:pPr>
    </w:p>
    <w:p>
      <w:pPr>
        <w:pStyle w:val="BodyText"/>
        <w:spacing w:line="247" w:lineRule="auto"/>
        <w:ind w:left="100" w:right="117"/>
        <w:jc w:val="both"/>
      </w:pPr>
      <w:r>
        <w:rPr>
          <w:color w:val="231F20"/>
        </w:rPr>
        <w:t>If higher fuel prices were to return, the Company’s ability to effectively address fuel price increases could be limited by its ability to increase fares, which can be difficult in challenging economic environments when low fares are often used to stimulate traffic. The Company’s ability to increase fares can also be limited by factors such as its historical low-fare reputation, the portion of  its Customer base that purchases travel for leisure purposes, the competitive nature of the airline industry generally, and the risk that higher fares will drive a decrease in demand.</w:t>
      </w:r>
    </w:p>
    <w:p>
      <w:pPr>
        <w:pStyle w:val="BodyText"/>
        <w:spacing w:before="5"/>
      </w:pPr>
    </w:p>
    <w:p>
      <w:pPr>
        <w:pStyle w:val="BodyText"/>
        <w:spacing w:line="247" w:lineRule="auto"/>
        <w:ind w:left="100" w:right="117"/>
        <w:jc w:val="both"/>
      </w:pPr>
      <w:r>
        <w:rPr>
          <w:color w:val="231F20"/>
        </w:rPr>
        <w:t>The Company attempts to manage its risk associated with volatile jet fuel prices by utilizing over-the- counter fuel derivative instruments to hedge a portion of its future jet fuel purchases. However, as evidenced by the extreme decline in jet fuel prices during the fourth quarter of 2014 and early 2015, and again in late 2015, energy prices can fluctuate significantly in a relatively short amount of time. Because the Company uses a variety of different derivative instruments at different price points, the Company is subject to the risk that the fuel derivatives it uses will not provide adequate protection against significant increases in fuel prices and could in fact result in additional volatility in the Company’s earnings. The Company is also subject to the risk that additional cash collateral may be required to be posted to fuel hedge counterparties, which could have a significant impact on the Company’s financial position and</w:t>
      </w:r>
      <w:r>
        <w:rPr>
          <w:color w:val="231F20"/>
          <w:spacing w:val="-1"/>
        </w:rPr>
        <w:t> </w:t>
      </w:r>
      <w:r>
        <w:rPr>
          <w:color w:val="231F20"/>
        </w:rPr>
        <w:t>liquidity.</w:t>
      </w:r>
    </w:p>
    <w:p>
      <w:pPr>
        <w:pStyle w:val="BodyText"/>
        <w:spacing w:before="5"/>
      </w:pPr>
    </w:p>
    <w:p>
      <w:pPr>
        <w:pStyle w:val="BodyText"/>
        <w:spacing w:line="247" w:lineRule="auto"/>
        <w:ind w:left="100" w:right="118"/>
        <w:jc w:val="both"/>
      </w:pPr>
      <w:r>
        <w:rPr>
          <w:color w:val="231F20"/>
        </w:rPr>
        <w:t>In addition, the Company is subject to the risk that its fuel derivatives will not be effective or that they will no longer qualify for hedge accounting under applicable accounting standards, which can create additional earnings volatility. Adjustments in the Company’s overall fuel hedging strategy, as well as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ability of the commodities used in fuel hedging to qualify for special hedge accounting, are likely  to continue to affect the Company’s results of operations. In addition, there can be no assurance that  the Company will be able to cost-effectively hedge against increases in fuel</w:t>
      </w:r>
      <w:r>
        <w:rPr>
          <w:color w:val="231F20"/>
          <w:spacing w:val="-2"/>
        </w:rPr>
        <w:t> </w:t>
      </w:r>
      <w:r>
        <w:rPr>
          <w:color w:val="231F20"/>
        </w:rPr>
        <w:t>prices.</w:t>
      </w:r>
    </w:p>
    <w:p>
      <w:pPr>
        <w:pStyle w:val="BodyText"/>
        <w:spacing w:before="5"/>
      </w:pPr>
    </w:p>
    <w:p>
      <w:pPr>
        <w:pStyle w:val="BodyText"/>
        <w:spacing w:line="247" w:lineRule="auto"/>
        <w:ind w:left="100" w:right="118"/>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 Statements.</w:t>
      </w:r>
    </w:p>
    <w:p>
      <w:pPr>
        <w:pStyle w:val="BodyText"/>
        <w:spacing w:before="5"/>
      </w:pPr>
    </w:p>
    <w:p>
      <w:pPr>
        <w:pStyle w:val="BodyText"/>
        <w:spacing w:line="247" w:lineRule="auto"/>
        <w:ind w:left="100" w:right="118"/>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w:t>
      </w:r>
      <w:r>
        <w:rPr>
          <w:color w:val="231F20"/>
          <w:spacing w:val="-4"/>
        </w:rPr>
        <w:t> </w:t>
      </w:r>
      <w:r>
        <w:rPr>
          <w:color w:val="231F20"/>
        </w:rPr>
        <w:t>airport.</w:t>
      </w:r>
    </w:p>
    <w:p>
      <w:pPr>
        <w:pStyle w:val="BodyText"/>
        <w:spacing w:before="5"/>
      </w:pPr>
    </w:p>
    <w:p>
      <w:pPr>
        <w:pStyle w:val="Heading2"/>
        <w:spacing w:line="247" w:lineRule="auto"/>
        <w:ind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before="5"/>
        <w:rPr>
          <w:b/>
          <w:i/>
        </w:rPr>
      </w:pPr>
    </w:p>
    <w:p>
      <w:pPr>
        <w:pStyle w:val="BodyText"/>
        <w:spacing w:line="247" w:lineRule="auto"/>
        <w:ind w:left="100" w:right="117"/>
        <w:jc w:val="both"/>
      </w:pPr>
      <w:r>
        <w:rPr>
          <w:color w:val="231F20"/>
        </w:rPr>
        <w:t>The Company’s low-cost structure has historically been one of its primary competitive advantages, as it has enabled it to offer low fares, drive traffic volume, and grow market share. The Company has limited control over fuel and labor costs, as well as other costs such as regulatory compliance costs. Jet fuel and oil constituted approximately 23 percent of the Company’s operating expenses during 2015, and the cost of fuel is subject to the external factors discussed in the second Risk Factor above. Salaries, wages, and benefits constituted approximately 41 percent of the Company’s operating expenses during 2015. The Company’s ability to control labor costs is limited by the terms of its collective-bargaining agreements,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has had pay scale increases as a result of contractual rate increases. Furthermore, as indicated above under “Business - Employees,” the majority of Southwest’s unionized Employees, including its Pilots; Mechanics; Ramp, Operations, Provisioning, and Freight Agents; Flight Attendants; Material Specialists; Facilities Maintenance Technicians; Flight Crew Training Instructors; and Source of Support Representatives, are in unions currently in negotiations for labor agreements, which could continue to put pressure on the Company’s labor costs. As discussed above under “Business - 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before="5"/>
      </w:pPr>
    </w:p>
    <w:p>
      <w:pPr>
        <w:pStyle w:val="BodyText"/>
        <w:spacing w:line="247" w:lineRule="auto"/>
        <w:ind w:left="100" w:right="117"/>
        <w:jc w:val="both"/>
      </w:pPr>
      <w:r>
        <w:rPr>
          <w:color w:val="231F20"/>
        </w:rPr>
        <w:t>As discussed above under “Business - Insurance,” the Company carries insurance of types customary  in the airline industry and, in the past, has also been provided supplemental, first-party, war-risk insurance coverage by the federal government. Since the government-provided supplemental coverage from the Wartime Act was set to expire on September 30, 2014, the Company proactively canceled its government  provided  war-risk  insurance  coverage  prior  to  that  date  and  purchased    </w:t>
      </w:r>
      <w:r>
        <w:rPr>
          <w:color w:val="231F20"/>
          <w:spacing w:val="6"/>
        </w:rPr>
        <w:t> </w:t>
      </w:r>
      <w:r>
        <w:rPr>
          <w:color w:val="231F20"/>
        </w:rPr>
        <w:t>comparable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coverage via the commercial insurance marketplace. Although the Company was able to purchase comparable coverage via the commercial insurance marketplace, available commercial insurance in the future could be more expensive and/or have material differences in coverage than is currently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before="5"/>
      </w:pPr>
    </w:p>
    <w:p>
      <w:pPr>
        <w:pStyle w:val="BodyText"/>
        <w:spacing w:line="247" w:lineRule="auto"/>
        <w:ind w:left="100" w:right="117"/>
        <w:jc w:val="both"/>
      </w:pPr>
      <w:r>
        <w:rPr>
          <w:color w:val="231F20"/>
        </w:rPr>
        <w:t>The Company cannot guarantee it will be able to maintain or improve upon its current level of low-cost advantage over many of its airline competitors. Some of the Company’s competitors have achieved lower employee pay scales through bankruptcy. Further, some competitors have continued to grow their fleets and expand their networks, potentially enabling them to better control costs per available seat mile. In addition, like Southwest, some competitors have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cost</w:t>
      </w:r>
      <w:r>
        <w:rPr>
          <w:color w:val="231F20"/>
          <w:spacing w:val="-2"/>
        </w:rPr>
        <w:t> </w:t>
      </w:r>
      <w:r>
        <w:rPr>
          <w:color w:val="231F20"/>
        </w:rPr>
        <w:t>synergies.</w:t>
      </w:r>
    </w:p>
    <w:p>
      <w:pPr>
        <w:pStyle w:val="BodyText"/>
        <w:spacing w:before="5"/>
      </w:pPr>
    </w:p>
    <w:p>
      <w:pPr>
        <w:pStyle w:val="Heading2"/>
        <w:spacing w:line="247" w:lineRule="auto"/>
        <w:ind w:right="313"/>
        <w:jc w:val="both"/>
      </w:pPr>
      <w:r>
        <w:rPr>
          <w:i/>
          <w:color w:val="231F20"/>
        </w:rPr>
        <w:t>The Company is increasingly dependent on technology to operate its business and continues to </w:t>
      </w:r>
      <w:r>
        <w:rPr>
          <w:color w:val="231F20"/>
        </w:rPr>
        <w:t>implement substantial changes to its information systems; any failure, disruption, or breach in the Company’s information systems could materially adversely affect its operations.</w:t>
      </w:r>
    </w:p>
    <w:p>
      <w:pPr>
        <w:pStyle w:val="BodyText"/>
        <w:spacing w:before="5"/>
        <w:rPr>
          <w:b/>
          <w:i/>
        </w:rPr>
      </w:pPr>
    </w:p>
    <w:p>
      <w:pPr>
        <w:pStyle w:val="BodyText"/>
        <w:spacing w:line="247" w:lineRule="auto"/>
        <w:ind w:left="100" w:right="117"/>
        <w:jc w:val="both"/>
      </w:pPr>
      <w:r>
        <w:rPr>
          <w:color w:val="231F20"/>
        </w:rPr>
        <w:t>The Company is increasingly dependent on the use of complex technology and systems to run its ongoing operations. In recent years the Company has been committed to technology improvements to support its ongoing operations and initiatives and, as discussed above under “Business - Technology Initiatives,” the Company has invested in significant technology changes. 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This single reservation system is expected to be implemented in 2017. 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w:t>
      </w:r>
      <w:r>
        <w:rPr>
          <w:color w:val="231F20"/>
          <w:spacing w:val="-4"/>
        </w:rPr>
        <w:t> </w:t>
      </w:r>
      <w:r>
        <w:rPr>
          <w:color w:val="231F20"/>
        </w:rPr>
        <w:t>management.</w:t>
      </w:r>
    </w:p>
    <w:p>
      <w:pPr>
        <w:pStyle w:val="BodyText"/>
        <w:spacing w:before="5"/>
      </w:pPr>
    </w:p>
    <w:p>
      <w:pPr>
        <w:pStyle w:val="BodyText"/>
        <w:spacing w:line="247" w:lineRule="auto"/>
        <w:ind w:left="100" w:right="117"/>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w:t>
      </w:r>
      <w:r>
        <w:rPr>
          <w:color w:val="231F20"/>
          <w:spacing w:val="-2"/>
        </w:rPr>
        <w:t> </w:t>
      </w:r>
      <w:r>
        <w:rPr>
          <w:color w:val="231F20"/>
        </w:rPr>
        <w:t>initiatives.</w:t>
      </w:r>
    </w:p>
    <w:p>
      <w:pPr>
        <w:pStyle w:val="BodyText"/>
        <w:spacing w:before="5"/>
      </w:pPr>
    </w:p>
    <w:p>
      <w:pPr>
        <w:pStyle w:val="BodyText"/>
        <w:spacing w:line="247" w:lineRule="auto"/>
        <w:ind w:left="100" w:right="117"/>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Modifications  and  refinements to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Company’s systems have been and are expected to continue to be expensive to implement and may divert management’s attention from other matters. In addition, the Company’s operations could be adversely affected, or it could face imposition of regulatory penalties, if it were unable to timely or effectively modify its systems as necessary.</w:t>
      </w:r>
    </w:p>
    <w:p>
      <w:pPr>
        <w:pStyle w:val="BodyText"/>
        <w:spacing w:before="9"/>
        <w:rPr>
          <w:sz w:val="20"/>
        </w:rPr>
      </w:pPr>
    </w:p>
    <w:p>
      <w:pPr>
        <w:pStyle w:val="BodyText"/>
        <w:spacing w:line="247" w:lineRule="auto"/>
        <w:ind w:left="100" w:right="117"/>
        <w:jc w:val="both"/>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 remedy.</w:t>
      </w:r>
    </w:p>
    <w:p>
      <w:pPr>
        <w:pStyle w:val="BodyText"/>
        <w:spacing w:before="9"/>
        <w:rPr>
          <w:sz w:val="20"/>
        </w:rPr>
      </w:pPr>
    </w:p>
    <w:p>
      <w:pPr>
        <w:pStyle w:val="Heading2"/>
        <w:spacing w:line="247" w:lineRule="auto"/>
        <w:ind w:right="117"/>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 or if the Company were unable to employ sufficient numbers of qualified Employees to maintain its operations.</w:t>
      </w:r>
    </w:p>
    <w:p>
      <w:pPr>
        <w:pStyle w:val="BodyText"/>
        <w:spacing w:before="9"/>
        <w:rPr>
          <w:b/>
          <w:i/>
          <w:sz w:val="20"/>
        </w:rPr>
      </w:pPr>
    </w:p>
    <w:p>
      <w:pPr>
        <w:pStyle w:val="BodyText"/>
        <w:spacing w:line="247" w:lineRule="auto"/>
        <w:ind w:left="100" w:right="117"/>
        <w:jc w:val="both"/>
      </w:pPr>
      <w:r>
        <w:rPr>
          <w:color w:val="231F20"/>
        </w:rPr>
        <w:t>The airline business is labor intensive. Salaries, wages, and benefits represented approximately 41 percent of the Company’s operating expenses for the year ended December 31, 2015. In addition, as of December 31, 2015, approximately 83 percent of the Company’s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the majority of Southwest’s unionized Employees, including its Pilots; Mechanics; Ramp, Operations, Provisioning, and Freight Agents; Flight Attendants; Material Specialists; Facilities Maintenance Technicians; Flight Crew Training Instructors; and Source of Support Representatives, are in unions currently in negotiations for labor agreements, which could continue to put pressure on the Company’s labor costs. Increasing labor costs could negatively impact the Company’s competitive position.</w:t>
      </w:r>
    </w:p>
    <w:p>
      <w:pPr>
        <w:pStyle w:val="BodyText"/>
        <w:spacing w:before="9"/>
        <w:rPr>
          <w:sz w:val="20"/>
        </w:rPr>
      </w:pPr>
    </w:p>
    <w:p>
      <w:pPr>
        <w:pStyle w:val="BodyText"/>
        <w:spacing w:line="247" w:lineRule="auto"/>
        <w:ind w:left="100" w:right="117"/>
        <w:jc w:val="both"/>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spacing w:after="0" w:line="247" w:lineRule="auto"/>
        <w:jc w:val="both"/>
        <w:sectPr>
          <w:pgSz w:w="11880" w:h="15480"/>
          <w:pgMar w:header="0" w:footer="1240" w:top="1240" w:bottom="1420" w:left="1280" w:right="1260"/>
        </w:sectPr>
      </w:pPr>
    </w:p>
    <w:p>
      <w:pPr>
        <w:pStyle w:val="Heading2"/>
        <w:spacing w:line="247" w:lineRule="auto" w:before="74"/>
        <w:ind w:left="480"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before="5"/>
        <w:rPr>
          <w:b/>
          <w:i/>
        </w:rPr>
      </w:pPr>
    </w:p>
    <w:p>
      <w:pPr>
        <w:pStyle w:val="BodyText"/>
        <w:spacing w:line="247" w:lineRule="auto"/>
        <w:ind w:left="119" w:right="117"/>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increased maintenance costs, or because of a negative perception by the flying public. The Company believes, however, that its years of experience with the Boeing 737 aircraft type, as well as the efficiencies Southwest has historically achieved by operating with a single aircraft type,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BodyText"/>
        <w:spacing w:before="5"/>
      </w:pPr>
    </w:p>
    <w:p>
      <w:pPr>
        <w:pStyle w:val="Heading2"/>
        <w:spacing w:line="247" w:lineRule="auto"/>
        <w:ind w:left="480" w:right="116"/>
        <w:jc w:val="both"/>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before="5"/>
        <w:rPr>
          <w:b/>
          <w:i/>
        </w:rPr>
      </w:pPr>
    </w:p>
    <w:p>
      <w:pPr>
        <w:pStyle w:val="BodyText"/>
        <w:spacing w:line="247" w:lineRule="auto"/>
        <w:ind w:left="119" w:right="117"/>
        <w:jc w:val="both"/>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defend against this from occurring, these systems require ongoing monitoring and updating as technologies change, and security could be compromised, confidential information could be misappropriated, or system disruptions could occur. In the ordinary course of its business, the Company provides certain confidential, proprietary, and personal information to third parties.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preventative, detective, and responsive measures put in place by the Company.</w:t>
      </w:r>
    </w:p>
    <w:p>
      <w:pPr>
        <w:pStyle w:val="BodyText"/>
        <w:spacing w:before="5"/>
      </w:pPr>
    </w:p>
    <w:p>
      <w:pPr>
        <w:pStyle w:val="Heading2"/>
        <w:spacing w:line="247" w:lineRule="auto"/>
        <w:ind w:left="480" w:right="117"/>
        <w:jc w:val="both"/>
      </w:pPr>
      <w:r>
        <w:rPr>
          <w:i/>
          <w:color w:val="231F20"/>
        </w:rPr>
        <w:t>The Company’s results of operations could be adversely impacted if it is unable to grow or to </w:t>
      </w:r>
      <w:r>
        <w:rPr>
          <w:color w:val="231F20"/>
        </w:rPr>
        <w:t>effectively execute its strategic plans.</w:t>
      </w:r>
    </w:p>
    <w:p>
      <w:pPr>
        <w:pStyle w:val="BodyText"/>
        <w:spacing w:before="5"/>
        <w:rPr>
          <w:b/>
          <w:i/>
        </w:rPr>
      </w:pPr>
    </w:p>
    <w:p>
      <w:pPr>
        <w:pStyle w:val="BodyText"/>
        <w:spacing w:line="247" w:lineRule="auto"/>
        <w:ind w:left="119" w:right="118"/>
        <w:jc w:val="both"/>
      </w:pPr>
      <w:r>
        <w:rPr>
          <w:color w:val="231F20"/>
        </w:rPr>
        <w:t>Southwest has historically been regarded as a growth airline. However, organic growth remains challenging because (i) the opportunities for domestic expansion could be limited; (ii) the Company’s international network is small and not yet developed; and (iii) the Company has faced an increased presence of other low-cost, low-fare carriers. As a result, the Company is reliant on the success of its revenue strategies to help offset certain increasing costs and to continue to improve Customer  Service.</w:t>
      </w:r>
    </w:p>
    <w:p>
      <w:pPr>
        <w:spacing w:after="0" w:line="247" w:lineRule="auto"/>
        <w:jc w:val="both"/>
        <w:sectPr>
          <w:pgSz w:w="11880" w:h="15480"/>
          <w:pgMar w:header="0" w:footer="1240" w:top="1240" w:bottom="1420" w:left="1260" w:right="1260"/>
        </w:sectPr>
      </w:pPr>
    </w:p>
    <w:p>
      <w:pPr>
        <w:pStyle w:val="BodyText"/>
        <w:spacing w:before="74"/>
        <w:ind w:left="100"/>
        <w:jc w:val="both"/>
      </w:pPr>
      <w:r>
        <w:rPr>
          <w:color w:val="231F20"/>
        </w:rPr>
        <w:t>The timely and effective execution of the Company’s strategic plans could be negatively affected by</w:t>
      </w:r>
    </w:p>
    <w:p>
      <w:pPr>
        <w:pStyle w:val="BodyText"/>
        <w:spacing w:line="247" w:lineRule="auto" w:before="6"/>
        <w:ind w:left="100" w:right="118"/>
        <w:jc w:val="both"/>
      </w:pPr>
      <w:r>
        <w:rPr>
          <w:color w:val="231F20"/>
        </w:rPr>
        <w:t>(i) the Company’s ability to timely and effectively implement, transition, and maintain related information technology systems and infrastructure; (ii) the Company’s ability to effectively balance its investment of incremental operating expenses and capital expenditures related to its strategies against the need to effectively control costs; and (iii) the Company’s dependence on third parties with respect to its strategic</w:t>
      </w:r>
      <w:r>
        <w:rPr>
          <w:color w:val="231F20"/>
          <w:spacing w:val="-1"/>
        </w:rPr>
        <w:t> </w:t>
      </w:r>
      <w:r>
        <w:rPr>
          <w:color w:val="231F20"/>
        </w:rPr>
        <w:t>plans.</w:t>
      </w:r>
    </w:p>
    <w:p>
      <w:pPr>
        <w:pStyle w:val="BodyText"/>
        <w:spacing w:before="3"/>
        <w:rPr>
          <w:sz w:val="26"/>
        </w:rPr>
      </w:pPr>
    </w:p>
    <w:p>
      <w:pPr>
        <w:pStyle w:val="Heading2"/>
        <w:spacing w:line="247" w:lineRule="auto"/>
        <w:ind w:right="118"/>
        <w:jc w:val="both"/>
      </w:pPr>
      <w:r>
        <w:rPr>
          <w:i/>
          <w:color w:val="231F20"/>
        </w:rPr>
        <w:t>Instability of credit, capital, and energy markets can result in pressure on the Company’s credit </w:t>
      </w:r>
      <w:r>
        <w:rPr>
          <w:color w:val="231F20"/>
        </w:rPr>
        <w:t>ratings and can also negatively affect the Company’s ability to obtain financing on acceptable terms and the Company’s liquidity generally.</w:t>
      </w:r>
    </w:p>
    <w:p>
      <w:pPr>
        <w:pStyle w:val="BodyText"/>
        <w:spacing w:before="3"/>
        <w:rPr>
          <w:b/>
          <w:i/>
          <w:sz w:val="26"/>
        </w:rPr>
      </w:pPr>
    </w:p>
    <w:p>
      <w:pPr>
        <w:pStyle w:val="BodyText"/>
        <w:spacing w:line="247" w:lineRule="auto"/>
        <w:ind w:left="100" w:right="118"/>
        <w:jc w:val="both"/>
      </w:pPr>
      <w:r>
        <w:rPr>
          <w:color w:val="231F20"/>
        </w:rPr>
        <w:t>While the Company’s credit rating is “investment grade,” factors such as future unfavorable economic conditions, a significant decline in demand for air travel, or instability of the credit, capital, and energy markets could result in future pressure on credit ratings, which could negatively affect (i) the Company’s ability to obtain financing on acceptable terms, (ii) the Company’s liquidity generally,  and</w:t>
      </w:r>
    </w:p>
    <w:p>
      <w:pPr>
        <w:pStyle w:val="BodyText"/>
        <w:spacing w:line="247" w:lineRule="auto"/>
        <w:ind w:left="100" w:right="117"/>
        <w:jc w:val="both"/>
      </w:pPr>
      <w:r>
        <w:rPr>
          <w:color w:val="231F20"/>
        </w:rPr>
        <w:t>(iii) the availability and cost of insurance. A credit rating downgrade could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pStyle w:val="BodyText"/>
        <w:spacing w:before="4"/>
        <w:rPr>
          <w:sz w:val="26"/>
        </w:rPr>
      </w:pPr>
    </w:p>
    <w:p>
      <w:pPr>
        <w:pStyle w:val="Heading2"/>
        <w:spacing w:line="247" w:lineRule="auto"/>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before="3"/>
        <w:rPr>
          <w:b/>
          <w:i/>
          <w:sz w:val="26"/>
        </w:rPr>
      </w:pPr>
    </w:p>
    <w:p>
      <w:pPr>
        <w:pStyle w:val="BodyText"/>
        <w:spacing w:line="247" w:lineRule="auto"/>
        <w:ind w:left="100" w:right="117"/>
        <w:jc w:val="both"/>
      </w:pPr>
      <w:r>
        <w:rPr>
          <w:color w:val="231F20"/>
        </w:rPr>
        <w:t>Terrorist attacks, actual and threatened,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pStyle w:val="BodyText"/>
        <w:spacing w:before="3"/>
        <w:rPr>
          <w:sz w:val="26"/>
        </w:rPr>
      </w:pPr>
    </w:p>
    <w:p>
      <w:pPr>
        <w:pStyle w:val="Heading2"/>
        <w:spacing w:line="247" w:lineRule="auto"/>
        <w:ind w:right="118"/>
        <w:jc w:val="both"/>
      </w:pPr>
      <w:r>
        <w:rPr>
          <w:i/>
          <w:color w:val="231F20"/>
        </w:rPr>
        <w:t>Airport capacity constraints and air traffic control inefficiencies could limit the Company’s </w:t>
      </w:r>
      <w:r>
        <w:rPr>
          <w:color w:val="231F20"/>
        </w:rPr>
        <w:t>growth; changes in or additional governmental regulation could increase the Company’s operating costs or otherwise limit the Company’s ability to conduct business.</w:t>
      </w:r>
    </w:p>
    <w:p>
      <w:pPr>
        <w:pStyle w:val="BodyText"/>
        <w:spacing w:before="3"/>
        <w:rPr>
          <w:b/>
          <w:i/>
          <w:sz w:val="26"/>
        </w:rPr>
      </w:pPr>
    </w:p>
    <w:p>
      <w:pPr>
        <w:pStyle w:val="BodyText"/>
        <w:spacing w:line="247" w:lineRule="auto"/>
        <w:ind w:left="100" w:right="117"/>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3"/>
        </w:numPr>
        <w:tabs>
          <w:tab w:pos="559" w:val="left" w:leader="none"/>
        </w:tabs>
        <w:spacing w:line="247" w:lineRule="auto" w:before="0" w:after="0"/>
        <w:ind w:left="100" w:right="118" w:firstLine="0"/>
        <w:jc w:val="both"/>
        <w:rPr>
          <w:sz w:val="22"/>
        </w:rPr>
      </w:pPr>
      <w:r>
        <w:rPr>
          <w:color w:val="231F20"/>
          <w:sz w:val="22"/>
        </w:rPr>
        <w:t>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“Business—Regulation,” airlines are also subject  to other extensive regulatory requirements. These requirements often impose substantial costs on airlines.</w:t>
      </w:r>
      <w:r>
        <w:rPr>
          <w:color w:val="231F20"/>
          <w:spacing w:val="46"/>
          <w:sz w:val="22"/>
        </w:rPr>
        <w:t> </w:t>
      </w:r>
      <w:r>
        <w:rPr>
          <w:color w:val="231F20"/>
          <w:sz w:val="22"/>
        </w:rPr>
        <w:t>The</w:t>
      </w:r>
      <w:r>
        <w:rPr>
          <w:color w:val="231F20"/>
          <w:spacing w:val="45"/>
          <w:sz w:val="22"/>
        </w:rPr>
        <w:t> </w:t>
      </w:r>
      <w:r>
        <w:rPr>
          <w:color w:val="231F20"/>
          <w:sz w:val="22"/>
        </w:rPr>
        <w:t>Company’s</w:t>
      </w:r>
      <w:r>
        <w:rPr>
          <w:color w:val="231F20"/>
          <w:spacing w:val="46"/>
          <w:sz w:val="22"/>
        </w:rPr>
        <w:t> </w:t>
      </w:r>
      <w:r>
        <w:rPr>
          <w:color w:val="231F20"/>
          <w:sz w:val="22"/>
        </w:rPr>
        <w:t>strategic</w:t>
      </w:r>
      <w:r>
        <w:rPr>
          <w:color w:val="231F20"/>
          <w:spacing w:val="46"/>
          <w:sz w:val="22"/>
        </w:rPr>
        <w:t> </w:t>
      </w:r>
      <w:r>
        <w:rPr>
          <w:color w:val="231F20"/>
          <w:sz w:val="22"/>
        </w:rPr>
        <w:t>plans</w:t>
      </w:r>
      <w:r>
        <w:rPr>
          <w:color w:val="231F20"/>
          <w:spacing w:val="46"/>
          <w:sz w:val="22"/>
        </w:rPr>
        <w:t> </w:t>
      </w:r>
      <w:r>
        <w:rPr>
          <w:color w:val="231F20"/>
          <w:sz w:val="22"/>
        </w:rPr>
        <w:t>and</w:t>
      </w:r>
      <w:r>
        <w:rPr>
          <w:color w:val="231F20"/>
          <w:spacing w:val="46"/>
          <w:sz w:val="22"/>
        </w:rPr>
        <w:t> </w:t>
      </w:r>
      <w:r>
        <w:rPr>
          <w:color w:val="231F20"/>
          <w:sz w:val="22"/>
        </w:rPr>
        <w:t>results</w:t>
      </w:r>
      <w:r>
        <w:rPr>
          <w:color w:val="231F20"/>
          <w:spacing w:val="46"/>
          <w:sz w:val="22"/>
        </w:rPr>
        <w:t> </w:t>
      </w:r>
      <w:r>
        <w:rPr>
          <w:color w:val="231F20"/>
          <w:sz w:val="22"/>
        </w:rPr>
        <w:t>of</w:t>
      </w:r>
      <w:r>
        <w:rPr>
          <w:color w:val="231F20"/>
          <w:spacing w:val="45"/>
          <w:sz w:val="22"/>
        </w:rPr>
        <w:t> </w:t>
      </w:r>
      <w:r>
        <w:rPr>
          <w:color w:val="231F20"/>
          <w:sz w:val="22"/>
        </w:rPr>
        <w:t>operations</w:t>
      </w:r>
      <w:r>
        <w:rPr>
          <w:color w:val="231F20"/>
          <w:spacing w:val="46"/>
          <w:sz w:val="22"/>
        </w:rPr>
        <w:t> </w:t>
      </w:r>
      <w:r>
        <w:rPr>
          <w:color w:val="231F20"/>
          <w:sz w:val="22"/>
        </w:rPr>
        <w:t>could</w:t>
      </w:r>
      <w:r>
        <w:rPr>
          <w:color w:val="231F20"/>
          <w:spacing w:val="46"/>
          <w:sz w:val="22"/>
        </w:rPr>
        <w:t> </w:t>
      </w:r>
      <w:r>
        <w:rPr>
          <w:color w:val="231F20"/>
          <w:sz w:val="22"/>
        </w:rPr>
        <w:t>be</w:t>
      </w:r>
      <w:r>
        <w:rPr>
          <w:color w:val="231F20"/>
          <w:spacing w:val="46"/>
          <w:sz w:val="22"/>
        </w:rPr>
        <w:t> </w:t>
      </w:r>
      <w:r>
        <w:rPr>
          <w:color w:val="231F20"/>
          <w:sz w:val="22"/>
        </w:rPr>
        <w:t>negatively</w:t>
      </w:r>
      <w:r>
        <w:rPr>
          <w:color w:val="231F20"/>
          <w:spacing w:val="46"/>
          <w:sz w:val="22"/>
        </w:rPr>
        <w:t> </w:t>
      </w:r>
      <w:r>
        <w:rPr>
          <w:color w:val="231F20"/>
          <w:sz w:val="22"/>
        </w:rPr>
        <w:t>affected</w:t>
      </w:r>
      <w:r>
        <w:rPr>
          <w:color w:val="231F20"/>
          <w:spacing w:val="46"/>
          <w:sz w:val="22"/>
        </w:rPr>
        <w:t> </w:t>
      </w:r>
      <w:r>
        <w:rPr>
          <w:color w:val="231F20"/>
          <w:sz w:val="22"/>
        </w:rPr>
        <w:t>by</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8"/>
        <w:jc w:val="both"/>
      </w:pPr>
      <w:r>
        <w:rPr>
          <w:color w:val="231F20"/>
        </w:rPr>
        <w:t>changes in law and future actions taken by domestic and foreign governmental agencies having jurisdiction over its operations, including, but not limited to:</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increases in airport rates and</w:t>
      </w:r>
      <w:r>
        <w:rPr>
          <w:color w:val="231F20"/>
          <w:spacing w:val="-1"/>
          <w:sz w:val="22"/>
        </w:rPr>
        <w:t> </w:t>
      </w:r>
      <w:r>
        <w:rPr>
          <w:color w:val="231F20"/>
          <w:sz w:val="22"/>
        </w:rPr>
        <w:t>charges;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limitations on airport gate capacity or use of other airport</w:t>
      </w:r>
      <w:r>
        <w:rPr>
          <w:color w:val="231F20"/>
          <w:spacing w:val="-5"/>
          <w:sz w:val="22"/>
        </w:rPr>
        <w:t> </w:t>
      </w:r>
      <w:r>
        <w:rPr>
          <w:color w:val="231F20"/>
          <w:sz w:val="22"/>
        </w:rPr>
        <w:t>facilities;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limitations on route</w:t>
      </w:r>
      <w:r>
        <w:rPr>
          <w:color w:val="231F20"/>
          <w:spacing w:val="-2"/>
          <w:sz w:val="22"/>
        </w:rPr>
        <w:t> </w:t>
      </w:r>
      <w:r>
        <w:rPr>
          <w:color w:val="231F20"/>
          <w:sz w:val="22"/>
        </w:rPr>
        <w:t>authorities;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access at slot-controlled airports;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changes to environmental regulations;</w:t>
      </w:r>
    </w:p>
    <w:p>
      <w:pPr>
        <w:pStyle w:val="BodyText"/>
        <w:spacing w:before="4"/>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new or increased taxes or</w:t>
      </w:r>
      <w:r>
        <w:rPr>
          <w:color w:val="231F20"/>
          <w:spacing w:val="-1"/>
          <w:sz w:val="22"/>
        </w:rPr>
        <w:t> </w:t>
      </w:r>
      <w:r>
        <w:rPr>
          <w:color w:val="231F20"/>
          <w:sz w:val="22"/>
        </w:rPr>
        <w:t>fees;</w:t>
      </w:r>
    </w:p>
    <w:p>
      <w:pPr>
        <w:pStyle w:val="BodyText"/>
        <w:spacing w:before="4"/>
        <w:rPr>
          <w:sz w:val="19"/>
        </w:rPr>
      </w:pPr>
    </w:p>
    <w:p>
      <w:pPr>
        <w:pStyle w:val="ListParagraph"/>
        <w:numPr>
          <w:ilvl w:val="2"/>
          <w:numId w:val="3"/>
        </w:numPr>
        <w:tabs>
          <w:tab w:pos="979" w:val="left" w:leader="none"/>
          <w:tab w:pos="980" w:val="left" w:leader="none"/>
        </w:tabs>
        <w:spacing w:line="247" w:lineRule="auto" w:before="0" w:after="0"/>
        <w:ind w:left="980" w:right="118" w:hanging="440"/>
        <w:jc w:val="left"/>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restrictions on competitive practices;</w:t>
      </w:r>
    </w:p>
    <w:p>
      <w:pPr>
        <w:pStyle w:val="BodyText"/>
        <w:spacing w:before="4"/>
        <w:rPr>
          <w:sz w:val="19"/>
        </w:rPr>
      </w:pPr>
    </w:p>
    <w:p>
      <w:pPr>
        <w:pStyle w:val="ListParagraph"/>
        <w:numPr>
          <w:ilvl w:val="2"/>
          <w:numId w:val="3"/>
        </w:numPr>
        <w:tabs>
          <w:tab w:pos="979" w:val="left" w:leader="none"/>
          <w:tab w:pos="980" w:val="left" w:leader="none"/>
        </w:tabs>
        <w:spacing w:line="247" w:lineRule="auto" w:before="0" w:after="0"/>
        <w:ind w:left="980" w:right="118" w:hanging="440"/>
        <w:jc w:val="left"/>
        <w:rPr>
          <w:sz w:val="22"/>
        </w:rPr>
      </w:pPr>
      <w:r>
        <w:rPr>
          <w:color w:val="231F20"/>
          <w:sz w:val="22"/>
        </w:rPr>
        <w:t>changes in laws that increase costs for safety, security, compliance, or other Customer Service standards;</w:t>
      </w:r>
    </w:p>
    <w:p>
      <w:pPr>
        <w:pStyle w:val="ListParagraph"/>
        <w:numPr>
          <w:ilvl w:val="2"/>
          <w:numId w:val="3"/>
        </w:numPr>
        <w:tabs>
          <w:tab w:pos="979" w:val="left" w:leader="none"/>
          <w:tab w:pos="980" w:val="left" w:leader="none"/>
        </w:tabs>
        <w:spacing w:line="247" w:lineRule="auto" w:before="215" w:after="0"/>
        <w:ind w:left="980" w:right="117" w:hanging="440"/>
        <w:jc w:val="left"/>
        <w:rPr>
          <w:sz w:val="22"/>
        </w:rPr>
      </w:pPr>
      <w:r>
        <w:rPr>
          <w:color w:val="231F20"/>
          <w:sz w:val="22"/>
        </w:rPr>
        <w:t>changes in laws that may limit the Company’s ability to enter into fuel derivative contracts to hedge against increases in fuel</w:t>
      </w:r>
      <w:r>
        <w:rPr>
          <w:color w:val="231F20"/>
          <w:spacing w:val="-1"/>
          <w:sz w:val="22"/>
        </w:rPr>
        <w:t> </w:t>
      </w:r>
      <w:r>
        <w:rPr>
          <w:color w:val="231F20"/>
          <w:sz w:val="22"/>
        </w:rPr>
        <w:t>prices;</w:t>
      </w:r>
    </w:p>
    <w:p>
      <w:pPr>
        <w:pStyle w:val="ListParagraph"/>
        <w:numPr>
          <w:ilvl w:val="2"/>
          <w:numId w:val="3"/>
        </w:numPr>
        <w:tabs>
          <w:tab w:pos="979" w:val="left" w:leader="none"/>
          <w:tab w:pos="980" w:val="left" w:leader="none"/>
        </w:tabs>
        <w:spacing w:line="247" w:lineRule="auto" w:before="215" w:after="0"/>
        <w:ind w:left="980" w:right="118" w:hanging="440"/>
        <w:jc w:val="left"/>
        <w:rPr>
          <w:sz w:val="22"/>
        </w:rPr>
      </w:pPr>
      <w:r>
        <w:rPr>
          <w:color w:val="231F20"/>
          <w:sz w:val="22"/>
        </w:rPr>
        <w:t>changes in laws that may limit or regulate the Company’s ability to promote the Company’s business or fares; and</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before="4"/>
        <w:rPr>
          <w:sz w:val="19"/>
        </w:rPr>
      </w:pPr>
    </w:p>
    <w:p>
      <w:pPr>
        <w:pStyle w:val="BodyText"/>
        <w:spacing w:line="247" w:lineRule="auto"/>
        <w:ind w:left="100" w:right="117"/>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pStyle w:val="Heading2"/>
        <w:spacing w:line="247" w:lineRule="auto" w:before="215"/>
        <w:ind w:right="98"/>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line="247" w:lineRule="auto" w:before="215"/>
        <w:ind w:left="100" w:right="118"/>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w:t>
      </w:r>
      <w:r>
        <w:rPr>
          <w:color w:val="231F20"/>
          <w:spacing w:val="-3"/>
        </w:rPr>
        <w:t> </w:t>
      </w:r>
      <w:r>
        <w:rPr>
          <w:color w:val="231F20"/>
        </w:rPr>
        <w:t>others:</w:t>
      </w:r>
    </w:p>
    <w:p>
      <w:pPr>
        <w:pStyle w:val="ListParagraph"/>
        <w:numPr>
          <w:ilvl w:val="2"/>
          <w:numId w:val="3"/>
        </w:numPr>
        <w:tabs>
          <w:tab w:pos="979" w:val="left" w:leader="none"/>
          <w:tab w:pos="980" w:val="left" w:leader="none"/>
        </w:tabs>
        <w:spacing w:line="240" w:lineRule="auto" w:before="215" w:after="0"/>
        <w:ind w:left="980" w:right="0" w:hanging="440"/>
        <w:jc w:val="left"/>
        <w:rPr>
          <w:sz w:val="22"/>
        </w:rPr>
      </w:pPr>
      <w:r>
        <w:rPr>
          <w:color w:val="231F20"/>
          <w:sz w:val="22"/>
        </w:rPr>
        <w:t>adverse weather and natural</w:t>
      </w:r>
      <w:r>
        <w:rPr>
          <w:color w:val="231F20"/>
          <w:spacing w:val="1"/>
          <w:sz w:val="22"/>
        </w:rPr>
        <w:t> </w:t>
      </w:r>
      <w:r>
        <w:rPr>
          <w:color w:val="231F20"/>
          <w:sz w:val="22"/>
        </w:rPr>
        <w:t>disasters;</w:t>
      </w:r>
    </w:p>
    <w:p>
      <w:pPr>
        <w:pStyle w:val="BodyText"/>
        <w:spacing w:before="3"/>
        <w:rPr>
          <w:sz w:val="19"/>
        </w:rPr>
      </w:pPr>
    </w:p>
    <w:p>
      <w:pPr>
        <w:pStyle w:val="ListParagraph"/>
        <w:numPr>
          <w:ilvl w:val="2"/>
          <w:numId w:val="3"/>
        </w:numPr>
        <w:tabs>
          <w:tab w:pos="979" w:val="left" w:leader="none"/>
          <w:tab w:pos="980" w:val="left" w:leader="none"/>
        </w:tabs>
        <w:spacing w:line="240" w:lineRule="auto" w:before="1" w:after="0"/>
        <w:ind w:left="980" w:right="0" w:hanging="440"/>
        <w:jc w:val="left"/>
        <w:rPr>
          <w:sz w:val="22"/>
        </w:rPr>
      </w:pPr>
      <w:r>
        <w:rPr>
          <w:color w:val="231F20"/>
          <w:sz w:val="22"/>
        </w:rPr>
        <w:t>outbreaks of</w:t>
      </w:r>
      <w:r>
        <w:rPr>
          <w:color w:val="231F20"/>
          <w:spacing w:val="-1"/>
          <w:sz w:val="22"/>
        </w:rPr>
        <w:t> </w:t>
      </w:r>
      <w:r>
        <w:rPr>
          <w:color w:val="231F20"/>
          <w:sz w:val="22"/>
        </w:rPr>
        <w:t>disease;</w:t>
      </w:r>
    </w:p>
    <w:p>
      <w:pPr>
        <w:spacing w:after="0" w:line="240" w:lineRule="auto"/>
        <w:jc w:val="left"/>
        <w:rPr>
          <w:sz w:val="22"/>
        </w:rPr>
        <w:sectPr>
          <w:pgSz w:w="11880" w:h="15480"/>
          <w:pgMar w:header="0" w:footer="1240" w:top="1240" w:bottom="1420" w:left="1280" w:right="1260"/>
        </w:sectPr>
      </w:pPr>
    </w:p>
    <w:p>
      <w:pPr>
        <w:pStyle w:val="ListParagraph"/>
        <w:numPr>
          <w:ilvl w:val="2"/>
          <w:numId w:val="3"/>
        </w:numPr>
        <w:tabs>
          <w:tab w:pos="980" w:val="left" w:leader="none"/>
        </w:tabs>
        <w:spacing w:line="247" w:lineRule="auto" w:before="74" w:after="0"/>
        <w:ind w:left="980" w:right="118" w:hanging="44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BodyText"/>
        <w:spacing w:before="10"/>
        <w:rPr>
          <w:sz w:val="18"/>
        </w:rPr>
      </w:pPr>
    </w:p>
    <w:p>
      <w:pPr>
        <w:pStyle w:val="ListParagraph"/>
        <w:numPr>
          <w:ilvl w:val="2"/>
          <w:numId w:val="3"/>
        </w:numPr>
        <w:tabs>
          <w:tab w:pos="980" w:val="left" w:leader="none"/>
        </w:tabs>
        <w:spacing w:line="247" w:lineRule="auto" w:before="0" w:after="0"/>
        <w:ind w:left="980" w:right="117" w:hanging="440"/>
        <w:jc w:val="both"/>
        <w:rPr>
          <w:sz w:val="22"/>
        </w:rPr>
      </w:pPr>
      <w:r>
        <w:rPr>
          <w:color w:val="231F20"/>
          <w:sz w:val="22"/>
        </w:rPr>
        <w:t>actual or potential disruptions in the air traffic control system (including, without limitation, as a result of potential FAA budget cuts due to government shutdowns or</w:t>
      </w:r>
      <w:r>
        <w:rPr>
          <w:color w:val="231F20"/>
          <w:spacing w:val="-3"/>
          <w:sz w:val="22"/>
        </w:rPr>
        <w:t> </w:t>
      </w:r>
      <w:r>
        <w:rPr>
          <w:color w:val="231F20"/>
          <w:sz w:val="22"/>
        </w:rPr>
        <w:t>sequestration);</w:t>
      </w:r>
    </w:p>
    <w:p>
      <w:pPr>
        <w:pStyle w:val="BodyText"/>
        <w:spacing w:before="10"/>
        <w:rPr>
          <w:sz w:val="18"/>
        </w:rPr>
      </w:pPr>
    </w:p>
    <w:p>
      <w:pPr>
        <w:pStyle w:val="ListParagraph"/>
        <w:numPr>
          <w:ilvl w:val="2"/>
          <w:numId w:val="3"/>
        </w:numPr>
        <w:tabs>
          <w:tab w:pos="980" w:val="left" w:leader="none"/>
        </w:tabs>
        <w:spacing w:line="247" w:lineRule="auto" w:before="0" w:after="0"/>
        <w:ind w:left="980" w:right="118" w:hanging="440"/>
        <w:jc w:val="both"/>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BodyText"/>
        <w:spacing w:before="10"/>
        <w:rPr>
          <w:sz w:val="18"/>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BodyText"/>
        <w:spacing w:before="6"/>
        <w:rPr>
          <w:sz w:val="19"/>
        </w:rPr>
      </w:pPr>
    </w:p>
    <w:p>
      <w:pPr>
        <w:pStyle w:val="ListParagraph"/>
        <w:numPr>
          <w:ilvl w:val="2"/>
          <w:numId w:val="3"/>
        </w:numPr>
        <w:tabs>
          <w:tab w:pos="979" w:val="left" w:leader="none"/>
          <w:tab w:pos="980" w:val="left" w:leader="none"/>
        </w:tabs>
        <w:spacing w:line="240" w:lineRule="auto" w:before="0" w:after="0"/>
        <w:ind w:left="980" w:right="0" w:hanging="44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pStyle w:val="BodyText"/>
        <w:spacing w:before="6"/>
        <w:rPr>
          <w:sz w:val="19"/>
        </w:rPr>
      </w:pPr>
    </w:p>
    <w:p>
      <w:pPr>
        <w:pStyle w:val="Heading2"/>
        <w:rPr>
          <w:i/>
        </w:rPr>
      </w:pPr>
      <w:r>
        <w:rPr>
          <w:i/>
          <w:color w:val="231F20"/>
        </w:rPr>
        <w:t>The airline industry is intensely competitive.</w:t>
      </w:r>
    </w:p>
    <w:p>
      <w:pPr>
        <w:pStyle w:val="BodyText"/>
        <w:spacing w:line="247" w:lineRule="auto" w:before="116"/>
        <w:ind w:left="100" w:right="117"/>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BodyText"/>
        <w:spacing w:before="10"/>
        <w:rPr>
          <w:sz w:val="18"/>
        </w:rPr>
      </w:pPr>
    </w:p>
    <w:p>
      <w:pPr>
        <w:pStyle w:val="Heading2"/>
        <w:spacing w:line="247" w:lineRule="auto" w:before="1"/>
        <w:ind w:right="131"/>
      </w:pPr>
      <w:r>
        <w:rPr>
          <w:i/>
          <w:color w:val="231F20"/>
        </w:rPr>
        <w:t>The Company’s future results will suffer if it does not effectively manage its expanded </w:t>
      </w:r>
      <w:r>
        <w:rPr>
          <w:color w:val="231F20"/>
        </w:rPr>
        <w:t>operations, including its international operations.</w:t>
      </w:r>
    </w:p>
    <w:p>
      <w:pPr>
        <w:pStyle w:val="BodyText"/>
        <w:spacing w:before="10"/>
        <w:rPr>
          <w:b/>
          <w:i/>
          <w:sz w:val="18"/>
        </w:rPr>
      </w:pPr>
    </w:p>
    <w:p>
      <w:pPr>
        <w:pStyle w:val="BodyText"/>
        <w:spacing w:line="247" w:lineRule="auto" w:before="1"/>
        <w:ind w:left="100" w:right="117"/>
        <w:jc w:val="both"/>
      </w:pPr>
      <w:r>
        <w:rPr>
          <w:color w:val="231F20"/>
        </w:rPr>
        <w:t>As the Company expands its international flight offerings, the U.S. Customs and Border Protection (“CBP”) will become an increasingly important federal agency. CBP personnel and CBP-mandated procedures can affect the Company’s operations, costs, and Customer experience. The Company has made, and is continuing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 long-term.</w:t>
      </w:r>
    </w:p>
    <w:p>
      <w:pPr>
        <w:pStyle w:val="BodyText"/>
        <w:spacing w:before="10"/>
        <w:rPr>
          <w:sz w:val="18"/>
        </w:rPr>
      </w:pPr>
    </w:p>
    <w:p>
      <w:pPr>
        <w:pStyle w:val="BodyText"/>
        <w:spacing w:line="247" w:lineRule="auto" w:before="1"/>
        <w:ind w:left="100" w:right="117"/>
        <w:jc w:val="both"/>
      </w:pPr>
      <w:r>
        <w:rPr>
          <w:color w:val="231F20"/>
        </w:rPr>
        <w:t>International flying requires the Company to modify certain processes, as the airport environment is dramatically different in certain international locations with respect to, among other things, common- use ticket counters and gate areas, local operating requirements, and cultural preferences. In addition, international flying exposes the Company to certain foreign currency risks to the extent the Company chooses to, or is required to, transact in currencies other than the U.S. dollar.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1"/>
        </w:rPr>
        <w:t> </w:t>
      </w:r>
      <w:r>
        <w:rPr>
          <w:color w:val="231F20"/>
        </w:rPr>
        <w:t>entity.</w:t>
      </w:r>
    </w:p>
    <w:p>
      <w:pPr>
        <w:pStyle w:val="BodyText"/>
        <w:spacing w:before="10"/>
        <w:rPr>
          <w:sz w:val="18"/>
        </w:rPr>
      </w:pPr>
    </w:p>
    <w:p>
      <w:pPr>
        <w:pStyle w:val="BodyText"/>
        <w:spacing w:line="247" w:lineRule="auto" w:before="1"/>
        <w:ind w:left="100" w:right="117"/>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laws. Furthermore,   enforcement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laws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pStyle w:val="BodyText"/>
        <w:spacing w:before="9"/>
        <w:rPr>
          <w:sz w:val="20"/>
        </w:rPr>
      </w:pPr>
    </w:p>
    <w:p>
      <w:pPr>
        <w:pStyle w:val="Heading2"/>
        <w:spacing w:line="247" w:lineRule="auto"/>
        <w:ind w:right="118"/>
        <w:jc w:val="both"/>
      </w:pPr>
      <w:r>
        <w:rPr>
          <w:i/>
          <w:color w:val="231F20"/>
        </w:rPr>
        <w:t>The Company is currently subject to pending litigation, and if judgment were to be rendered </w:t>
      </w:r>
      <w:r>
        <w:rPr>
          <w:color w:val="231F20"/>
        </w:rPr>
        <w:t>against the Company in the litigation, such judgment could adversely affect the Company’s operating results.</w:t>
      </w:r>
    </w:p>
    <w:p>
      <w:pPr>
        <w:pStyle w:val="BodyText"/>
        <w:spacing w:before="9"/>
        <w:rPr>
          <w:b/>
          <w:i/>
          <w:sz w:val="20"/>
        </w:rPr>
      </w:pPr>
    </w:p>
    <w:p>
      <w:pPr>
        <w:pStyle w:val="BodyText"/>
        <w:spacing w:line="247" w:lineRule="auto"/>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the parties have filed motions to exclude the class certification opinions of each other’s expert.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delayed further briefing on summary judgment. On August 5, 2015, the Court entered an order granting class certification, which was vacated on August 17, 2015, to permit further briefing on class certification and AirTran’s motion to exclude plaintiffs’ expert. Thereafter, the parties filed motions to exclude the opinions of the other parties’ experts. On January 8, 2016, the parties completed briefing on defendants’ motions for summary judgment, plaintiffs’ motion for class certification, and the motions to exclude the opinions  of experts, and those motions have been submitted to the Court for decision. While AirTran has denied all allegations of wrongdoing, including those in the Consolidated Amended Complaint, and intends to defend vigorously any and all such allegations, results of legal proceedings such as this one cannot be predicted with</w:t>
      </w:r>
      <w:r>
        <w:rPr>
          <w:color w:val="231F20"/>
          <w:spacing w:val="-1"/>
        </w:rPr>
        <w:t> </w:t>
      </w:r>
      <w:r>
        <w:rPr>
          <w:color w:val="231F20"/>
        </w:rPr>
        <w:t>certainty.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5"/>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have been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The complaints seek treble damages for periods that vary among the complaints, costs, attorneys’ fees, and injunctive relief. On October 13, 2015, the Judicial Panel on Multi-District Litigation centralized the cases to the United States District Court in the District of Columbia. The Court has not yet entered a scheduling order establishing a date for defendants to respond to the complaints. While the Company intends to vigorously defend these civil cases, results of legal proceedings such as this one cannot be predicted with</w:t>
      </w:r>
      <w:r>
        <w:rPr>
          <w:color w:val="231F20"/>
          <w:spacing w:val="-1"/>
        </w:rPr>
        <w:t> </w:t>
      </w:r>
      <w:r>
        <w:rPr>
          <w:color w:val="231F20"/>
        </w:rPr>
        <w:t>certainty.</w:t>
      </w:r>
    </w:p>
    <w:p>
      <w:pPr>
        <w:pStyle w:val="BodyText"/>
        <w:spacing w:before="5"/>
      </w:pPr>
    </w:p>
    <w:p>
      <w:pPr>
        <w:pStyle w:val="BodyText"/>
        <w:spacing w:line="247" w:lineRule="auto"/>
        <w:ind w:left="100" w:right="117"/>
        <w:jc w:val="both"/>
      </w:pPr>
      <w:r>
        <w:rPr>
          <w:color w:val="231F20"/>
        </w:rPr>
        <w:t>In addition, on July 8, 2015, the Company was named as a defendant in putative class action filed in British Columbia, Canada alleging that the Company, Air Canada, American Airlines, Delta Air Lines and United Airlines colluded to restrict capacity and maintain higher fares for Canadian citizens traveling in the United States and for travel between the United States and Canada. Similar lawsuits were filed in Ontario, Quebec and Saskatchewan. The time for the Company to respond to the complaints has not yet expired. While the Company intends to vigorously defend these civil cases, results of legal proceedings such as this one cannot be predicted with certainty.</w:t>
      </w:r>
    </w:p>
    <w:p>
      <w:pPr>
        <w:pStyle w:val="BodyText"/>
        <w:spacing w:before="5"/>
      </w:pPr>
    </w:p>
    <w:p>
      <w:pPr>
        <w:pStyle w:val="BodyText"/>
        <w:spacing w:line="247" w:lineRule="auto"/>
        <w:ind w:left="100" w:right="117"/>
        <w:jc w:val="both"/>
      </w:pPr>
      <w:r>
        <w:rPr>
          <w:color w:val="231F20"/>
        </w:rPr>
        <w:t>Regardless of merit, these litigation matters and any potential future claims against the Company or AirTran may be both time consuming and disruptive to the Company’s operations and cause significant expense and diversion of management attention. Should AirTran and the Company fail to prevail in these or other matters, the Company may be faced with significant monetary damages or injunctive relief that could materially adversely affect its business and might materially affect its financial condition and operating results.</w:t>
      </w:r>
    </w:p>
    <w:p>
      <w:pPr>
        <w:pStyle w:val="BodyText"/>
        <w:spacing w:before="5"/>
      </w:pPr>
    </w:p>
    <w:p>
      <w:pPr>
        <w:pStyle w:val="Heading2"/>
        <w:spacing w:line="247" w:lineRule="auto"/>
        <w:ind w:right="118"/>
        <w:jc w:val="both"/>
      </w:pPr>
      <w:r>
        <w:rPr>
          <w:i/>
          <w:color w:val="231F20"/>
        </w:rPr>
        <w:t>The application of the acquisition method of accounting resulted in the Company recording a </w:t>
      </w:r>
      <w:r>
        <w:rPr>
          <w:color w:val="231F20"/>
        </w:rPr>
        <w:t>significant amount of goodwill in connection with the acquisition of AirTran, which could result in significant future impairment charges and negatively affect the Company’s financial results.</w:t>
      </w:r>
    </w:p>
    <w:p>
      <w:pPr>
        <w:pStyle w:val="BodyText"/>
        <w:spacing w:before="5"/>
        <w:rPr>
          <w:b/>
          <w:i/>
        </w:rPr>
      </w:pPr>
    </w:p>
    <w:p>
      <w:pPr>
        <w:pStyle w:val="BodyText"/>
        <w:spacing w:line="247" w:lineRule="auto"/>
        <w:ind w:left="100" w:right="117"/>
        <w:jc w:val="both"/>
      </w:pPr>
      <w:r>
        <w:rPr>
          <w:color w:val="231F20"/>
        </w:rPr>
        <w:t>The Company recorded goodwill on its Consolidated Balance Sheet as a result of its acquisition of AirTran. Goodwill is not amortized, but is tested for impairment at least annually. Future impairment</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w:t>
      </w:r>
    </w:p>
    <w:p>
      <w:pPr>
        <w:pStyle w:val="BodyText"/>
        <w:spacing w:line="247" w:lineRule="auto"/>
        <w:ind w:left="120" w:right="117"/>
        <w:jc w:val="both"/>
      </w:pPr>
      <w:r>
        <w:rPr>
          <w:color w:val="231F20"/>
        </w:rPr>
        <w:t>(ii)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 information.</w:t>
      </w:r>
    </w:p>
    <w:p>
      <w:pPr>
        <w:pStyle w:val="BodyText"/>
        <w:spacing w:before="4"/>
        <w:rPr>
          <w:sz w:val="31"/>
        </w:rPr>
      </w:pPr>
    </w:p>
    <w:p>
      <w:pPr>
        <w:tabs>
          <w:tab w:pos="1549" w:val="left" w:leader="none"/>
        </w:tabs>
        <w:spacing w:before="0"/>
        <w:ind w:left="120" w:right="0" w:firstLine="0"/>
        <w:jc w:val="both"/>
        <w:rPr>
          <w:b/>
          <w:i/>
          <w:sz w:val="22"/>
        </w:rPr>
      </w:pPr>
      <w:bookmarkStart w:name="Item 1B. Unresolved Staff Comments " w:id="4"/>
      <w:bookmarkEnd w:id="4"/>
      <w:r>
        <w:rPr/>
      </w: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5"/>
        <w:rPr>
          <w:b/>
          <w:i/>
          <w:sz w:val="21"/>
        </w:rPr>
      </w:pPr>
    </w:p>
    <w:p>
      <w:pPr>
        <w:pStyle w:val="BodyText"/>
        <w:ind w:left="120"/>
        <w:jc w:val="both"/>
      </w:pPr>
      <w:r>
        <w:rPr>
          <w:color w:val="231F20"/>
        </w:rPr>
        <w:t>None.</w:t>
      </w:r>
    </w:p>
    <w:p>
      <w:pPr>
        <w:pStyle w:val="BodyText"/>
        <w:spacing w:before="10"/>
        <w:rPr>
          <w:sz w:val="31"/>
        </w:rPr>
      </w:pPr>
    </w:p>
    <w:p>
      <w:pPr>
        <w:tabs>
          <w:tab w:pos="1549" w:val="left" w:leader="none"/>
        </w:tabs>
        <w:spacing w:before="0"/>
        <w:ind w:left="120" w:right="0" w:firstLine="0"/>
        <w:jc w:val="both"/>
        <w:rPr>
          <w:b/>
          <w:i/>
          <w:sz w:val="22"/>
        </w:rPr>
      </w:pPr>
      <w:bookmarkStart w:name="Item 2. Properties " w:id="5"/>
      <w:bookmarkEnd w:id="5"/>
      <w:r>
        <w:rPr/>
      </w:r>
      <w:r>
        <w:rPr>
          <w:b/>
          <w:color w:val="231F20"/>
          <w:sz w:val="22"/>
        </w:rPr>
        <w:t>Item 2.</w:t>
        <w:tab/>
      </w:r>
      <w:r>
        <w:rPr>
          <w:b/>
          <w:i/>
          <w:color w:val="231F20"/>
          <w:sz w:val="22"/>
        </w:rPr>
        <w:t>Properties</w:t>
      </w:r>
    </w:p>
    <w:p>
      <w:pPr>
        <w:pStyle w:val="Heading1"/>
        <w:spacing w:before="127"/>
        <w:ind w:left="120"/>
      </w:pPr>
      <w:r>
        <w:rPr>
          <w:color w:val="231F20"/>
        </w:rPr>
        <w:t>Aircraft</w:t>
      </w:r>
    </w:p>
    <w:p>
      <w:pPr>
        <w:pStyle w:val="BodyText"/>
        <w:spacing w:line="247" w:lineRule="auto" w:before="127"/>
        <w:ind w:left="120" w:right="118"/>
        <w:jc w:val="both"/>
      </w:pPr>
      <w:r>
        <w:rPr>
          <w:color w:val="231F20"/>
        </w:rPr>
        <w:t>Southwest operated a total of 704 Boeing 737 aircraft as of December 31, 2015, of which 95 and 28 were under operating and capital leases, respectively. The following table details information on the 704 aircraft as of December 31, 2015:</w:t>
      </w:r>
    </w:p>
    <w:p>
      <w:pPr>
        <w:spacing w:after="0" w:line="247" w:lineRule="auto"/>
        <w:jc w:val="both"/>
        <w:sectPr>
          <w:pgSz w:w="11880" w:h="15480"/>
          <w:pgMar w:header="0" w:footer="1240" w:top="1240" w:bottom="1420" w:left="1260" w:right="1260"/>
        </w:sectPr>
      </w:pPr>
    </w:p>
    <w:p>
      <w:pPr>
        <w:pStyle w:val="BodyText"/>
        <w:spacing w:before="6"/>
        <w:rPr>
          <w:sz w:val="19"/>
        </w:rPr>
      </w:pPr>
    </w:p>
    <w:p>
      <w:pPr>
        <w:spacing w:line="200" w:lineRule="exact" w:before="0"/>
        <w:ind w:left="4642" w:right="-19" w:hanging="189"/>
        <w:jc w:val="left"/>
        <w:rPr>
          <w:b/>
          <w:sz w:val="20"/>
        </w:rPr>
      </w:pPr>
      <w:r>
        <w:rPr/>
        <w:pict>
          <v:shape style="position:absolute;margin-left:69pt;margin-top:18.700001pt;width:456.25pt;height:88.55pt;mso-position-horizontal-relative:page;mso-position-vertical-relative:paragraph;z-index:13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20"/>
                    <w:gridCol w:w="100"/>
                    <w:gridCol w:w="1180"/>
                    <w:gridCol w:w="100"/>
                    <w:gridCol w:w="1180"/>
                    <w:gridCol w:w="100"/>
                    <w:gridCol w:w="1180"/>
                    <w:gridCol w:w="100"/>
                    <w:gridCol w:w="1180"/>
                    <w:gridCol w:w="100"/>
                    <w:gridCol w:w="1180"/>
                  </w:tblGrid>
                  <w:tr>
                    <w:trPr>
                      <w:trHeight w:val="256" w:hRule="exact"/>
                    </w:trPr>
                    <w:tc>
                      <w:tcPr>
                        <w:tcW w:w="272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18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00" w:type="dxa"/>
                      </w:tcPr>
                      <w:p>
                        <w:pP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(a)</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720" w:type="dxa"/>
                        <w:shd w:val="clear" w:color="auto" w:fill="D1D3D4"/>
                      </w:tcPr>
                      <w:p>
                        <w:pPr>
                          <w:pStyle w:val="TableParagraph"/>
                          <w:spacing w:before="33"/>
                          <w:ind w:left="60"/>
                          <w:rPr>
                            <w:sz w:val="20"/>
                          </w:rPr>
                        </w:pPr>
                        <w:r>
                          <w:rPr>
                            <w:color w:val="231F20"/>
                            <w:sz w:val="20"/>
                          </w:rPr>
                          <w:t>737-300 (b)</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left="313"/>
                          <w:rPr>
                            <w:sz w:val="20"/>
                          </w:rPr>
                        </w:pPr>
                        <w:r>
                          <w:rPr>
                            <w:color w:val="231F20"/>
                            <w:sz w:val="20"/>
                          </w:rPr>
                          <w:t>137 or 143</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22</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118</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78</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40</w:t>
                        </w:r>
                      </w:p>
                    </w:tc>
                  </w:tr>
                  <w:tr>
                    <w:trPr>
                      <w:trHeight w:val="280" w:hRule="exact"/>
                    </w:trPr>
                    <w:tc>
                      <w:tcPr>
                        <w:tcW w:w="2720" w:type="dxa"/>
                      </w:tcPr>
                      <w:p>
                        <w:pPr>
                          <w:pStyle w:val="TableParagraph"/>
                          <w:spacing w:before="33"/>
                          <w:ind w:left="60"/>
                          <w:rPr>
                            <w:sz w:val="20"/>
                          </w:rPr>
                        </w:pPr>
                        <w:r>
                          <w:rPr>
                            <w:color w:val="231F20"/>
                            <w:sz w:val="20"/>
                          </w:rPr>
                          <w:t>737-500</w:t>
                        </w:r>
                      </w:p>
                    </w:tc>
                    <w:tc>
                      <w:tcPr>
                        <w:tcW w:w="100" w:type="dxa"/>
                      </w:tcPr>
                      <w:p>
                        <w:pPr/>
                      </w:p>
                    </w:tc>
                    <w:tc>
                      <w:tcPr>
                        <w:tcW w:w="1180" w:type="dxa"/>
                      </w:tcPr>
                      <w:p>
                        <w:pPr>
                          <w:pStyle w:val="TableParagraph"/>
                          <w:spacing w:before="33"/>
                          <w:ind w:left="596"/>
                          <w:rPr>
                            <w:sz w:val="20"/>
                          </w:rPr>
                        </w:pPr>
                        <w:r>
                          <w:rPr>
                            <w:color w:val="231F20"/>
                            <w:sz w:val="20"/>
                          </w:rPr>
                          <w:t>122</w:t>
                        </w:r>
                      </w:p>
                    </w:tc>
                    <w:tc>
                      <w:tcPr>
                        <w:tcW w:w="100" w:type="dxa"/>
                      </w:tcPr>
                      <w:p>
                        <w:pPr/>
                      </w:p>
                    </w:tc>
                    <w:tc>
                      <w:tcPr>
                        <w:tcW w:w="1180" w:type="dxa"/>
                      </w:tcPr>
                      <w:p>
                        <w:pPr>
                          <w:pStyle w:val="TableParagraph"/>
                          <w:spacing w:before="33"/>
                          <w:ind w:right="79"/>
                          <w:jc w:val="right"/>
                          <w:rPr>
                            <w:sz w:val="20"/>
                          </w:rPr>
                        </w:pPr>
                        <w:r>
                          <w:rPr>
                            <w:color w:val="231F20"/>
                            <w:sz w:val="20"/>
                          </w:rPr>
                          <w:t>24</w:t>
                        </w:r>
                      </w:p>
                    </w:tc>
                    <w:tc>
                      <w:tcPr>
                        <w:tcW w:w="100" w:type="dxa"/>
                      </w:tcPr>
                      <w:p>
                        <w:pPr/>
                      </w:p>
                    </w:tc>
                    <w:tc>
                      <w:tcPr>
                        <w:tcW w:w="1180" w:type="dxa"/>
                      </w:tcPr>
                      <w:p>
                        <w:pPr>
                          <w:pStyle w:val="TableParagraph"/>
                          <w:spacing w:before="33"/>
                          <w:ind w:right="79"/>
                          <w:jc w:val="right"/>
                          <w:rPr>
                            <w:sz w:val="20"/>
                          </w:rPr>
                        </w:pPr>
                        <w:r>
                          <w:rPr>
                            <w:color w:val="231F20"/>
                            <w:sz w:val="20"/>
                          </w:rPr>
                          <w:t>11</w:t>
                        </w:r>
                      </w:p>
                    </w:tc>
                    <w:tc>
                      <w:tcPr>
                        <w:tcW w:w="100" w:type="dxa"/>
                      </w:tcPr>
                      <w:p>
                        <w:pPr/>
                      </w:p>
                    </w:tc>
                    <w:tc>
                      <w:tcPr>
                        <w:tcW w:w="1180" w:type="dxa"/>
                      </w:tcPr>
                      <w:p>
                        <w:pPr>
                          <w:pStyle w:val="TableParagraph"/>
                          <w:spacing w:before="33"/>
                          <w:ind w:right="79"/>
                          <w:jc w:val="right"/>
                          <w:rPr>
                            <w:sz w:val="20"/>
                          </w:rPr>
                        </w:pPr>
                        <w:r>
                          <w:rPr>
                            <w:color w:val="231F20"/>
                            <w:sz w:val="20"/>
                          </w:rPr>
                          <w:t>9</w:t>
                        </w:r>
                      </w:p>
                    </w:tc>
                    <w:tc>
                      <w:tcPr>
                        <w:tcW w:w="100" w:type="dxa"/>
                      </w:tcPr>
                      <w:p>
                        <w:pPr/>
                      </w:p>
                    </w:tc>
                    <w:tc>
                      <w:tcPr>
                        <w:tcW w:w="1180" w:type="dxa"/>
                      </w:tcPr>
                      <w:p>
                        <w:pPr>
                          <w:pStyle w:val="TableParagraph"/>
                          <w:spacing w:before="33"/>
                          <w:ind w:right="79"/>
                          <w:jc w:val="right"/>
                          <w:rPr>
                            <w:sz w:val="20"/>
                          </w:rPr>
                        </w:pPr>
                        <w:r>
                          <w:rPr>
                            <w:color w:val="231F20"/>
                            <w:sz w:val="20"/>
                          </w:rPr>
                          <w:t>2</w:t>
                        </w:r>
                      </w:p>
                    </w:tc>
                  </w:tr>
                  <w:tr>
                    <w:trPr>
                      <w:trHeight w:val="280" w:hRule="exact"/>
                    </w:trPr>
                    <w:tc>
                      <w:tcPr>
                        <w:tcW w:w="2720" w:type="dxa"/>
                        <w:shd w:val="clear" w:color="auto" w:fill="D1D3D4"/>
                      </w:tcPr>
                      <w:p>
                        <w:pPr>
                          <w:pStyle w:val="TableParagraph"/>
                          <w:spacing w:before="33"/>
                          <w:ind w:left="60"/>
                          <w:rPr>
                            <w:sz w:val="20"/>
                          </w:rPr>
                        </w:pPr>
                        <w:r>
                          <w:rPr>
                            <w:color w:val="231F20"/>
                            <w:sz w:val="20"/>
                          </w:rPr>
                          <w:t>737-700</w:t>
                        </w:r>
                      </w:p>
                    </w:tc>
                    <w:tc>
                      <w:tcPr>
                        <w:tcW w:w="100" w:type="dxa"/>
                        <w:shd w:val="clear" w:color="auto" w:fill="D1D3D4"/>
                      </w:tcPr>
                      <w:p>
                        <w:pPr/>
                      </w:p>
                    </w:tc>
                    <w:tc>
                      <w:tcPr>
                        <w:tcW w:w="1180" w:type="dxa"/>
                        <w:shd w:val="clear" w:color="auto" w:fill="D1D3D4"/>
                      </w:tcPr>
                      <w:p>
                        <w:pPr>
                          <w:pStyle w:val="TableParagraph"/>
                          <w:spacing w:before="33"/>
                          <w:ind w:left="596"/>
                          <w:rPr>
                            <w:sz w:val="20"/>
                          </w:rPr>
                        </w:pPr>
                        <w:r>
                          <w:rPr>
                            <w:color w:val="231F20"/>
                            <w:sz w:val="20"/>
                          </w:rPr>
                          <w:t>143</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11</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471</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397</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74</w:t>
                        </w:r>
                      </w:p>
                    </w:tc>
                  </w:tr>
                  <w:tr>
                    <w:trPr>
                      <w:trHeight w:val="295" w:hRule="exact"/>
                    </w:trPr>
                    <w:tc>
                      <w:tcPr>
                        <w:tcW w:w="2720" w:type="dxa"/>
                      </w:tcPr>
                      <w:p>
                        <w:pPr>
                          <w:pStyle w:val="TableParagraph"/>
                          <w:spacing w:before="33"/>
                          <w:ind w:left="60"/>
                          <w:rPr>
                            <w:sz w:val="20"/>
                          </w:rPr>
                        </w:pPr>
                        <w:r>
                          <w:rPr>
                            <w:color w:val="231F20"/>
                            <w:sz w:val="20"/>
                          </w:rPr>
                          <w:t>737-800</w:t>
                        </w:r>
                      </w:p>
                    </w:tc>
                    <w:tc>
                      <w:tcPr>
                        <w:tcW w:w="100" w:type="dxa"/>
                      </w:tcPr>
                      <w:p>
                        <w:pPr/>
                      </w:p>
                    </w:tc>
                    <w:tc>
                      <w:tcPr>
                        <w:tcW w:w="1180" w:type="dxa"/>
                      </w:tcPr>
                      <w:p>
                        <w:pPr>
                          <w:pStyle w:val="TableParagraph"/>
                          <w:spacing w:before="33"/>
                          <w:ind w:left="596"/>
                          <w:rPr>
                            <w:sz w:val="20"/>
                          </w:rPr>
                        </w:pPr>
                        <w:r>
                          <w:rPr>
                            <w:color w:val="231F20"/>
                            <w:sz w:val="20"/>
                          </w:rPr>
                          <w:t>175</w:t>
                        </w:r>
                      </w:p>
                    </w:tc>
                    <w:tc>
                      <w:tcPr>
                        <w:tcW w:w="100" w:type="dxa"/>
                      </w:tcPr>
                      <w:p>
                        <w:pPr/>
                      </w:p>
                    </w:tc>
                    <w:tc>
                      <w:tcPr>
                        <w:tcW w:w="1180" w:type="dxa"/>
                      </w:tcPr>
                      <w:p>
                        <w:pPr>
                          <w:pStyle w:val="TableParagraph"/>
                          <w:spacing w:before="33"/>
                          <w:ind w:right="79"/>
                          <w:jc w:val="right"/>
                          <w:rPr>
                            <w:sz w:val="20"/>
                          </w:rPr>
                        </w:pPr>
                        <w:r>
                          <w:rPr>
                            <w:color w:val="231F20"/>
                            <w:sz w:val="20"/>
                          </w:rPr>
                          <w:t>2</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104</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97</w:t>
                        </w:r>
                      </w:p>
                    </w:tc>
                    <w:tc>
                      <w:tcPr>
                        <w:tcW w:w="100" w:type="dxa"/>
                      </w:tcPr>
                      <w:p>
                        <w:pPr/>
                      </w:p>
                    </w:tc>
                    <w:tc>
                      <w:tcPr>
                        <w:tcW w:w="1180" w:type="dxa"/>
                        <w:tcBorders>
                          <w:bottom w:val="single" w:sz="4" w:space="0" w:color="231F20"/>
                        </w:tcBorders>
                      </w:tcPr>
                      <w:p>
                        <w:pPr>
                          <w:pStyle w:val="TableParagraph"/>
                          <w:spacing w:before="33"/>
                          <w:ind w:right="79"/>
                          <w:jc w:val="right"/>
                          <w:rPr>
                            <w:sz w:val="20"/>
                          </w:rPr>
                        </w:pPr>
                        <w:r>
                          <w:rPr>
                            <w:color w:val="231F20"/>
                            <w:sz w:val="20"/>
                          </w:rPr>
                          <w:t>7</w:t>
                        </w:r>
                      </w:p>
                    </w:tc>
                  </w:tr>
                  <w:tr>
                    <w:trPr>
                      <w:trHeight w:val="360" w:hRule="exact"/>
                    </w:trPr>
                    <w:tc>
                      <w:tcPr>
                        <w:tcW w:w="2720" w:type="dxa"/>
                        <w:shd w:val="clear" w:color="auto" w:fill="D1D3D4"/>
                      </w:tcPr>
                      <w:p>
                        <w:pPr>
                          <w:pStyle w:val="TableParagraph"/>
                          <w:spacing w:before="33"/>
                          <w:ind w:left="60"/>
                          <w:rPr>
                            <w:sz w:val="20"/>
                          </w:rPr>
                        </w:pPr>
                        <w:r>
                          <w:rPr>
                            <w:color w:val="231F20"/>
                            <w:sz w:val="20"/>
                          </w:rPr>
                          <w:t>Totals</w:t>
                        </w:r>
                      </w:p>
                    </w:tc>
                    <w:tc>
                      <w:tcPr>
                        <w:tcW w:w="100" w:type="dxa"/>
                        <w:shd w:val="clear" w:color="auto" w:fill="D1D3D4"/>
                      </w:tcPr>
                      <w:p>
                        <w:pPr/>
                      </w:p>
                    </w:tc>
                    <w:tc>
                      <w:tcPr>
                        <w:tcW w:w="1180" w:type="dxa"/>
                        <w:shd w:val="clear" w:color="auto" w:fill="D1D3D4"/>
                      </w:tcPr>
                      <w:p>
                        <w:pP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12</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33"/>
                          <w:ind w:right="79"/>
                          <w:jc w:val="right"/>
                          <w:rPr>
                            <w:sz w:val="20"/>
                          </w:rPr>
                        </w:pPr>
                        <w:r>
                          <w:rPr>
                            <w:color w:val="231F20"/>
                            <w:sz w:val="20"/>
                          </w:rPr>
                          <w:t>704</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33"/>
                          <w:ind w:right="79"/>
                          <w:jc w:val="right"/>
                          <w:rPr>
                            <w:sz w:val="20"/>
                          </w:rPr>
                        </w:pPr>
                        <w:r>
                          <w:rPr>
                            <w:color w:val="231F20"/>
                            <w:sz w:val="20"/>
                          </w:rPr>
                          <w:t>581</w:t>
                        </w:r>
                      </w:p>
                    </w:tc>
                    <w:tc>
                      <w:tcPr>
                        <w:tcW w:w="100" w:type="dxa"/>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28"/>
                          <w:ind w:right="79"/>
                          <w:jc w:val="right"/>
                          <w:rPr>
                            <w:sz w:val="20"/>
                          </w:rPr>
                        </w:pPr>
                        <w:r>
                          <w:rPr>
                            <w:color w:val="231F20"/>
                            <w:sz w:val="20"/>
                          </w:rPr>
                          <w:t>123</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rPr>
          <w:b/>
        </w:rPr>
      </w:pPr>
      <w:r>
        <w:rPr/>
        <w:br w:type="column"/>
      </w:r>
      <w:r>
        <w:rPr>
          <w:b/>
        </w:rPr>
      </w:r>
    </w:p>
    <w:p>
      <w:pPr>
        <w:spacing w:before="145"/>
        <w:ind w:left="421" w:right="0" w:firstLine="0"/>
        <w:jc w:val="left"/>
        <w:rPr>
          <w:b/>
          <w:sz w:val="20"/>
        </w:rPr>
      </w:pPr>
      <w:r>
        <w:rPr>
          <w:b/>
          <w:color w:val="231F20"/>
          <w:sz w:val="20"/>
        </w:rPr>
        <w:t>Number of</w:t>
      </w:r>
    </w:p>
    <w:p>
      <w:pPr>
        <w:pStyle w:val="BodyText"/>
        <w:rPr>
          <w:b/>
        </w:rPr>
      </w:pPr>
      <w:r>
        <w:rPr/>
        <w:br w:type="column"/>
      </w:r>
      <w:r>
        <w:rPr>
          <w:b/>
        </w:rPr>
      </w:r>
    </w:p>
    <w:p>
      <w:pPr>
        <w:spacing w:before="145"/>
        <w:ind w:left="420" w:right="0" w:firstLine="0"/>
        <w:jc w:val="left"/>
        <w:rPr>
          <w:b/>
          <w:sz w:val="20"/>
        </w:rPr>
      </w:pPr>
      <w:r>
        <w:rPr>
          <w:b/>
          <w:color w:val="231F20"/>
          <w:sz w:val="20"/>
        </w:rPr>
        <w:t>Number</w:t>
      </w:r>
    </w:p>
    <w:p>
      <w:pPr>
        <w:pStyle w:val="BodyText"/>
        <w:rPr>
          <w:b/>
        </w:rPr>
      </w:pPr>
      <w:r>
        <w:rPr/>
        <w:br w:type="column"/>
      </w:r>
      <w:r>
        <w:rPr>
          <w:b/>
        </w:rPr>
      </w:r>
    </w:p>
    <w:p>
      <w:pPr>
        <w:spacing w:before="145"/>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165" w:space="40"/>
            <w:col w:w="1349" w:space="40"/>
            <w:col w:w="1132" w:space="40"/>
            <w:col w:w="1594"/>
          </w:cols>
        </w:sectPr>
      </w:pPr>
    </w:p>
    <w:p>
      <w:pPr>
        <w:pStyle w:val="BodyText"/>
        <w:spacing w:before="9"/>
        <w:rPr>
          <w:b/>
          <w:sz w:val="18"/>
        </w:rPr>
      </w:pPr>
    </w:p>
    <w:p>
      <w:pPr>
        <w:pStyle w:val="BodyText"/>
        <w:spacing w:line="20" w:lineRule="exact"/>
        <w:ind w:left="110"/>
        <w:rPr>
          <w:sz w:val="2"/>
        </w:rPr>
      </w:pPr>
      <w:r>
        <w:rPr>
          <w:sz w:val="2"/>
        </w:rPr>
        <w:pict>
          <v:group style="width:137pt;height:1pt;mso-position-horizontal-relative:char;mso-position-vertical-relative:line" coordorigin="0,0" coordsize="2740,20">
            <v:line style="position:absolute" from="10,10" to="273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r>
        <w:rPr/>
        <w:pict>
          <v:line style="position:absolute;mso-position-horizontal-relative:page;mso-position-vertical-relative:paragraph;z-index:1264;mso-wrap-distance-left:0;mso-wrap-distance-right:0" from="338pt,15.254883pt" to="397pt,15.254883pt" stroked="true" strokeweight=".5pt" strokecolor="#231f20">
            <v:stroke dashstyle="solid"/>
            <w10:wrap type="topAndBottom"/>
          </v:line>
        </w:pict>
      </w:r>
      <w:r>
        <w:rPr/>
        <w:pict>
          <v:line style="position:absolute;mso-position-horizontal-relative:page;mso-position-vertical-relative:paragraph;z-index:1288;mso-wrap-distance-left:0;mso-wrap-distance-right:0" from="402pt,15.254883pt" to="461pt,15.254883pt" stroked="true" strokeweight=".5pt" strokecolor="#231f20">
            <v:stroke dashstyle="solid"/>
            <w10:wrap type="topAndBottom"/>
          </v:line>
        </w:pict>
      </w:r>
    </w:p>
    <w:p>
      <w:pPr>
        <w:pStyle w:val="BodyText"/>
        <w:spacing w:before="10"/>
        <w:rPr>
          <w:b/>
          <w:sz w:val="7"/>
        </w:rPr>
      </w:pPr>
    </w:p>
    <w:p>
      <w:pPr>
        <w:pStyle w:val="ListParagraph"/>
        <w:numPr>
          <w:ilvl w:val="0"/>
          <w:numId w:val="4"/>
        </w:numPr>
        <w:tabs>
          <w:tab w:pos="520" w:val="left" w:leader="none"/>
        </w:tabs>
        <w:spacing w:line="249" w:lineRule="auto" w:before="93" w:after="0"/>
        <w:ind w:left="520" w:right="118" w:hanging="400"/>
        <w:jc w:val="both"/>
        <w:rPr>
          <w:sz w:val="20"/>
        </w:rPr>
      </w:pPr>
      <w:r>
        <w:rPr>
          <w:color w:val="231F20"/>
          <w:sz w:val="20"/>
        </w:rPr>
        <w:t>As discussed further in Note 6 to the Consolidated Financial Statements, 181 of the Company’s aircraft were pledged as collateral as of December 31, 2015, for secured borrowings and/or in the case that the Company has obligations related to its fuel derivative instruments with counterparties that exceed certain</w:t>
      </w:r>
      <w:r>
        <w:rPr>
          <w:color w:val="231F20"/>
          <w:spacing w:val="15"/>
          <w:sz w:val="20"/>
        </w:rPr>
        <w:t> </w:t>
      </w:r>
      <w:r>
        <w:rPr>
          <w:color w:val="231F20"/>
          <w:sz w:val="20"/>
        </w:rPr>
        <w:t>thresholds.</w:t>
      </w:r>
    </w:p>
    <w:p>
      <w:pPr>
        <w:pStyle w:val="ListParagraph"/>
        <w:numPr>
          <w:ilvl w:val="0"/>
          <w:numId w:val="4"/>
        </w:numPr>
        <w:tabs>
          <w:tab w:pos="520" w:val="left" w:leader="none"/>
        </w:tabs>
        <w:spacing w:line="240" w:lineRule="auto" w:before="0" w:after="0"/>
        <w:ind w:left="520" w:right="0" w:hanging="400"/>
        <w:jc w:val="left"/>
        <w:rPr>
          <w:sz w:val="20"/>
        </w:rPr>
      </w:pPr>
      <w:r>
        <w:rPr>
          <w:color w:val="231F20"/>
          <w:sz w:val="20"/>
        </w:rPr>
        <w:t>Of the total, 78 737-300 aircraft had 143 seats and 40 have 137</w:t>
      </w:r>
      <w:r>
        <w:rPr>
          <w:color w:val="231F20"/>
          <w:spacing w:val="4"/>
          <w:sz w:val="20"/>
        </w:rPr>
        <w:t> </w:t>
      </w:r>
      <w:r>
        <w:rPr>
          <w:color w:val="231F20"/>
          <w:sz w:val="20"/>
        </w:rPr>
        <w:t>seats.</w:t>
      </w:r>
    </w:p>
    <w:p>
      <w:pPr>
        <w:spacing w:after="0" w:line="240" w:lineRule="auto"/>
        <w:jc w:val="left"/>
        <w:rPr>
          <w:sz w:val="20"/>
        </w:rPr>
        <w:sectPr>
          <w:type w:val="continuous"/>
          <w:pgSz w:w="11880" w:h="15480"/>
          <w:pgMar w:top="1260" w:bottom="280" w:left="1260" w:right="1260"/>
        </w:sectPr>
      </w:pPr>
    </w:p>
    <w:p>
      <w:pPr>
        <w:pStyle w:val="BodyText"/>
        <w:spacing w:line="247" w:lineRule="auto" w:before="74"/>
        <w:ind w:left="100"/>
      </w:pPr>
      <w:r>
        <w:rPr>
          <w:color w:val="231F20"/>
        </w:rPr>
        <w:t>As of December 31, 2015, the Company had firm deliveries and options for Boeing 737-700, 737-800, 737 MAX 7, and 737 MAX 8 aircraft as follows:</w:t>
      </w:r>
    </w:p>
    <w:p>
      <w:pPr>
        <w:spacing w:after="0" w:line="247" w:lineRule="auto"/>
        <w:sectPr>
          <w:pgSz w:w="11880" w:h="15480"/>
          <w:pgMar w:header="0" w:footer="1240" w:top="1240" w:bottom="1420" w:left="1280" w:right="1240"/>
        </w:sectPr>
      </w:pPr>
    </w:p>
    <w:p>
      <w:pPr>
        <w:pStyle w:val="BodyText"/>
        <w:spacing w:before="10"/>
        <w:rPr>
          <w:sz w:val="18"/>
        </w:rPr>
      </w:pPr>
    </w:p>
    <w:p>
      <w:pPr>
        <w:spacing w:line="200" w:lineRule="exact" w:before="0"/>
        <w:ind w:left="3035" w:right="-19" w:hanging="602"/>
        <w:jc w:val="left"/>
        <w:rPr>
          <w:b/>
          <w:sz w:val="20"/>
        </w:rPr>
      </w:pPr>
      <w:r>
        <w:rPr/>
        <w:pict>
          <v:line style="position:absolute;mso-position-horizontal-relative:page;mso-position-vertical-relative:paragraph;z-index:1336" from="185.699997pt,21.499975pt" to="278.449997pt,21.499975pt" stroked="true" strokeweight="1pt" strokecolor="#231f20">
            <v:stroke dashstyle="solid"/>
            <w10:wrap type="none"/>
          </v:line>
        </w:pict>
      </w:r>
      <w:r>
        <w:rPr>
          <w:b/>
          <w:color w:val="231F20"/>
          <w:sz w:val="20"/>
        </w:rPr>
        <w:t>The Boeing Company 737 NG</w:t>
      </w:r>
    </w:p>
    <w:p>
      <w:pPr>
        <w:pStyle w:val="BodyText"/>
        <w:spacing w:before="10"/>
        <w:rPr>
          <w:b/>
          <w:sz w:val="18"/>
        </w:rPr>
      </w:pPr>
      <w:r>
        <w:rPr/>
        <w:br w:type="column"/>
      </w:r>
      <w:r>
        <w:rPr>
          <w:b/>
          <w:sz w:val="18"/>
        </w:rPr>
      </w:r>
    </w:p>
    <w:p>
      <w:pPr>
        <w:spacing w:line="200" w:lineRule="exact" w:before="0"/>
        <w:ind w:left="2359" w:right="1309" w:hanging="514"/>
        <w:jc w:val="left"/>
        <w:rPr>
          <w:b/>
          <w:sz w:val="20"/>
        </w:rPr>
      </w:pPr>
      <w:r>
        <w:rPr/>
        <w:pict>
          <v:line style="position:absolute;mso-position-horizontal-relative:page;mso-position-vertical-relative:paragraph;z-index:1360" from="354.049988pt,21.499975pt" to="484.199988pt,21.499975pt" stroked="true" strokeweight="1pt" strokecolor="#231f20">
            <v:stroke dashstyle="solid"/>
            <w10:wrap type="none"/>
          </v:line>
        </w:pict>
      </w:r>
      <w:r>
        <w:rPr>
          <w:b/>
          <w:color w:val="231F20"/>
          <w:sz w:val="20"/>
        </w:rPr>
        <w:t>The Boeing Company 737 MAX</w:t>
      </w:r>
    </w:p>
    <w:p>
      <w:pPr>
        <w:spacing w:after="0" w:line="200" w:lineRule="exact"/>
        <w:jc w:val="left"/>
        <w:rPr>
          <w:sz w:val="20"/>
        </w:rPr>
        <w:sectPr>
          <w:type w:val="continuous"/>
          <w:pgSz w:w="11880" w:h="15480"/>
          <w:pgMar w:top="1260" w:bottom="280" w:left="1280" w:right="1240"/>
          <w:cols w:num="2" w:equalWidth="0">
            <w:col w:w="4290" w:space="40"/>
            <w:col w:w="5030"/>
          </w:cols>
        </w:sectPr>
      </w:pPr>
    </w:p>
    <w:p>
      <w:pPr>
        <w:spacing w:line="215" w:lineRule="exact" w:before="52"/>
        <w:ind w:left="2622" w:right="0" w:firstLine="0"/>
        <w:jc w:val="left"/>
        <w:rPr>
          <w:b/>
          <w:sz w:val="20"/>
        </w:rPr>
      </w:pPr>
      <w:r>
        <w:rPr>
          <w:b/>
          <w:color w:val="231F20"/>
          <w:sz w:val="20"/>
        </w:rPr>
        <w:t>-800</w:t>
      </w:r>
    </w:p>
    <w:p>
      <w:pPr>
        <w:spacing w:line="200" w:lineRule="exact" w:before="0"/>
        <w:ind w:left="2589" w:right="0" w:firstLine="0"/>
        <w:jc w:val="left"/>
        <w:rPr>
          <w:b/>
          <w:sz w:val="20"/>
        </w:rPr>
      </w:pPr>
      <w:r>
        <w:rPr>
          <w:b/>
          <w:color w:val="231F20"/>
          <w:sz w:val="20"/>
        </w:rPr>
        <w:t>Firm</w:t>
      </w:r>
    </w:p>
    <w:p>
      <w:pPr>
        <w:tabs>
          <w:tab w:pos="3543" w:val="left" w:leader="none"/>
        </w:tabs>
        <w:spacing w:line="215" w:lineRule="exact" w:before="0"/>
        <w:ind w:left="2500"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326" w:right="0" w:firstLine="0"/>
        <w:jc w:val="left"/>
        <w:rPr>
          <w:b/>
          <w:sz w:val="20"/>
        </w:rPr>
      </w:pPr>
      <w:r>
        <w:rPr>
          <w:b/>
          <w:color w:val="231F20"/>
          <w:sz w:val="20"/>
        </w:rPr>
        <w:t>Additional</w:t>
      </w:r>
    </w:p>
    <w:p>
      <w:pPr>
        <w:spacing w:line="215" w:lineRule="exact" w:before="0"/>
        <w:ind w:left="401" w:right="0" w:firstLine="0"/>
        <w:jc w:val="left"/>
        <w:rPr>
          <w:b/>
          <w:sz w:val="20"/>
        </w:rPr>
      </w:pPr>
      <w:r>
        <w:rPr>
          <w:b/>
          <w:color w:val="231F20"/>
          <w:sz w:val="20"/>
        </w:rPr>
        <w:t>-700 A/C</w:t>
      </w:r>
    </w:p>
    <w:p>
      <w:pPr>
        <w:spacing w:line="215" w:lineRule="exact" w:before="52"/>
        <w:ind w:left="487" w:right="202" w:firstLine="0"/>
        <w:jc w:val="center"/>
        <w:rPr>
          <w:b/>
          <w:sz w:val="20"/>
        </w:rPr>
      </w:pPr>
      <w:r>
        <w:rPr/>
        <w:br w:type="column"/>
      </w:r>
      <w:r>
        <w:rPr>
          <w:b/>
          <w:color w:val="231F20"/>
          <w:sz w:val="20"/>
        </w:rPr>
        <w:t>-7</w:t>
      </w:r>
    </w:p>
    <w:p>
      <w:pPr>
        <w:spacing w:line="200" w:lineRule="exact" w:before="11"/>
        <w:ind w:left="285" w:right="0" w:hanging="50"/>
        <w:jc w:val="center"/>
        <w:rPr>
          <w:b/>
          <w:sz w:val="20"/>
        </w:rPr>
      </w:pPr>
      <w:r>
        <w:rPr>
          <w:b/>
          <w:color w:val="231F20"/>
          <w:sz w:val="20"/>
        </w:rPr>
        <w:t>Firm Orders</w:t>
      </w:r>
    </w:p>
    <w:p>
      <w:pPr>
        <w:spacing w:line="215" w:lineRule="exact" w:before="52"/>
        <w:ind w:left="513" w:right="2161" w:firstLine="0"/>
        <w:jc w:val="center"/>
        <w:rPr>
          <w:b/>
          <w:sz w:val="20"/>
        </w:rPr>
      </w:pPr>
      <w:r>
        <w:rPr/>
        <w:br w:type="column"/>
      </w:r>
      <w:r>
        <w:rPr>
          <w:b/>
          <w:color w:val="231F20"/>
          <w:sz w:val="20"/>
        </w:rPr>
        <w:t>-8</w:t>
      </w:r>
    </w:p>
    <w:p>
      <w:pPr>
        <w:spacing w:line="200" w:lineRule="exact" w:before="0"/>
        <w:ind w:left="374" w:right="0" w:firstLine="0"/>
        <w:jc w:val="left"/>
        <w:rPr>
          <w:b/>
          <w:sz w:val="20"/>
        </w:rPr>
      </w:pPr>
      <w:r>
        <w:rPr>
          <w:b/>
          <w:color w:val="231F20"/>
          <w:sz w:val="20"/>
        </w:rPr>
        <w:t>Firm</w:t>
      </w:r>
    </w:p>
    <w:p>
      <w:pPr>
        <w:tabs>
          <w:tab w:pos="1247" w:val="left" w:leader="none"/>
          <w:tab w:pos="2226" w:val="left" w:leader="none"/>
        </w:tabs>
        <w:spacing w:line="215" w:lineRule="exact" w:before="0"/>
        <w:ind w:left="310" w:right="0" w:firstLine="0"/>
        <w:jc w:val="left"/>
        <w:rPr>
          <w:b/>
          <w:sz w:val="20"/>
        </w:rPr>
      </w:pPr>
      <w:r>
        <w:rPr>
          <w:b/>
          <w:color w:val="231F20"/>
          <w:sz w:val="20"/>
        </w:rPr>
        <w:t>Orders</w:t>
        <w:tab/>
        <w:t>Options</w:t>
        <w:tab/>
        <w:t>Total</w:t>
      </w:r>
    </w:p>
    <w:p>
      <w:pPr>
        <w:spacing w:after="0" w:line="215" w:lineRule="exact"/>
        <w:jc w:val="left"/>
        <w:rPr>
          <w:sz w:val="20"/>
        </w:rPr>
        <w:sectPr>
          <w:type w:val="continuous"/>
          <w:pgSz w:w="11880" w:h="15480"/>
          <w:pgMar w:top="1260" w:bottom="280" w:left="1280" w:right="1240"/>
          <w:cols w:num="4" w:equalWidth="0">
            <w:col w:w="4223" w:space="40"/>
            <w:col w:w="1239" w:space="40"/>
            <w:col w:w="897" w:space="40"/>
            <w:col w:w="2881"/>
          </w:cols>
        </w:sectPr>
      </w:pPr>
    </w:p>
    <w:p>
      <w:pPr>
        <w:pStyle w:val="BodyText"/>
        <w:spacing w:before="1"/>
        <w:rPr>
          <w:b/>
          <w:sz w:val="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44"/>
        <w:gridCol w:w="290"/>
        <w:gridCol w:w="1200"/>
        <w:gridCol w:w="1162"/>
        <w:gridCol w:w="1259"/>
        <w:gridCol w:w="740"/>
        <w:gridCol w:w="681"/>
        <w:gridCol w:w="929"/>
        <w:gridCol w:w="300"/>
        <w:gridCol w:w="516"/>
      </w:tblGrid>
      <w:tr>
        <w:trPr>
          <w:trHeight w:val="280" w:hRule="exact"/>
        </w:trPr>
        <w:tc>
          <w:tcPr>
            <w:tcW w:w="2044" w:type="dxa"/>
            <w:shd w:val="clear" w:color="auto" w:fill="D1D3D4"/>
          </w:tcPr>
          <w:p>
            <w:pPr>
              <w:pStyle w:val="TableParagraph"/>
              <w:spacing w:before="33"/>
              <w:ind w:left="60"/>
              <w:rPr>
                <w:sz w:val="20"/>
              </w:rPr>
            </w:pPr>
            <w:r>
              <w:rPr>
                <w:color w:val="231F20"/>
                <w:sz w:val="20"/>
              </w:rPr>
              <w:t>2016</w:t>
            </w:r>
          </w:p>
        </w:tc>
        <w:tc>
          <w:tcPr>
            <w:tcW w:w="290" w:type="dxa"/>
            <w:tcBorders>
              <w:top w:val="single" w:sz="8" w:space="0" w:color="231F20"/>
            </w:tcBorders>
            <w:shd w:val="clear" w:color="auto" w:fill="D1D3D4"/>
          </w:tcPr>
          <w:p>
            <w:pPr/>
          </w:p>
        </w:tc>
        <w:tc>
          <w:tcPr>
            <w:tcW w:w="1200" w:type="dxa"/>
            <w:tcBorders>
              <w:top w:val="single" w:sz="8" w:space="0" w:color="231F20"/>
            </w:tcBorders>
            <w:shd w:val="clear" w:color="auto" w:fill="D1D3D4"/>
          </w:tcPr>
          <w:p>
            <w:pPr>
              <w:pStyle w:val="TableParagraph"/>
              <w:spacing w:before="23"/>
              <w:ind w:right="453"/>
              <w:jc w:val="right"/>
              <w:rPr>
                <w:sz w:val="20"/>
              </w:rPr>
            </w:pPr>
            <w:r>
              <w:rPr>
                <w:color w:val="231F20"/>
                <w:sz w:val="20"/>
              </w:rPr>
              <w:t>36</w:t>
            </w:r>
          </w:p>
        </w:tc>
        <w:tc>
          <w:tcPr>
            <w:tcW w:w="1162" w:type="dxa"/>
            <w:tcBorders>
              <w:top w:val="single" w:sz="8" w:space="0" w:color="231F20"/>
            </w:tcBorders>
            <w:shd w:val="clear" w:color="auto" w:fill="D1D3D4"/>
          </w:tcPr>
          <w:p>
            <w:pPr>
              <w:pStyle w:val="TableParagraph"/>
              <w:spacing w:before="23"/>
              <w:ind w:right="48"/>
              <w:jc w:val="center"/>
              <w:rPr>
                <w:sz w:val="20"/>
              </w:rPr>
            </w:pPr>
            <w:r>
              <w:rPr>
                <w:color w:val="231F20"/>
                <w:sz w:val="20"/>
              </w:rPr>
              <w:t>—</w:t>
            </w:r>
          </w:p>
        </w:tc>
        <w:tc>
          <w:tcPr>
            <w:tcW w:w="1259" w:type="dxa"/>
            <w:tcBorders>
              <w:top w:val="single" w:sz="8" w:space="0" w:color="231F20"/>
            </w:tcBorders>
            <w:shd w:val="clear" w:color="auto" w:fill="D1D3D4"/>
          </w:tcPr>
          <w:p>
            <w:pPr>
              <w:pStyle w:val="TableParagraph"/>
              <w:spacing w:before="23"/>
              <w:ind w:left="505"/>
              <w:rPr>
                <w:sz w:val="20"/>
              </w:rPr>
            </w:pPr>
            <w:r>
              <w:rPr>
                <w:color w:val="231F20"/>
                <w:sz w:val="20"/>
              </w:rPr>
              <w:t>17</w:t>
            </w:r>
          </w:p>
        </w:tc>
        <w:tc>
          <w:tcPr>
            <w:tcW w:w="740" w:type="dxa"/>
            <w:tcBorders>
              <w:top w:val="single" w:sz="8" w:space="0" w:color="231F20"/>
            </w:tcBorders>
            <w:shd w:val="clear" w:color="auto" w:fill="D1D3D4"/>
          </w:tcPr>
          <w:p>
            <w:pPr>
              <w:pStyle w:val="TableParagraph"/>
              <w:spacing w:before="23"/>
              <w:ind w:right="330"/>
              <w:jc w:val="right"/>
              <w:rPr>
                <w:sz w:val="20"/>
              </w:rPr>
            </w:pPr>
            <w:r>
              <w:rPr>
                <w:color w:val="231F20"/>
                <w:sz w:val="20"/>
              </w:rPr>
              <w:t>—</w:t>
            </w:r>
          </w:p>
        </w:tc>
        <w:tc>
          <w:tcPr>
            <w:tcW w:w="681" w:type="dxa"/>
            <w:tcBorders>
              <w:top w:val="single" w:sz="8" w:space="0" w:color="231F20"/>
            </w:tcBorders>
            <w:shd w:val="clear" w:color="auto" w:fill="D1D3D4"/>
          </w:tcPr>
          <w:p>
            <w:pPr>
              <w:pStyle w:val="TableParagraph"/>
              <w:spacing w:before="23"/>
              <w:ind w:right="49"/>
              <w:jc w:val="right"/>
              <w:rPr>
                <w:sz w:val="20"/>
              </w:rPr>
            </w:pPr>
            <w:r>
              <w:rPr>
                <w:color w:val="231F20"/>
                <w:sz w:val="20"/>
              </w:rPr>
              <w:t>—</w:t>
            </w:r>
          </w:p>
        </w:tc>
        <w:tc>
          <w:tcPr>
            <w:tcW w:w="929" w:type="dxa"/>
            <w:tcBorders>
              <w:top w:val="single" w:sz="8" w:space="0" w:color="231F20"/>
            </w:tcBorders>
            <w:shd w:val="clear" w:color="auto" w:fill="D1D3D4"/>
          </w:tcPr>
          <w:p>
            <w:pPr>
              <w:pStyle w:val="TableParagraph"/>
              <w:spacing w:before="23"/>
              <w:jc w:val="right"/>
              <w:rPr>
                <w:sz w:val="20"/>
              </w:rPr>
            </w:pPr>
            <w:r>
              <w:rPr>
                <w:color w:val="231F20"/>
                <w:sz w:val="20"/>
              </w:rPr>
              <w:t>—</w:t>
            </w:r>
          </w:p>
        </w:tc>
        <w:tc>
          <w:tcPr>
            <w:tcW w:w="300" w:type="dxa"/>
            <w:tcBorders>
              <w:top w:val="single" w:sz="8" w:space="0" w:color="231F20"/>
            </w:tcBorders>
            <w:shd w:val="clear" w:color="auto" w:fill="D1D3D4"/>
          </w:tcPr>
          <w:p>
            <w:pPr/>
          </w:p>
        </w:tc>
        <w:tc>
          <w:tcPr>
            <w:tcW w:w="516" w:type="dxa"/>
            <w:tcBorders>
              <w:top w:val="single" w:sz="8" w:space="0" w:color="231F20"/>
            </w:tcBorders>
            <w:shd w:val="clear" w:color="auto" w:fill="D1D3D4"/>
          </w:tcPr>
          <w:p>
            <w:pPr>
              <w:pStyle w:val="TableParagraph"/>
              <w:spacing w:before="23"/>
              <w:ind w:right="59"/>
              <w:jc w:val="right"/>
              <w:rPr>
                <w:sz w:val="20"/>
              </w:rPr>
            </w:pPr>
            <w:r>
              <w:rPr>
                <w:color w:val="231F20"/>
                <w:sz w:val="20"/>
              </w:rPr>
              <w:t>53</w:t>
            </w:r>
          </w:p>
        </w:tc>
      </w:tr>
      <w:tr>
        <w:trPr>
          <w:trHeight w:val="280" w:hRule="exact"/>
        </w:trPr>
        <w:tc>
          <w:tcPr>
            <w:tcW w:w="2044" w:type="dxa"/>
          </w:tcPr>
          <w:p>
            <w:pPr>
              <w:pStyle w:val="TableParagraph"/>
              <w:spacing w:before="33"/>
              <w:ind w:left="60"/>
              <w:rPr>
                <w:sz w:val="20"/>
              </w:rPr>
            </w:pPr>
            <w:r>
              <w:rPr>
                <w:color w:val="231F20"/>
                <w:sz w:val="20"/>
              </w:rPr>
              <w:t>2017</w:t>
            </w:r>
          </w:p>
        </w:tc>
        <w:tc>
          <w:tcPr>
            <w:tcW w:w="290" w:type="dxa"/>
          </w:tcPr>
          <w:p>
            <w:pPr/>
          </w:p>
        </w:tc>
        <w:tc>
          <w:tcPr>
            <w:tcW w:w="1200" w:type="dxa"/>
          </w:tcPr>
          <w:p>
            <w:pPr>
              <w:pStyle w:val="TableParagraph"/>
              <w:spacing w:before="33"/>
              <w:ind w:right="453"/>
              <w:jc w:val="right"/>
              <w:rPr>
                <w:sz w:val="20"/>
              </w:rPr>
            </w:pPr>
            <w:r>
              <w:rPr>
                <w:color w:val="231F20"/>
                <w:sz w:val="20"/>
              </w:rPr>
              <w:t>35</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14</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14</w:t>
            </w:r>
          </w:p>
        </w:tc>
        <w:tc>
          <w:tcPr>
            <w:tcW w:w="929" w:type="dxa"/>
          </w:tcPr>
          <w:p>
            <w:pPr>
              <w:pStyle w:val="TableParagraph"/>
              <w:spacing w:before="33"/>
              <w:jc w:val="right"/>
              <w:rPr>
                <w:sz w:val="20"/>
              </w:rPr>
            </w:pPr>
            <w:r>
              <w:rPr>
                <w:color w:val="231F20"/>
                <w:sz w:val="20"/>
              </w:rPr>
              <w:t>—</w:t>
            </w:r>
          </w:p>
        </w:tc>
        <w:tc>
          <w:tcPr>
            <w:tcW w:w="300" w:type="dxa"/>
          </w:tcPr>
          <w:p>
            <w:pPr/>
          </w:p>
        </w:tc>
        <w:tc>
          <w:tcPr>
            <w:tcW w:w="516" w:type="dxa"/>
          </w:tcPr>
          <w:p>
            <w:pPr>
              <w:pStyle w:val="TableParagraph"/>
              <w:spacing w:before="33"/>
              <w:ind w:right="59"/>
              <w:jc w:val="right"/>
              <w:rPr>
                <w:sz w:val="20"/>
              </w:rPr>
            </w:pPr>
            <w:r>
              <w:rPr>
                <w:color w:val="231F20"/>
                <w:sz w:val="20"/>
              </w:rPr>
              <w:t>63</w:t>
            </w:r>
          </w:p>
        </w:tc>
      </w:tr>
      <w:tr>
        <w:trPr>
          <w:trHeight w:val="280" w:hRule="exact"/>
        </w:trPr>
        <w:tc>
          <w:tcPr>
            <w:tcW w:w="2044" w:type="dxa"/>
            <w:shd w:val="clear" w:color="auto" w:fill="D1D3D4"/>
          </w:tcPr>
          <w:p>
            <w:pPr>
              <w:pStyle w:val="TableParagraph"/>
              <w:spacing w:before="33"/>
              <w:ind w:left="60"/>
              <w:rPr>
                <w:sz w:val="20"/>
              </w:rPr>
            </w:pPr>
            <w:r>
              <w:rPr>
                <w:color w:val="231F20"/>
                <w:sz w:val="20"/>
              </w:rPr>
              <w:t>2018</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18</w:t>
            </w:r>
          </w:p>
        </w:tc>
        <w:tc>
          <w:tcPr>
            <w:tcW w:w="1162" w:type="dxa"/>
            <w:shd w:val="clear" w:color="auto" w:fill="D1D3D4"/>
          </w:tcPr>
          <w:p>
            <w:pPr>
              <w:pStyle w:val="TableParagraph"/>
              <w:spacing w:before="33"/>
              <w:ind w:left="436" w:right="484"/>
              <w:jc w:val="center"/>
              <w:rPr>
                <w:sz w:val="20"/>
              </w:rPr>
            </w:pPr>
            <w:r>
              <w:rPr>
                <w:color w:val="231F20"/>
                <w:sz w:val="20"/>
              </w:rPr>
              <w:t>18</w:t>
            </w:r>
          </w:p>
        </w:tc>
        <w:tc>
          <w:tcPr>
            <w:tcW w:w="1259" w:type="dxa"/>
            <w:shd w:val="clear" w:color="auto" w:fill="D1D3D4"/>
          </w:tcPr>
          <w:p>
            <w:pPr>
              <w:pStyle w:val="TableParagraph"/>
              <w:spacing w:before="33"/>
              <w:ind w:left="52"/>
              <w:jc w:val="center"/>
              <w:rPr>
                <w:sz w:val="20"/>
              </w:rPr>
            </w:pPr>
            <w:r>
              <w:rPr>
                <w:color w:val="231F20"/>
                <w:sz w:val="20"/>
              </w:rPr>
              <w:t>4</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13</w:t>
            </w:r>
          </w:p>
        </w:tc>
        <w:tc>
          <w:tcPr>
            <w:tcW w:w="929" w:type="dxa"/>
            <w:shd w:val="clear" w:color="auto" w:fill="D1D3D4"/>
          </w:tcPr>
          <w:p>
            <w:pPr>
              <w:pStyle w:val="TableParagraph"/>
              <w:spacing w:before="33"/>
              <w:jc w:val="right"/>
              <w:rPr>
                <w:sz w:val="20"/>
              </w:rPr>
            </w:pPr>
            <w:r>
              <w:rPr>
                <w:color w:val="231F20"/>
                <w:sz w:val="20"/>
              </w:rPr>
              <w:t>—</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53</w:t>
            </w:r>
          </w:p>
        </w:tc>
      </w:tr>
      <w:tr>
        <w:trPr>
          <w:trHeight w:val="280" w:hRule="exact"/>
        </w:trPr>
        <w:tc>
          <w:tcPr>
            <w:tcW w:w="2044" w:type="dxa"/>
          </w:tcPr>
          <w:p>
            <w:pPr>
              <w:pStyle w:val="TableParagraph"/>
              <w:spacing w:before="33"/>
              <w:ind w:left="60"/>
              <w:rPr>
                <w:sz w:val="20"/>
              </w:rPr>
            </w:pPr>
            <w:r>
              <w:rPr>
                <w:color w:val="231F20"/>
                <w:sz w:val="20"/>
              </w:rPr>
              <w:t>2019</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15</w:t>
            </w:r>
          </w:p>
        </w:tc>
        <w:tc>
          <w:tcPr>
            <w:tcW w:w="681" w:type="dxa"/>
          </w:tcPr>
          <w:p>
            <w:pPr>
              <w:pStyle w:val="TableParagraph"/>
              <w:spacing w:before="33"/>
              <w:ind w:right="49"/>
              <w:jc w:val="right"/>
              <w:rPr>
                <w:sz w:val="20"/>
              </w:rPr>
            </w:pPr>
            <w:r>
              <w:rPr>
                <w:color w:val="231F20"/>
                <w:sz w:val="20"/>
              </w:rPr>
              <w:t>10</w:t>
            </w:r>
          </w:p>
        </w:tc>
        <w:tc>
          <w:tcPr>
            <w:tcW w:w="929" w:type="dxa"/>
          </w:tcPr>
          <w:p>
            <w:pPr>
              <w:pStyle w:val="TableParagraph"/>
              <w:spacing w:before="33"/>
              <w:jc w:val="right"/>
              <w:rPr>
                <w:sz w:val="20"/>
              </w:rPr>
            </w:pPr>
            <w:r>
              <w:rPr>
                <w:color w:val="231F20"/>
                <w:sz w:val="20"/>
              </w:rPr>
              <w:t>—</w:t>
            </w:r>
          </w:p>
        </w:tc>
        <w:tc>
          <w:tcPr>
            <w:tcW w:w="300" w:type="dxa"/>
          </w:tcPr>
          <w:p>
            <w:pPr/>
          </w:p>
        </w:tc>
        <w:tc>
          <w:tcPr>
            <w:tcW w:w="516" w:type="dxa"/>
          </w:tcPr>
          <w:p>
            <w:pPr>
              <w:pStyle w:val="TableParagraph"/>
              <w:spacing w:before="33"/>
              <w:ind w:right="59"/>
              <w:jc w:val="right"/>
              <w:rPr>
                <w:sz w:val="20"/>
              </w:rPr>
            </w:pPr>
            <w:r>
              <w:rPr>
                <w:color w:val="231F20"/>
                <w:sz w:val="20"/>
              </w:rPr>
              <w:t>25</w:t>
            </w:r>
          </w:p>
        </w:tc>
      </w:tr>
      <w:tr>
        <w:trPr>
          <w:trHeight w:val="280" w:hRule="exact"/>
        </w:trPr>
        <w:tc>
          <w:tcPr>
            <w:tcW w:w="2044" w:type="dxa"/>
            <w:shd w:val="clear" w:color="auto" w:fill="D1D3D4"/>
          </w:tcPr>
          <w:p>
            <w:pPr>
              <w:pStyle w:val="TableParagraph"/>
              <w:spacing w:before="33"/>
              <w:ind w:left="60"/>
              <w:rPr>
                <w:sz w:val="20"/>
              </w:rPr>
            </w:pPr>
            <w:r>
              <w:rPr>
                <w:color w:val="231F20"/>
                <w:sz w:val="20"/>
              </w:rPr>
              <w:t>2020</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14</w:t>
            </w:r>
          </w:p>
        </w:tc>
        <w:tc>
          <w:tcPr>
            <w:tcW w:w="681" w:type="dxa"/>
            <w:shd w:val="clear" w:color="auto" w:fill="D1D3D4"/>
          </w:tcPr>
          <w:p>
            <w:pPr>
              <w:pStyle w:val="TableParagraph"/>
              <w:spacing w:before="33"/>
              <w:ind w:right="49"/>
              <w:jc w:val="right"/>
              <w:rPr>
                <w:sz w:val="20"/>
              </w:rPr>
            </w:pPr>
            <w:r>
              <w:rPr>
                <w:color w:val="231F20"/>
                <w:sz w:val="20"/>
              </w:rPr>
              <w:t>22</w:t>
            </w:r>
          </w:p>
        </w:tc>
        <w:tc>
          <w:tcPr>
            <w:tcW w:w="929" w:type="dxa"/>
            <w:shd w:val="clear" w:color="auto" w:fill="D1D3D4"/>
          </w:tcPr>
          <w:p>
            <w:pPr>
              <w:pStyle w:val="TableParagraph"/>
              <w:spacing w:before="33"/>
              <w:jc w:val="right"/>
              <w:rPr>
                <w:sz w:val="20"/>
              </w:rPr>
            </w:pPr>
            <w:r>
              <w:rPr>
                <w:color w:val="231F20"/>
                <w:sz w:val="20"/>
              </w:rPr>
              <w:t>—</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36</w:t>
            </w:r>
          </w:p>
        </w:tc>
      </w:tr>
      <w:tr>
        <w:trPr>
          <w:trHeight w:val="280" w:hRule="exact"/>
        </w:trPr>
        <w:tc>
          <w:tcPr>
            <w:tcW w:w="2044" w:type="dxa"/>
          </w:tcPr>
          <w:p>
            <w:pPr>
              <w:pStyle w:val="TableParagraph"/>
              <w:spacing w:before="33"/>
              <w:ind w:left="60"/>
              <w:rPr>
                <w:sz w:val="20"/>
              </w:rPr>
            </w:pPr>
            <w:r>
              <w:rPr>
                <w:color w:val="231F20"/>
                <w:sz w:val="20"/>
              </w:rPr>
              <w:t>2021</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1</w:t>
            </w:r>
          </w:p>
        </w:tc>
        <w:tc>
          <w:tcPr>
            <w:tcW w:w="681" w:type="dxa"/>
          </w:tcPr>
          <w:p>
            <w:pPr>
              <w:pStyle w:val="TableParagraph"/>
              <w:spacing w:before="33"/>
              <w:ind w:right="49"/>
              <w:jc w:val="right"/>
              <w:rPr>
                <w:sz w:val="20"/>
              </w:rPr>
            </w:pPr>
            <w:r>
              <w:rPr>
                <w:color w:val="231F20"/>
                <w:sz w:val="20"/>
              </w:rPr>
              <w:t>33</w:t>
            </w:r>
          </w:p>
        </w:tc>
        <w:tc>
          <w:tcPr>
            <w:tcW w:w="929" w:type="dxa"/>
          </w:tcPr>
          <w:p>
            <w:pPr>
              <w:pStyle w:val="TableParagraph"/>
              <w:spacing w:before="33"/>
              <w:jc w:val="right"/>
              <w:rPr>
                <w:sz w:val="20"/>
              </w:rPr>
            </w:pPr>
            <w:r>
              <w:rPr>
                <w:color w:val="231F20"/>
                <w:sz w:val="20"/>
              </w:rPr>
              <w:t>18</w:t>
            </w:r>
          </w:p>
        </w:tc>
        <w:tc>
          <w:tcPr>
            <w:tcW w:w="300" w:type="dxa"/>
          </w:tcPr>
          <w:p>
            <w:pPr/>
          </w:p>
        </w:tc>
        <w:tc>
          <w:tcPr>
            <w:tcW w:w="516" w:type="dxa"/>
          </w:tcPr>
          <w:p>
            <w:pPr>
              <w:pStyle w:val="TableParagraph"/>
              <w:spacing w:before="33"/>
              <w:ind w:right="59"/>
              <w:jc w:val="right"/>
              <w:rPr>
                <w:sz w:val="20"/>
              </w:rPr>
            </w:pPr>
            <w:r>
              <w:rPr>
                <w:color w:val="231F20"/>
                <w:sz w:val="20"/>
              </w:rPr>
              <w:t>52</w:t>
            </w:r>
          </w:p>
        </w:tc>
      </w:tr>
      <w:tr>
        <w:trPr>
          <w:trHeight w:val="280" w:hRule="exact"/>
        </w:trPr>
        <w:tc>
          <w:tcPr>
            <w:tcW w:w="2044" w:type="dxa"/>
            <w:shd w:val="clear" w:color="auto" w:fill="D1D3D4"/>
          </w:tcPr>
          <w:p>
            <w:pPr>
              <w:pStyle w:val="TableParagraph"/>
              <w:spacing w:before="33"/>
              <w:ind w:left="60"/>
              <w:rPr>
                <w:sz w:val="20"/>
              </w:rPr>
            </w:pPr>
            <w:r>
              <w:rPr>
                <w:color w:val="231F20"/>
                <w:sz w:val="20"/>
              </w:rPr>
              <w:t>2022</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30</w:t>
            </w:r>
          </w:p>
        </w:tc>
        <w:tc>
          <w:tcPr>
            <w:tcW w:w="929" w:type="dxa"/>
            <w:shd w:val="clear" w:color="auto" w:fill="D1D3D4"/>
          </w:tcPr>
          <w:p>
            <w:pPr>
              <w:pStyle w:val="TableParagraph"/>
              <w:spacing w:before="33"/>
              <w:jc w:val="right"/>
              <w:rPr>
                <w:sz w:val="20"/>
              </w:rPr>
            </w:pPr>
            <w:r>
              <w:rPr>
                <w:color w:val="231F20"/>
                <w:sz w:val="20"/>
              </w:rPr>
              <w:t>19</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49</w:t>
            </w:r>
          </w:p>
        </w:tc>
      </w:tr>
      <w:tr>
        <w:trPr>
          <w:trHeight w:val="280" w:hRule="exact"/>
        </w:trPr>
        <w:tc>
          <w:tcPr>
            <w:tcW w:w="2044" w:type="dxa"/>
          </w:tcPr>
          <w:p>
            <w:pPr>
              <w:pStyle w:val="TableParagraph"/>
              <w:spacing w:before="33"/>
              <w:ind w:left="60"/>
              <w:rPr>
                <w:sz w:val="20"/>
              </w:rPr>
            </w:pPr>
            <w:r>
              <w:rPr>
                <w:color w:val="231F20"/>
                <w:sz w:val="20"/>
              </w:rPr>
              <w:t>2023</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24</w:t>
            </w:r>
          </w:p>
        </w:tc>
        <w:tc>
          <w:tcPr>
            <w:tcW w:w="929" w:type="dxa"/>
          </w:tcPr>
          <w:p>
            <w:pPr>
              <w:pStyle w:val="TableParagraph"/>
              <w:spacing w:before="33"/>
              <w:jc w:val="right"/>
              <w:rPr>
                <w:sz w:val="20"/>
              </w:rPr>
            </w:pPr>
            <w:r>
              <w:rPr>
                <w:color w:val="231F20"/>
                <w:sz w:val="20"/>
              </w:rPr>
              <w:t>23</w:t>
            </w:r>
          </w:p>
        </w:tc>
        <w:tc>
          <w:tcPr>
            <w:tcW w:w="300" w:type="dxa"/>
          </w:tcPr>
          <w:p>
            <w:pPr/>
          </w:p>
        </w:tc>
        <w:tc>
          <w:tcPr>
            <w:tcW w:w="516" w:type="dxa"/>
          </w:tcPr>
          <w:p>
            <w:pPr>
              <w:pStyle w:val="TableParagraph"/>
              <w:spacing w:before="33"/>
              <w:ind w:right="59"/>
              <w:jc w:val="right"/>
              <w:rPr>
                <w:sz w:val="20"/>
              </w:rPr>
            </w:pPr>
            <w:r>
              <w:rPr>
                <w:color w:val="231F20"/>
                <w:sz w:val="20"/>
              </w:rPr>
              <w:t>47</w:t>
            </w:r>
          </w:p>
        </w:tc>
      </w:tr>
      <w:tr>
        <w:trPr>
          <w:trHeight w:val="280" w:hRule="exact"/>
        </w:trPr>
        <w:tc>
          <w:tcPr>
            <w:tcW w:w="2044" w:type="dxa"/>
            <w:shd w:val="clear" w:color="auto" w:fill="D1D3D4"/>
          </w:tcPr>
          <w:p>
            <w:pPr>
              <w:pStyle w:val="TableParagraph"/>
              <w:spacing w:before="33"/>
              <w:ind w:left="60"/>
              <w:rPr>
                <w:sz w:val="20"/>
              </w:rPr>
            </w:pPr>
            <w:r>
              <w:rPr>
                <w:color w:val="231F20"/>
                <w:sz w:val="20"/>
              </w:rPr>
              <w:t>2024</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24</w:t>
            </w:r>
          </w:p>
        </w:tc>
        <w:tc>
          <w:tcPr>
            <w:tcW w:w="929" w:type="dxa"/>
            <w:shd w:val="clear" w:color="auto" w:fill="D1D3D4"/>
          </w:tcPr>
          <w:p>
            <w:pPr>
              <w:pStyle w:val="TableParagraph"/>
              <w:spacing w:before="33"/>
              <w:jc w:val="right"/>
              <w:rPr>
                <w:sz w:val="20"/>
              </w:rPr>
            </w:pPr>
            <w:r>
              <w:rPr>
                <w:color w:val="231F20"/>
                <w:sz w:val="20"/>
              </w:rPr>
              <w:t>23</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47</w:t>
            </w:r>
          </w:p>
        </w:tc>
      </w:tr>
      <w:tr>
        <w:trPr>
          <w:trHeight w:val="280" w:hRule="exact"/>
        </w:trPr>
        <w:tc>
          <w:tcPr>
            <w:tcW w:w="2044" w:type="dxa"/>
          </w:tcPr>
          <w:p>
            <w:pPr>
              <w:pStyle w:val="TableParagraph"/>
              <w:spacing w:before="33"/>
              <w:ind w:left="60"/>
              <w:rPr>
                <w:sz w:val="20"/>
              </w:rPr>
            </w:pPr>
            <w:r>
              <w:rPr>
                <w:color w:val="231F20"/>
                <w:sz w:val="20"/>
              </w:rPr>
              <w:t>2025</w:t>
            </w:r>
          </w:p>
        </w:tc>
        <w:tc>
          <w:tcPr>
            <w:tcW w:w="290" w:type="dxa"/>
          </w:tcPr>
          <w:p>
            <w:pPr/>
          </w:p>
        </w:tc>
        <w:tc>
          <w:tcPr>
            <w:tcW w:w="1200" w:type="dxa"/>
          </w:tcPr>
          <w:p>
            <w:pPr>
              <w:pStyle w:val="TableParagraph"/>
              <w:spacing w:before="33"/>
              <w:ind w:right="453"/>
              <w:jc w:val="right"/>
              <w:rPr>
                <w:sz w:val="20"/>
              </w:rPr>
            </w:pPr>
            <w:r>
              <w:rPr>
                <w:color w:val="231F20"/>
                <w:sz w:val="20"/>
              </w:rPr>
              <w:t>—</w:t>
            </w:r>
          </w:p>
        </w:tc>
        <w:tc>
          <w:tcPr>
            <w:tcW w:w="1162" w:type="dxa"/>
          </w:tcPr>
          <w:p>
            <w:pPr>
              <w:pStyle w:val="TableParagraph"/>
              <w:spacing w:before="33"/>
              <w:ind w:right="48"/>
              <w:jc w:val="center"/>
              <w:rPr>
                <w:sz w:val="20"/>
              </w:rPr>
            </w:pPr>
            <w:r>
              <w:rPr>
                <w:color w:val="231F20"/>
                <w:sz w:val="20"/>
              </w:rPr>
              <w:t>—</w:t>
            </w:r>
          </w:p>
        </w:tc>
        <w:tc>
          <w:tcPr>
            <w:tcW w:w="1259" w:type="dxa"/>
          </w:tcPr>
          <w:p>
            <w:pPr>
              <w:pStyle w:val="TableParagraph"/>
              <w:spacing w:before="33"/>
              <w:ind w:left="505"/>
              <w:rPr>
                <w:sz w:val="20"/>
              </w:rPr>
            </w:pPr>
            <w:r>
              <w:rPr>
                <w:color w:val="231F20"/>
                <w:sz w:val="20"/>
              </w:rPr>
              <w:t>—</w:t>
            </w:r>
          </w:p>
        </w:tc>
        <w:tc>
          <w:tcPr>
            <w:tcW w:w="740" w:type="dxa"/>
          </w:tcPr>
          <w:p>
            <w:pPr>
              <w:pStyle w:val="TableParagraph"/>
              <w:spacing w:before="33"/>
              <w:ind w:right="330"/>
              <w:jc w:val="right"/>
              <w:rPr>
                <w:sz w:val="20"/>
              </w:rPr>
            </w:pPr>
            <w:r>
              <w:rPr>
                <w:color w:val="231F20"/>
                <w:sz w:val="20"/>
              </w:rPr>
              <w:t>—</w:t>
            </w:r>
          </w:p>
        </w:tc>
        <w:tc>
          <w:tcPr>
            <w:tcW w:w="681" w:type="dxa"/>
          </w:tcPr>
          <w:p>
            <w:pPr>
              <w:pStyle w:val="TableParagraph"/>
              <w:spacing w:before="33"/>
              <w:ind w:right="49"/>
              <w:jc w:val="right"/>
              <w:rPr>
                <w:sz w:val="20"/>
              </w:rPr>
            </w:pPr>
            <w:r>
              <w:rPr>
                <w:color w:val="231F20"/>
                <w:sz w:val="20"/>
              </w:rPr>
              <w:t>—</w:t>
            </w:r>
          </w:p>
        </w:tc>
        <w:tc>
          <w:tcPr>
            <w:tcW w:w="929" w:type="dxa"/>
          </w:tcPr>
          <w:p>
            <w:pPr>
              <w:pStyle w:val="TableParagraph"/>
              <w:spacing w:before="33"/>
              <w:jc w:val="right"/>
              <w:rPr>
                <w:sz w:val="20"/>
              </w:rPr>
            </w:pPr>
            <w:r>
              <w:rPr>
                <w:color w:val="231F20"/>
                <w:sz w:val="20"/>
              </w:rPr>
              <w:t>36</w:t>
            </w:r>
          </w:p>
        </w:tc>
        <w:tc>
          <w:tcPr>
            <w:tcW w:w="300" w:type="dxa"/>
          </w:tcPr>
          <w:p>
            <w:pPr/>
          </w:p>
        </w:tc>
        <w:tc>
          <w:tcPr>
            <w:tcW w:w="516" w:type="dxa"/>
          </w:tcPr>
          <w:p>
            <w:pPr>
              <w:pStyle w:val="TableParagraph"/>
              <w:spacing w:before="33"/>
              <w:ind w:right="59"/>
              <w:jc w:val="right"/>
              <w:rPr>
                <w:sz w:val="20"/>
              </w:rPr>
            </w:pPr>
            <w:r>
              <w:rPr>
                <w:color w:val="231F20"/>
                <w:sz w:val="20"/>
              </w:rPr>
              <w:t>36</w:t>
            </w:r>
          </w:p>
        </w:tc>
      </w:tr>
      <w:tr>
        <w:trPr>
          <w:trHeight w:val="280" w:hRule="exact"/>
        </w:trPr>
        <w:tc>
          <w:tcPr>
            <w:tcW w:w="2044" w:type="dxa"/>
            <w:shd w:val="clear" w:color="auto" w:fill="D1D3D4"/>
          </w:tcPr>
          <w:p>
            <w:pPr>
              <w:pStyle w:val="TableParagraph"/>
              <w:spacing w:before="33"/>
              <w:ind w:left="60"/>
              <w:rPr>
                <w:sz w:val="20"/>
              </w:rPr>
            </w:pPr>
            <w:r>
              <w:rPr>
                <w:color w:val="231F20"/>
                <w:sz w:val="20"/>
              </w:rPr>
              <w:t>2026</w:t>
            </w:r>
          </w:p>
        </w:tc>
        <w:tc>
          <w:tcPr>
            <w:tcW w:w="290" w:type="dxa"/>
            <w:shd w:val="clear" w:color="auto" w:fill="D1D3D4"/>
          </w:tcPr>
          <w:p>
            <w:pPr/>
          </w:p>
        </w:tc>
        <w:tc>
          <w:tcPr>
            <w:tcW w:w="1200" w:type="dxa"/>
            <w:shd w:val="clear" w:color="auto" w:fill="D1D3D4"/>
          </w:tcPr>
          <w:p>
            <w:pPr>
              <w:pStyle w:val="TableParagraph"/>
              <w:spacing w:before="33"/>
              <w:ind w:right="453"/>
              <w:jc w:val="right"/>
              <w:rPr>
                <w:sz w:val="20"/>
              </w:rPr>
            </w:pPr>
            <w:r>
              <w:rPr>
                <w:color w:val="231F20"/>
                <w:sz w:val="20"/>
              </w:rPr>
              <w:t>—</w:t>
            </w:r>
          </w:p>
        </w:tc>
        <w:tc>
          <w:tcPr>
            <w:tcW w:w="1162" w:type="dxa"/>
            <w:shd w:val="clear" w:color="auto" w:fill="D1D3D4"/>
          </w:tcPr>
          <w:p>
            <w:pPr>
              <w:pStyle w:val="TableParagraph"/>
              <w:spacing w:before="33"/>
              <w:ind w:right="48"/>
              <w:jc w:val="center"/>
              <w:rPr>
                <w:sz w:val="20"/>
              </w:rPr>
            </w:pPr>
            <w:r>
              <w:rPr>
                <w:color w:val="231F20"/>
                <w:sz w:val="20"/>
              </w:rPr>
              <w:t>—</w:t>
            </w:r>
          </w:p>
        </w:tc>
        <w:tc>
          <w:tcPr>
            <w:tcW w:w="1259" w:type="dxa"/>
            <w:shd w:val="clear" w:color="auto" w:fill="D1D3D4"/>
          </w:tcPr>
          <w:p>
            <w:pPr>
              <w:pStyle w:val="TableParagraph"/>
              <w:spacing w:before="33"/>
              <w:ind w:left="505"/>
              <w:rPr>
                <w:sz w:val="20"/>
              </w:rPr>
            </w:pPr>
            <w:r>
              <w:rPr>
                <w:color w:val="231F20"/>
                <w:sz w:val="20"/>
              </w:rPr>
              <w:t>—</w:t>
            </w:r>
          </w:p>
        </w:tc>
        <w:tc>
          <w:tcPr>
            <w:tcW w:w="740" w:type="dxa"/>
            <w:shd w:val="clear" w:color="auto" w:fill="D1D3D4"/>
          </w:tcPr>
          <w:p>
            <w:pPr>
              <w:pStyle w:val="TableParagraph"/>
              <w:spacing w:before="33"/>
              <w:ind w:right="330"/>
              <w:jc w:val="right"/>
              <w:rPr>
                <w:sz w:val="20"/>
              </w:rPr>
            </w:pPr>
            <w:r>
              <w:rPr>
                <w:color w:val="231F20"/>
                <w:sz w:val="20"/>
              </w:rPr>
              <w:t>—</w:t>
            </w:r>
          </w:p>
        </w:tc>
        <w:tc>
          <w:tcPr>
            <w:tcW w:w="681" w:type="dxa"/>
            <w:shd w:val="clear" w:color="auto" w:fill="D1D3D4"/>
          </w:tcPr>
          <w:p>
            <w:pPr>
              <w:pStyle w:val="TableParagraph"/>
              <w:spacing w:before="33"/>
              <w:ind w:right="49"/>
              <w:jc w:val="right"/>
              <w:rPr>
                <w:sz w:val="20"/>
              </w:rPr>
            </w:pPr>
            <w:r>
              <w:rPr>
                <w:color w:val="231F20"/>
                <w:sz w:val="20"/>
              </w:rPr>
              <w:t>—</w:t>
            </w:r>
          </w:p>
        </w:tc>
        <w:tc>
          <w:tcPr>
            <w:tcW w:w="929" w:type="dxa"/>
            <w:shd w:val="clear" w:color="auto" w:fill="D1D3D4"/>
          </w:tcPr>
          <w:p>
            <w:pPr>
              <w:pStyle w:val="TableParagraph"/>
              <w:spacing w:before="33"/>
              <w:jc w:val="right"/>
              <w:rPr>
                <w:sz w:val="20"/>
              </w:rPr>
            </w:pPr>
            <w:r>
              <w:rPr>
                <w:color w:val="231F20"/>
                <w:sz w:val="20"/>
              </w:rPr>
              <w:t>36</w:t>
            </w:r>
          </w:p>
        </w:tc>
        <w:tc>
          <w:tcPr>
            <w:tcW w:w="300" w:type="dxa"/>
            <w:shd w:val="clear" w:color="auto" w:fill="D1D3D4"/>
          </w:tcPr>
          <w:p>
            <w:pPr/>
          </w:p>
        </w:tc>
        <w:tc>
          <w:tcPr>
            <w:tcW w:w="516" w:type="dxa"/>
            <w:shd w:val="clear" w:color="auto" w:fill="D1D3D4"/>
          </w:tcPr>
          <w:p>
            <w:pPr>
              <w:pStyle w:val="TableParagraph"/>
              <w:spacing w:before="33"/>
              <w:ind w:right="59"/>
              <w:jc w:val="right"/>
              <w:rPr>
                <w:sz w:val="20"/>
              </w:rPr>
            </w:pPr>
            <w:r>
              <w:rPr>
                <w:color w:val="231F20"/>
                <w:sz w:val="20"/>
              </w:rPr>
              <w:t>36</w:t>
            </w:r>
          </w:p>
        </w:tc>
      </w:tr>
      <w:tr>
        <w:trPr>
          <w:trHeight w:val="295" w:hRule="exact"/>
        </w:trPr>
        <w:tc>
          <w:tcPr>
            <w:tcW w:w="2044" w:type="dxa"/>
          </w:tcPr>
          <w:p>
            <w:pPr>
              <w:pStyle w:val="TableParagraph"/>
              <w:spacing w:before="33"/>
              <w:ind w:left="60"/>
              <w:rPr>
                <w:sz w:val="20"/>
              </w:rPr>
            </w:pPr>
            <w:r>
              <w:rPr>
                <w:color w:val="231F20"/>
                <w:sz w:val="20"/>
              </w:rPr>
              <w:t>2027</w:t>
            </w:r>
          </w:p>
        </w:tc>
        <w:tc>
          <w:tcPr>
            <w:tcW w:w="290" w:type="dxa"/>
          </w:tcPr>
          <w:p>
            <w:pPr/>
          </w:p>
        </w:tc>
        <w:tc>
          <w:tcPr>
            <w:tcW w:w="1200" w:type="dxa"/>
            <w:tcBorders>
              <w:bottom w:val="single" w:sz="4" w:space="0" w:color="231F20"/>
            </w:tcBorders>
          </w:tcPr>
          <w:p>
            <w:pPr>
              <w:pStyle w:val="TableParagraph"/>
              <w:spacing w:before="33"/>
              <w:ind w:right="453"/>
              <w:jc w:val="right"/>
              <w:rPr>
                <w:sz w:val="20"/>
              </w:rPr>
            </w:pPr>
            <w:r>
              <w:rPr>
                <w:color w:val="231F20"/>
                <w:sz w:val="20"/>
              </w:rPr>
              <w:t>—</w:t>
            </w:r>
          </w:p>
        </w:tc>
        <w:tc>
          <w:tcPr>
            <w:tcW w:w="1162" w:type="dxa"/>
            <w:tcBorders>
              <w:bottom w:val="single" w:sz="4" w:space="0" w:color="231F20"/>
            </w:tcBorders>
          </w:tcPr>
          <w:p>
            <w:pPr>
              <w:pStyle w:val="TableParagraph"/>
              <w:spacing w:before="33"/>
              <w:ind w:right="48"/>
              <w:jc w:val="center"/>
              <w:rPr>
                <w:sz w:val="20"/>
              </w:rPr>
            </w:pPr>
            <w:r>
              <w:rPr>
                <w:color w:val="231F20"/>
                <w:sz w:val="20"/>
              </w:rPr>
              <w:t>—</w:t>
            </w:r>
          </w:p>
        </w:tc>
        <w:tc>
          <w:tcPr>
            <w:tcW w:w="1259" w:type="dxa"/>
            <w:tcBorders>
              <w:bottom w:val="single" w:sz="4" w:space="0" w:color="231F20"/>
            </w:tcBorders>
          </w:tcPr>
          <w:p>
            <w:pPr>
              <w:pStyle w:val="TableParagraph"/>
              <w:spacing w:before="33"/>
              <w:ind w:left="505"/>
              <w:rPr>
                <w:sz w:val="20"/>
              </w:rPr>
            </w:pPr>
            <w:r>
              <w:rPr>
                <w:color w:val="231F20"/>
                <w:sz w:val="20"/>
              </w:rPr>
              <w:t>—</w:t>
            </w:r>
          </w:p>
        </w:tc>
        <w:tc>
          <w:tcPr>
            <w:tcW w:w="740" w:type="dxa"/>
            <w:tcBorders>
              <w:bottom w:val="single" w:sz="4" w:space="0" w:color="231F20"/>
            </w:tcBorders>
          </w:tcPr>
          <w:p>
            <w:pPr>
              <w:pStyle w:val="TableParagraph"/>
              <w:spacing w:before="33"/>
              <w:ind w:right="330"/>
              <w:jc w:val="right"/>
              <w:rPr>
                <w:sz w:val="20"/>
              </w:rPr>
            </w:pPr>
            <w:r>
              <w:rPr>
                <w:color w:val="231F20"/>
                <w:sz w:val="20"/>
              </w:rPr>
              <w:t>—</w:t>
            </w:r>
          </w:p>
        </w:tc>
        <w:tc>
          <w:tcPr>
            <w:tcW w:w="681" w:type="dxa"/>
            <w:tcBorders>
              <w:bottom w:val="single" w:sz="4" w:space="0" w:color="231F20"/>
            </w:tcBorders>
          </w:tcPr>
          <w:p>
            <w:pPr>
              <w:pStyle w:val="TableParagraph"/>
              <w:spacing w:before="33"/>
              <w:ind w:right="49"/>
              <w:jc w:val="right"/>
              <w:rPr>
                <w:sz w:val="20"/>
              </w:rPr>
            </w:pPr>
            <w:r>
              <w:rPr>
                <w:color w:val="231F20"/>
                <w:sz w:val="20"/>
              </w:rPr>
              <w:t>—</w:t>
            </w:r>
          </w:p>
        </w:tc>
        <w:tc>
          <w:tcPr>
            <w:tcW w:w="929" w:type="dxa"/>
            <w:tcBorders>
              <w:bottom w:val="single" w:sz="4" w:space="0" w:color="231F20"/>
            </w:tcBorders>
          </w:tcPr>
          <w:p>
            <w:pPr>
              <w:pStyle w:val="TableParagraph"/>
              <w:spacing w:before="33"/>
              <w:jc w:val="right"/>
              <w:rPr>
                <w:sz w:val="20"/>
              </w:rPr>
            </w:pPr>
            <w:r>
              <w:rPr>
                <w:color w:val="231F20"/>
                <w:sz w:val="20"/>
              </w:rPr>
              <w:t>36</w:t>
            </w:r>
          </w:p>
        </w:tc>
        <w:tc>
          <w:tcPr>
            <w:tcW w:w="300" w:type="dxa"/>
          </w:tcPr>
          <w:p>
            <w:pPr/>
          </w:p>
        </w:tc>
        <w:tc>
          <w:tcPr>
            <w:tcW w:w="516" w:type="dxa"/>
            <w:tcBorders>
              <w:bottom w:val="single" w:sz="4" w:space="0" w:color="231F20"/>
            </w:tcBorders>
          </w:tcPr>
          <w:p>
            <w:pPr>
              <w:pStyle w:val="TableParagraph"/>
              <w:spacing w:before="33"/>
              <w:ind w:right="59"/>
              <w:jc w:val="right"/>
              <w:rPr>
                <w:sz w:val="20"/>
              </w:rPr>
            </w:pPr>
            <w:r>
              <w:rPr>
                <w:color w:val="231F20"/>
                <w:sz w:val="20"/>
              </w:rPr>
              <w:t>36</w:t>
            </w:r>
          </w:p>
        </w:tc>
      </w:tr>
      <w:tr>
        <w:trPr>
          <w:trHeight w:val="320" w:hRule="exact"/>
        </w:trPr>
        <w:tc>
          <w:tcPr>
            <w:tcW w:w="2044" w:type="dxa"/>
            <w:shd w:val="clear" w:color="auto" w:fill="D1D3D4"/>
          </w:tcPr>
          <w:p>
            <w:pPr>
              <w:pStyle w:val="TableParagraph"/>
              <w:spacing w:before="33"/>
              <w:ind w:left="60"/>
              <w:rPr>
                <w:sz w:val="20"/>
              </w:rPr>
            </w:pPr>
            <w:r>
              <w:rPr>
                <w:color w:val="231F20"/>
                <w:sz w:val="20"/>
              </w:rPr>
              <w:t>Total</w:t>
            </w:r>
          </w:p>
        </w:tc>
        <w:tc>
          <w:tcPr>
            <w:tcW w:w="290" w:type="dxa"/>
            <w:shd w:val="clear" w:color="auto" w:fill="D1D3D4"/>
          </w:tcPr>
          <w:p>
            <w:pPr/>
          </w:p>
        </w:tc>
        <w:tc>
          <w:tcPr>
            <w:tcW w:w="1200" w:type="dxa"/>
            <w:tcBorders>
              <w:top w:val="single" w:sz="4" w:space="0" w:color="231F20"/>
              <w:bottom w:val="double" w:sz="7" w:space="0" w:color="231F20"/>
            </w:tcBorders>
            <w:shd w:val="clear" w:color="auto" w:fill="D1D3D4"/>
          </w:tcPr>
          <w:p>
            <w:pPr>
              <w:pStyle w:val="TableParagraph"/>
              <w:spacing w:before="33"/>
              <w:ind w:right="453"/>
              <w:jc w:val="right"/>
              <w:rPr>
                <w:sz w:val="20"/>
              </w:rPr>
            </w:pPr>
            <w:r>
              <w:rPr>
                <w:color w:val="231F20"/>
                <w:sz w:val="20"/>
              </w:rPr>
              <w:t>89</w:t>
            </w:r>
          </w:p>
        </w:tc>
        <w:tc>
          <w:tcPr>
            <w:tcW w:w="1162" w:type="dxa"/>
            <w:tcBorders>
              <w:top w:val="single" w:sz="4" w:space="0" w:color="231F20"/>
              <w:bottom w:val="double" w:sz="7" w:space="0" w:color="231F20"/>
            </w:tcBorders>
            <w:shd w:val="clear" w:color="auto" w:fill="D1D3D4"/>
          </w:tcPr>
          <w:p>
            <w:pPr>
              <w:pStyle w:val="TableParagraph"/>
              <w:spacing w:before="33"/>
              <w:ind w:left="436" w:right="484"/>
              <w:jc w:val="center"/>
              <w:rPr>
                <w:sz w:val="20"/>
              </w:rPr>
            </w:pPr>
            <w:r>
              <w:rPr>
                <w:color w:val="231F20"/>
                <w:sz w:val="20"/>
              </w:rPr>
              <w:t>18</w:t>
            </w:r>
          </w:p>
        </w:tc>
        <w:tc>
          <w:tcPr>
            <w:tcW w:w="1259" w:type="dxa"/>
            <w:tcBorders>
              <w:top w:val="single" w:sz="4" w:space="0" w:color="231F20"/>
              <w:bottom w:val="double" w:sz="7" w:space="0" w:color="231F20"/>
            </w:tcBorders>
            <w:shd w:val="clear" w:color="auto" w:fill="D1D3D4"/>
          </w:tcPr>
          <w:p>
            <w:pPr>
              <w:pStyle w:val="TableParagraph"/>
              <w:spacing w:before="33"/>
              <w:ind w:left="506"/>
              <w:rPr>
                <w:b/>
                <w:sz w:val="20"/>
              </w:rPr>
            </w:pPr>
            <w:r>
              <w:rPr>
                <w:color w:val="231F20"/>
                <w:sz w:val="20"/>
              </w:rPr>
              <w:t>35 </w:t>
            </w:r>
            <w:r>
              <w:rPr>
                <w:b/>
                <w:color w:val="231F20"/>
                <w:sz w:val="20"/>
              </w:rPr>
              <w:t>(b)</w:t>
            </w:r>
          </w:p>
        </w:tc>
        <w:tc>
          <w:tcPr>
            <w:tcW w:w="740" w:type="dxa"/>
            <w:tcBorders>
              <w:top w:val="single" w:sz="4" w:space="0" w:color="231F20"/>
              <w:bottom w:val="double" w:sz="7" w:space="0" w:color="231F20"/>
            </w:tcBorders>
            <w:shd w:val="clear" w:color="auto" w:fill="D1D3D4"/>
          </w:tcPr>
          <w:p>
            <w:pPr>
              <w:pStyle w:val="TableParagraph"/>
              <w:spacing w:before="33"/>
              <w:ind w:right="329"/>
              <w:jc w:val="right"/>
              <w:rPr>
                <w:sz w:val="20"/>
              </w:rPr>
            </w:pPr>
            <w:r>
              <w:rPr>
                <w:color w:val="231F20"/>
                <w:sz w:val="20"/>
              </w:rPr>
              <w:t>30</w:t>
            </w:r>
          </w:p>
        </w:tc>
        <w:tc>
          <w:tcPr>
            <w:tcW w:w="681" w:type="dxa"/>
            <w:tcBorders>
              <w:top w:val="single" w:sz="4" w:space="0" w:color="231F20"/>
              <w:bottom w:val="double" w:sz="7" w:space="0" w:color="231F20"/>
            </w:tcBorders>
            <w:shd w:val="clear" w:color="auto" w:fill="D1D3D4"/>
          </w:tcPr>
          <w:p>
            <w:pPr>
              <w:pStyle w:val="TableParagraph"/>
              <w:spacing w:before="33"/>
              <w:ind w:right="48"/>
              <w:jc w:val="right"/>
              <w:rPr>
                <w:sz w:val="20"/>
              </w:rPr>
            </w:pPr>
            <w:r>
              <w:rPr>
                <w:color w:val="231F20"/>
                <w:sz w:val="20"/>
              </w:rPr>
              <w:t>170</w:t>
            </w:r>
          </w:p>
        </w:tc>
        <w:tc>
          <w:tcPr>
            <w:tcW w:w="929" w:type="dxa"/>
            <w:tcBorders>
              <w:top w:val="single" w:sz="4" w:space="0" w:color="231F20"/>
              <w:bottom w:val="double" w:sz="7" w:space="0" w:color="231F20"/>
            </w:tcBorders>
            <w:shd w:val="clear" w:color="auto" w:fill="D1D3D4"/>
          </w:tcPr>
          <w:p>
            <w:pPr>
              <w:pStyle w:val="TableParagraph"/>
              <w:tabs>
                <w:tab w:pos="578" w:val="left" w:leader="none"/>
              </w:tabs>
              <w:spacing w:before="33"/>
              <w:jc w:val="right"/>
              <w:rPr>
                <w:sz w:val="20"/>
              </w:rPr>
            </w:pPr>
            <w:r>
              <w:rPr>
                <w:b/>
                <w:color w:val="231F20"/>
                <w:sz w:val="20"/>
              </w:rPr>
              <w:t>(a)</w:t>
              <w:tab/>
            </w:r>
            <w:r>
              <w:rPr>
                <w:color w:val="231F20"/>
                <w:sz w:val="20"/>
              </w:rPr>
              <w:t>191</w:t>
            </w:r>
          </w:p>
        </w:tc>
        <w:tc>
          <w:tcPr>
            <w:tcW w:w="300" w:type="dxa"/>
            <w:tcBorders>
              <w:bottom w:val="double" w:sz="7" w:space="0" w:color="231F20"/>
            </w:tcBorders>
            <w:shd w:val="clear" w:color="auto" w:fill="D1D3D4"/>
          </w:tcPr>
          <w:p>
            <w:pPr/>
          </w:p>
        </w:tc>
        <w:tc>
          <w:tcPr>
            <w:tcW w:w="516" w:type="dxa"/>
            <w:tcBorders>
              <w:top w:val="single" w:sz="4" w:space="0" w:color="231F20"/>
              <w:bottom w:val="double" w:sz="7" w:space="0" w:color="231F20"/>
            </w:tcBorders>
            <w:shd w:val="clear" w:color="auto" w:fill="D1D3D4"/>
          </w:tcPr>
          <w:p>
            <w:pPr>
              <w:pStyle w:val="TableParagraph"/>
              <w:spacing w:before="33"/>
              <w:ind w:right="59"/>
              <w:jc w:val="right"/>
              <w:rPr>
                <w:sz w:val="20"/>
              </w:rPr>
            </w:pPr>
            <w:r>
              <w:rPr>
                <w:color w:val="231F20"/>
                <w:sz w:val="20"/>
              </w:rPr>
              <w:t>533</w:t>
            </w:r>
          </w:p>
        </w:tc>
      </w:tr>
    </w:tbl>
    <w:p>
      <w:pPr>
        <w:pStyle w:val="BodyText"/>
        <w:spacing w:before="7"/>
        <w:rPr>
          <w:b/>
          <w:sz w:val="14"/>
        </w:rPr>
      </w:pPr>
    </w:p>
    <w:p>
      <w:pPr>
        <w:pStyle w:val="ListParagraph"/>
        <w:numPr>
          <w:ilvl w:val="0"/>
          <w:numId w:val="5"/>
        </w:numPr>
        <w:tabs>
          <w:tab w:pos="373" w:val="left" w:leader="none"/>
        </w:tabs>
        <w:spacing w:line="240" w:lineRule="auto" w:before="93" w:after="0"/>
        <w:ind w:left="373" w:right="0" w:hanging="273"/>
        <w:jc w:val="both"/>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ListParagraph"/>
        <w:numPr>
          <w:ilvl w:val="0"/>
          <w:numId w:val="5"/>
        </w:numPr>
        <w:tabs>
          <w:tab w:pos="384" w:val="left" w:leader="none"/>
        </w:tabs>
        <w:spacing w:line="240" w:lineRule="auto" w:before="9" w:after="0"/>
        <w:ind w:left="384" w:right="0" w:hanging="284"/>
        <w:jc w:val="both"/>
        <w:rPr>
          <w:sz w:val="20"/>
        </w:rPr>
      </w:pPr>
      <w:r>
        <w:rPr>
          <w:color w:val="231F20"/>
          <w:sz w:val="20"/>
        </w:rPr>
        <w:t>To be acquired in leases from various third</w:t>
      </w:r>
      <w:r>
        <w:rPr>
          <w:color w:val="231F20"/>
          <w:spacing w:val="4"/>
          <w:sz w:val="20"/>
        </w:rPr>
        <w:t> </w:t>
      </w:r>
      <w:r>
        <w:rPr>
          <w:color w:val="231F20"/>
          <w:sz w:val="20"/>
        </w:rPr>
        <w:t>parties.</w:t>
      </w:r>
    </w:p>
    <w:p>
      <w:pPr>
        <w:pStyle w:val="BodyText"/>
        <w:spacing w:before="2"/>
        <w:rPr>
          <w:sz w:val="21"/>
        </w:rPr>
      </w:pPr>
    </w:p>
    <w:p>
      <w:pPr>
        <w:pStyle w:val="Heading1"/>
      </w:pPr>
      <w:r>
        <w:rPr>
          <w:color w:val="231F20"/>
        </w:rPr>
        <w:t>Ground Facilities and Services</w:t>
      </w:r>
    </w:p>
    <w:p>
      <w:pPr>
        <w:pStyle w:val="BodyText"/>
        <w:spacing w:before="9"/>
        <w:rPr>
          <w:b/>
          <w:sz w:val="20"/>
        </w:rPr>
      </w:pPr>
    </w:p>
    <w:p>
      <w:pPr>
        <w:pStyle w:val="BodyText"/>
        <w:spacing w:line="247" w:lineRule="auto"/>
        <w:ind w:left="100" w:right="137"/>
        <w:jc w:val="both"/>
      </w:pPr>
      <w:r>
        <w:rPr>
          <w:color w:val="231F20"/>
        </w:rPr>
        <w:t>Southwest either leases or pays a usage fee for terminal passenger service facilities at each of the airports it serves, to which various leasehold improvements have been made. The Company leases the land and/or structures on a long-term basis for its aircraft maintenance centers (located at Dallas Love Field, Houston Hobby, Phoenix Sky Harbor, Chicago Midway, Hartsfield-Jackson Atlanta International Airport and Orlando International Airport), its flight training center at Dallas Love Field (which houses ten 737 simulators), and its main corporate headquarters building, also located at Dallas Love Field. The Company also leases a warehouse and engine repair facility in Atlanta. The Company owns an energy-efficient, modern building designed to house certain operational and training  functions, including its 24-hour operations. This additional headquarters building is located across the street from the Company’s current headquarters building on land owned by the</w:t>
      </w:r>
      <w:r>
        <w:rPr>
          <w:color w:val="231F20"/>
          <w:spacing w:val="-2"/>
        </w:rPr>
        <w:t> </w:t>
      </w:r>
      <w:r>
        <w:rPr>
          <w:color w:val="231F20"/>
        </w:rPr>
        <w:t>Company.</w:t>
      </w:r>
    </w:p>
    <w:p>
      <w:pPr>
        <w:pStyle w:val="BodyText"/>
        <w:spacing w:before="2"/>
        <w:rPr>
          <w:sz w:val="20"/>
        </w:rPr>
      </w:pPr>
    </w:p>
    <w:p>
      <w:pPr>
        <w:pStyle w:val="BodyText"/>
        <w:spacing w:line="247" w:lineRule="auto"/>
        <w:ind w:left="100" w:right="137"/>
        <w:jc w:val="both"/>
      </w:pPr>
      <w:r>
        <w:rPr>
          <w:color w:val="231F20"/>
        </w:rPr>
        <w:t>The Company’s international expansion in 2015 was facilitated by the completion of construction of a new five-gate international terminal at Houston’s William P. Hobby Airport with international passenger processing facilities, an expanded security checkpoint, and an upgraded Southwest ticketing area. The Company controlled this expansion and related financial terms pursuant to an Airport Use and Lease Agreement with the City of Houston. Additional information regarding this project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before="2"/>
        <w:rPr>
          <w:sz w:val="20"/>
        </w:rPr>
      </w:pPr>
    </w:p>
    <w:p>
      <w:pPr>
        <w:pStyle w:val="BodyText"/>
        <w:spacing w:line="247" w:lineRule="auto"/>
        <w:ind w:left="100" w:right="138"/>
        <w:jc w:val="both"/>
      </w:pPr>
      <w:r>
        <w:rPr>
          <w:color w:val="231F20"/>
        </w:rPr>
        <w:t>Pursuant to an agreement with Broward County, Florida, which owns and operates Fort Lauderdale- Hollywood  International  Airport,  the  Company  is  also  overseeing  and  managing  the  design </w:t>
      </w:r>
      <w:r>
        <w:rPr>
          <w:color w:val="231F20"/>
          <w:spacing w:val="53"/>
        </w:rPr>
        <w:t> </w:t>
      </w:r>
      <w:r>
        <w:rPr>
          <w:color w:val="231F20"/>
        </w:rPr>
        <w:t>and</w:t>
      </w:r>
    </w:p>
    <w:p>
      <w:pPr>
        <w:spacing w:after="0" w:line="247" w:lineRule="auto"/>
        <w:jc w:val="both"/>
        <w:sectPr>
          <w:type w:val="continuous"/>
          <w:pgSz w:w="11880" w:h="15480"/>
          <w:pgMar w:top="1260" w:bottom="280" w:left="1280" w:right="1240"/>
        </w:sectPr>
      </w:pPr>
    </w:p>
    <w:p>
      <w:pPr>
        <w:pStyle w:val="BodyText"/>
        <w:spacing w:line="247" w:lineRule="auto" w:before="74"/>
        <w:ind w:left="100" w:right="117"/>
        <w:jc w:val="both"/>
      </w:pPr>
      <w:r>
        <w:rPr>
          <w:color w:val="231F20"/>
        </w:rPr>
        <w:t>construction of the airport’s Terminal 1 Modernization Project. In addition to significant improvements to the existing Terminal 1, the project includes the design and construction of a new five-gate Concourse A with an international processing facility. Major construction on the project began during third quarter 2015 and is estimated to be completed during 2017.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98"/>
        <w:ind w:left="100" w:right="117"/>
        <w:jc w:val="both"/>
      </w:pPr>
      <w:r>
        <w:rPr>
          <w:color w:val="231F20"/>
        </w:rPr>
        <w:t>Pursuant to a lease agreement with Los Angeles World Airports, which owns and  operates  Los Angeles International Airport, the Company is also overseeing and managing the design, development, financing, construction, and commissioning of the airport’s Terminal 1 Modernization Project. Construction on the project began during fourth quarter 2014 and is estimated to be completed during 2018. Additional information regarding this project is provided below under “Management’s Discussion and Analysis of Financial Condition and Results of Operations” and in Note 4 to the Consolidated Financial Statements.</w:t>
      </w:r>
    </w:p>
    <w:p>
      <w:pPr>
        <w:pStyle w:val="BodyText"/>
        <w:spacing w:line="247" w:lineRule="auto" w:before="198"/>
        <w:ind w:left="100" w:right="117"/>
        <w:jc w:val="both"/>
      </w:pPr>
      <w:r>
        <w:rPr>
          <w:color w:val="231F20"/>
        </w:rPr>
        <w:t>The Company also managed the reconstruction of Dallas Love Field with modern, convenient air travel facilities (“Love Field Modernization Program”). The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Love Field Modernization Program is discussed in more detail below under “Management’s Discussion and Analysis of Financial Condition and Results of Operations” and in Note 4 to the Consolidated  Financial Statements.</w:t>
      </w:r>
    </w:p>
    <w:p>
      <w:pPr>
        <w:pStyle w:val="BodyText"/>
        <w:spacing w:line="247" w:lineRule="auto" w:before="198"/>
        <w:ind w:left="100" w:right="119"/>
        <w:jc w:val="both"/>
      </w:pPr>
      <w:r>
        <w:rPr>
          <w:color w:val="231F20"/>
        </w:rPr>
        <w:t>As of December 31, 2015, the Company operated seven Customer Support and Services call centers. The centers located in Atlanta, San Antonio, Chicago, Albuquerque, and Oklahoma City occupy leased space. The Company owns its Houston and Phoenix centers.</w:t>
      </w:r>
    </w:p>
    <w:p>
      <w:pPr>
        <w:pStyle w:val="BodyText"/>
        <w:spacing w:line="247" w:lineRule="auto" w:before="198"/>
        <w:ind w:left="100" w:right="117"/>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10"/>
        <w:rPr>
          <w:sz w:val="25"/>
        </w:rPr>
      </w:pPr>
    </w:p>
    <w:p>
      <w:pPr>
        <w:tabs>
          <w:tab w:pos="1529" w:val="left" w:leader="none"/>
        </w:tabs>
        <w:spacing w:before="0"/>
        <w:ind w:left="100" w:right="0" w:firstLine="0"/>
        <w:jc w:val="both"/>
        <w:rPr>
          <w:b/>
          <w:i/>
          <w:sz w:val="22"/>
        </w:rPr>
      </w:pPr>
      <w:bookmarkStart w:name="Item 3. Legal Proceedings " w:id="6"/>
      <w:bookmarkEnd w:id="6"/>
      <w:r>
        <w:rPr/>
      </w:r>
      <w:r>
        <w:rPr>
          <w:b/>
          <w:color w:val="231F20"/>
          <w:sz w:val="22"/>
        </w:rPr>
        <w:t>Item 3.</w:t>
        <w:tab/>
      </w:r>
      <w:r>
        <w:rPr>
          <w:b/>
          <w:i/>
          <w:color w:val="231F20"/>
          <w:sz w:val="22"/>
        </w:rPr>
        <w:t>Legal</w:t>
      </w:r>
      <w:r>
        <w:rPr>
          <w:b/>
          <w:i/>
          <w:color w:val="231F20"/>
          <w:spacing w:val="-1"/>
          <w:sz w:val="22"/>
        </w:rPr>
        <w:t> </w:t>
      </w:r>
      <w:r>
        <w:rPr>
          <w:b/>
          <w:i/>
          <w:color w:val="231F20"/>
          <w:sz w:val="22"/>
        </w:rPr>
        <w:t>Proceedings</w:t>
      </w:r>
    </w:p>
    <w:p>
      <w:pPr>
        <w:pStyle w:val="BodyText"/>
        <w:spacing w:line="247" w:lineRule="auto" w:before="205"/>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w:t>
      </w:r>
      <w:r>
        <w:rPr>
          <w:color w:val="231F20"/>
          <w:spacing w:val="44"/>
        </w:rPr>
        <w:t> </w:t>
      </w:r>
      <w:r>
        <w:rPr>
          <w:color w:val="231F20"/>
        </w:rPr>
        <w:t>AirTran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the parties have filed motions to exclude the class certification opinions of each other’s expert.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delayed further briefing on summary judgment. On August 5, 2015, the Court entered an order granting class certification, which was vacated on August 17, 2015, to permit further briefing on class certification and AirTran’s motion to exclude plaintiffs’ expert. Thereafter, the parties filed motions to exclude the opinions of the other parties’ experts. On January 8, 2016, the parties completed briefing on defendants’ motions for summary judgment, plaintiffs’ motion for class certification, and the motions to exclude the opinions  of experts, and those motions have been submitted to the Court for decision. AirTran denies all allegations of wrongdoing, including those in the Consolidated Amended Complaint, and intends to defend vigorously any and all such</w:t>
      </w:r>
      <w:r>
        <w:rPr>
          <w:color w:val="231F20"/>
          <w:spacing w:val="-1"/>
        </w:rPr>
        <w:t> </w:t>
      </w:r>
      <w:r>
        <w:rPr>
          <w:color w:val="231F20"/>
        </w:rPr>
        <w:t>allegations.</w:t>
      </w:r>
    </w:p>
    <w:p>
      <w:pPr>
        <w:pStyle w:val="BodyText"/>
        <w:spacing w:before="5"/>
      </w:pPr>
    </w:p>
    <w:p>
      <w:pPr>
        <w:pStyle w:val="BodyText"/>
        <w:spacing w:line="247" w:lineRule="auto"/>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5"/>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have been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The complaints seek treble damages for periods that vary among the complaints, costs, attorneys’ fees, and injunctive relief. On October 13, 2015, the Judicial Panel on  Multi-District  Litigation  centralized  the  cases  to  the  United States District Court in the District of Columbia. The Court has not yet entered a scheduling order establishing a date for defendants to respond to the complaints. The Company intends to vigorously defend these civil</w:t>
      </w:r>
      <w:r>
        <w:rPr>
          <w:color w:val="231F20"/>
          <w:spacing w:val="-2"/>
        </w:rPr>
        <w:t> </w:t>
      </w:r>
      <w:r>
        <w:rPr>
          <w:color w:val="231F20"/>
        </w:rPr>
        <w:t>cases.</w:t>
      </w:r>
    </w:p>
    <w:p>
      <w:pPr>
        <w:pStyle w:val="BodyText"/>
        <w:spacing w:before="5"/>
      </w:pPr>
    </w:p>
    <w:p>
      <w:pPr>
        <w:pStyle w:val="BodyText"/>
        <w:spacing w:line="247" w:lineRule="auto"/>
        <w:ind w:left="100" w:right="117"/>
        <w:jc w:val="both"/>
      </w:pPr>
      <w:r>
        <w:rPr>
          <w:color w:val="231F20"/>
        </w:rPr>
        <w:t>In addition, on July 8, 2015, the Company was named as a defendant in putative class action filed in British Columbia, Canada alleging that the Company, Air Canada, American Airlines, Delta Air  Lines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and United Airlines colluded to restrict capacity and maintain higher fares for Canadian citizens traveling in the United States and for travel between the United States and Canada. Similar lawsuits were filed in Ontario, Quebec and Saskatchewan. The time for the Company to respond to the complaints has not yet expired. The Company intends to vigorously defend these civil cases in Canada.</w:t>
      </w:r>
    </w:p>
    <w:p>
      <w:pPr>
        <w:pStyle w:val="BodyText"/>
        <w:spacing w:before="1"/>
      </w:pPr>
    </w:p>
    <w:p>
      <w:pPr>
        <w:pStyle w:val="BodyText"/>
        <w:spacing w:line="247" w:lineRule="auto"/>
        <w:ind w:left="120" w:right="118"/>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before="1"/>
      </w:pPr>
    </w:p>
    <w:p>
      <w:pPr>
        <w:pStyle w:val="BodyText"/>
        <w:spacing w:line="247" w:lineRule="auto"/>
        <w:ind w:left="120" w:right="118"/>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spacing w:before="1"/>
        <w:rPr>
          <w:sz w:val="33"/>
        </w:rPr>
      </w:pPr>
    </w:p>
    <w:p>
      <w:pPr>
        <w:tabs>
          <w:tab w:pos="1549" w:val="left" w:leader="none"/>
        </w:tabs>
        <w:spacing w:before="0"/>
        <w:ind w:left="120" w:right="0" w:firstLine="0"/>
        <w:jc w:val="both"/>
        <w:rPr>
          <w:b/>
          <w:i/>
          <w:sz w:val="22"/>
        </w:rPr>
      </w:pPr>
      <w:bookmarkStart w:name="Item 4. Mine Safety Disclosures " w:id="7"/>
      <w:bookmarkEnd w:id="7"/>
      <w:r>
        <w:rPr/>
      </w:r>
      <w:r>
        <w:rPr>
          <w:b/>
          <w:color w:val="231F20"/>
          <w:sz w:val="22"/>
        </w:rPr>
        <w:t>Item 4.</w:t>
        <w:tab/>
      </w:r>
      <w:r>
        <w:rPr>
          <w:b/>
          <w:i/>
          <w:color w:val="231F20"/>
          <w:sz w:val="22"/>
        </w:rPr>
        <w:t>Mine Safety</w:t>
      </w:r>
      <w:r>
        <w:rPr>
          <w:b/>
          <w:i/>
          <w:color w:val="231F20"/>
          <w:spacing w:val="-1"/>
          <w:sz w:val="22"/>
        </w:rPr>
        <w:t> </w:t>
      </w:r>
      <w:r>
        <w:rPr>
          <w:b/>
          <w:i/>
          <w:color w:val="231F20"/>
          <w:sz w:val="22"/>
        </w:rPr>
        <w:t>Disclosures</w:t>
      </w:r>
    </w:p>
    <w:p>
      <w:pPr>
        <w:pStyle w:val="BodyText"/>
        <w:spacing w:before="8"/>
        <w:rPr>
          <w:b/>
          <w:i/>
        </w:rPr>
      </w:pPr>
    </w:p>
    <w:p>
      <w:pPr>
        <w:pStyle w:val="BodyText"/>
        <w:ind w:left="120"/>
        <w:jc w:val="both"/>
      </w:pPr>
      <w:r>
        <w:rPr>
          <w:color w:val="231F20"/>
        </w:rPr>
        <w:t>Not applicable.</w:t>
      </w:r>
    </w:p>
    <w:p>
      <w:pPr>
        <w:pStyle w:val="BodyText"/>
        <w:spacing w:before="8"/>
      </w:pPr>
    </w:p>
    <w:p>
      <w:pPr>
        <w:pStyle w:val="Heading1"/>
        <w:ind w:left="2245"/>
        <w:jc w:val="left"/>
      </w:pPr>
      <w:r>
        <w:rPr>
          <w:color w:val="231F20"/>
        </w:rPr>
        <w:t>EXECUTIVE OFFICERS OF THE REGISTRANT</w:t>
      </w:r>
    </w:p>
    <w:p>
      <w:pPr>
        <w:pStyle w:val="BodyText"/>
        <w:spacing w:before="8"/>
        <w:rPr>
          <w:b/>
        </w:rPr>
      </w:pPr>
    </w:p>
    <w:p>
      <w:pPr>
        <w:pStyle w:val="BodyText"/>
        <w:ind w:left="119"/>
        <w:jc w:val="both"/>
      </w:pPr>
      <w:r>
        <w:rPr>
          <w:color w:val="231F20"/>
        </w:rPr>
        <w:t>The following information regarding the Company’s executive officers is as of February 1, 2016.</w:t>
      </w:r>
    </w:p>
    <w:p>
      <w:pPr>
        <w:pStyle w:val="BodyText"/>
        <w:spacing w:before="2"/>
        <w:rPr>
          <w:sz w:val="1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823"/>
        <w:gridCol w:w="1131"/>
      </w:tblGrid>
      <w:tr>
        <w:trPr>
          <w:trHeight w:val="256" w:hRule="exact"/>
        </w:trPr>
        <w:tc>
          <w:tcPr>
            <w:tcW w:w="2166" w:type="dxa"/>
            <w:tcBorders>
              <w:bottom w:val="single" w:sz="8" w:space="0" w:color="231F20"/>
            </w:tcBorders>
          </w:tcPr>
          <w:p>
            <w:pPr>
              <w:pStyle w:val="TableParagraph"/>
              <w:spacing w:line="229" w:lineRule="exact" w:before="0"/>
              <w:ind w:left="60"/>
              <w:rPr>
                <w:b/>
                <w:sz w:val="20"/>
              </w:rPr>
            </w:pPr>
            <w:r>
              <w:rPr>
                <w:b/>
                <w:color w:val="231F20"/>
                <w:sz w:val="20"/>
              </w:rPr>
              <w:t>Name</w:t>
            </w:r>
          </w:p>
        </w:tc>
        <w:tc>
          <w:tcPr>
            <w:tcW w:w="5823" w:type="dxa"/>
            <w:tcBorders>
              <w:bottom w:val="single" w:sz="8" w:space="0" w:color="231F20"/>
            </w:tcBorders>
          </w:tcPr>
          <w:p>
            <w:pPr>
              <w:pStyle w:val="TableParagraph"/>
              <w:spacing w:line="229" w:lineRule="exact" w:before="0"/>
              <w:ind w:left="199"/>
              <w:rPr>
                <w:b/>
                <w:sz w:val="20"/>
              </w:rPr>
            </w:pPr>
            <w:r>
              <w:rPr>
                <w:b/>
                <w:color w:val="231F20"/>
                <w:sz w:val="20"/>
              </w:rPr>
              <w:t>Position</w:t>
            </w:r>
          </w:p>
        </w:tc>
        <w:tc>
          <w:tcPr>
            <w:tcW w:w="1131" w:type="dxa"/>
            <w:tcBorders>
              <w:bottom w:val="single" w:sz="8" w:space="0" w:color="231F20"/>
            </w:tcBorders>
          </w:tcPr>
          <w:p>
            <w:pPr>
              <w:pStyle w:val="TableParagraph"/>
              <w:spacing w:line="229" w:lineRule="exact"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D1D3D4"/>
          </w:tcPr>
          <w:p>
            <w:pPr>
              <w:pStyle w:val="TableParagraph"/>
              <w:ind w:left="60"/>
              <w:rPr>
                <w:sz w:val="20"/>
              </w:rPr>
            </w:pPr>
            <w:r>
              <w:rPr>
                <w:color w:val="231F20"/>
                <w:sz w:val="20"/>
              </w:rPr>
              <w:t>Gary C. Kelly</w:t>
            </w:r>
          </w:p>
        </w:tc>
        <w:tc>
          <w:tcPr>
            <w:tcW w:w="5823" w:type="dxa"/>
            <w:tcBorders>
              <w:top w:val="single" w:sz="8" w:space="0" w:color="231F20"/>
            </w:tcBorders>
            <w:shd w:val="clear" w:color="auto" w:fill="D1D3D4"/>
          </w:tcPr>
          <w:p>
            <w:pPr>
              <w:pStyle w:val="TableParagraph"/>
              <w:ind w:left="199"/>
              <w:rPr>
                <w:sz w:val="20"/>
              </w:rPr>
            </w:pPr>
            <w:r>
              <w:rPr>
                <w:color w:val="231F20"/>
                <w:sz w:val="20"/>
              </w:rPr>
              <w:t>Chairman of the Board, President, &amp; Chief Executive Officer</w:t>
            </w:r>
          </w:p>
        </w:tc>
        <w:tc>
          <w:tcPr>
            <w:tcW w:w="1131" w:type="dxa"/>
            <w:tcBorders>
              <w:top w:val="single" w:sz="8" w:space="0" w:color="231F20"/>
            </w:tcBorders>
            <w:shd w:val="clear" w:color="auto" w:fill="D1D3D4"/>
          </w:tcPr>
          <w:p>
            <w:pPr>
              <w:pStyle w:val="TableParagraph"/>
              <w:ind w:right="337"/>
              <w:jc w:val="right"/>
              <w:rPr>
                <w:sz w:val="20"/>
              </w:rPr>
            </w:pPr>
            <w:r>
              <w:rPr>
                <w:color w:val="231F20"/>
                <w:sz w:val="20"/>
              </w:rPr>
              <w:t>60</w:t>
            </w:r>
          </w:p>
        </w:tc>
      </w:tr>
      <w:tr>
        <w:trPr>
          <w:trHeight w:val="320" w:hRule="exact"/>
        </w:trPr>
        <w:tc>
          <w:tcPr>
            <w:tcW w:w="2166" w:type="dxa"/>
          </w:tcPr>
          <w:p>
            <w:pPr>
              <w:pStyle w:val="TableParagraph"/>
              <w:ind w:left="60"/>
              <w:rPr>
                <w:sz w:val="20"/>
              </w:rPr>
            </w:pPr>
            <w:r>
              <w:rPr>
                <w:color w:val="231F20"/>
                <w:sz w:val="20"/>
              </w:rPr>
              <w:t>Robert E. Jordan</w:t>
            </w:r>
          </w:p>
        </w:tc>
        <w:tc>
          <w:tcPr>
            <w:tcW w:w="5823" w:type="dxa"/>
          </w:tcPr>
          <w:p>
            <w:pPr>
              <w:pStyle w:val="TableParagraph"/>
              <w:ind w:left="199"/>
              <w:rPr>
                <w:sz w:val="20"/>
              </w:rPr>
            </w:pPr>
            <w:r>
              <w:rPr>
                <w:color w:val="231F20"/>
                <w:sz w:val="20"/>
              </w:rPr>
              <w:t>Executive Vice President &amp; Chief Commercial Officer</w:t>
            </w:r>
          </w:p>
        </w:tc>
        <w:tc>
          <w:tcPr>
            <w:tcW w:w="1131" w:type="dxa"/>
          </w:tcPr>
          <w:p>
            <w:pPr>
              <w:pStyle w:val="TableParagraph"/>
              <w:ind w:right="337"/>
              <w:jc w:val="right"/>
              <w:rPr>
                <w:sz w:val="20"/>
              </w:rPr>
            </w:pPr>
            <w:r>
              <w:rPr>
                <w:color w:val="231F20"/>
                <w:sz w:val="20"/>
              </w:rPr>
              <w:t>55</w:t>
            </w:r>
          </w:p>
        </w:tc>
      </w:tr>
      <w:tr>
        <w:trPr>
          <w:trHeight w:val="320" w:hRule="exact"/>
        </w:trPr>
        <w:tc>
          <w:tcPr>
            <w:tcW w:w="2166" w:type="dxa"/>
            <w:shd w:val="clear" w:color="auto" w:fill="D1D3D4"/>
          </w:tcPr>
          <w:p>
            <w:pPr>
              <w:pStyle w:val="TableParagraph"/>
              <w:ind w:left="60"/>
              <w:rPr>
                <w:sz w:val="20"/>
              </w:rPr>
            </w:pPr>
            <w:r>
              <w:rPr>
                <w:color w:val="231F20"/>
                <w:sz w:val="20"/>
              </w:rPr>
              <w:t>Jeff Lamb</w:t>
            </w:r>
          </w:p>
        </w:tc>
        <w:tc>
          <w:tcPr>
            <w:tcW w:w="5823" w:type="dxa"/>
            <w:shd w:val="clear" w:color="auto" w:fill="D1D3D4"/>
          </w:tcPr>
          <w:p>
            <w:pPr>
              <w:pStyle w:val="TableParagraph"/>
              <w:ind w:left="199"/>
              <w:rPr>
                <w:sz w:val="20"/>
              </w:rPr>
            </w:pPr>
            <w:r>
              <w:rPr>
                <w:color w:val="231F20"/>
                <w:sz w:val="20"/>
              </w:rPr>
              <w:t>Executive Vice President Corporate Services</w:t>
            </w:r>
          </w:p>
        </w:tc>
        <w:tc>
          <w:tcPr>
            <w:tcW w:w="1131" w:type="dxa"/>
            <w:shd w:val="clear" w:color="auto" w:fill="D1D3D4"/>
          </w:tcPr>
          <w:p>
            <w:pPr>
              <w:pStyle w:val="TableParagraph"/>
              <w:ind w:right="337"/>
              <w:jc w:val="right"/>
              <w:rPr>
                <w:sz w:val="20"/>
              </w:rPr>
            </w:pPr>
            <w:r>
              <w:rPr>
                <w:color w:val="231F20"/>
                <w:sz w:val="20"/>
              </w:rPr>
              <w:t>53</w:t>
            </w:r>
          </w:p>
        </w:tc>
      </w:tr>
      <w:tr>
        <w:trPr>
          <w:trHeight w:val="320" w:hRule="exact"/>
        </w:trPr>
        <w:tc>
          <w:tcPr>
            <w:tcW w:w="2166" w:type="dxa"/>
          </w:tcPr>
          <w:p>
            <w:pPr>
              <w:pStyle w:val="TableParagraph"/>
              <w:ind w:left="60"/>
              <w:rPr>
                <w:sz w:val="20"/>
              </w:rPr>
            </w:pPr>
            <w:r>
              <w:rPr>
                <w:color w:val="231F20"/>
                <w:sz w:val="20"/>
              </w:rPr>
              <w:t>Thomas M. Nealon</w:t>
            </w:r>
          </w:p>
        </w:tc>
        <w:tc>
          <w:tcPr>
            <w:tcW w:w="5823" w:type="dxa"/>
          </w:tcPr>
          <w:p>
            <w:pPr>
              <w:pStyle w:val="TableParagraph"/>
              <w:ind w:left="199"/>
              <w:rPr>
                <w:sz w:val="20"/>
              </w:rPr>
            </w:pPr>
            <w:r>
              <w:rPr>
                <w:color w:val="231F20"/>
                <w:sz w:val="20"/>
              </w:rPr>
              <w:t>Executive Vice President Strategy &amp; Innovation</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Tammy Romo</w:t>
            </w:r>
          </w:p>
        </w:tc>
        <w:tc>
          <w:tcPr>
            <w:tcW w:w="5823" w:type="dxa"/>
            <w:shd w:val="clear" w:color="auto" w:fill="D1D3D4"/>
          </w:tcPr>
          <w:p>
            <w:pPr>
              <w:pStyle w:val="TableParagraph"/>
              <w:ind w:left="199"/>
              <w:rPr>
                <w:sz w:val="20"/>
              </w:rPr>
            </w:pPr>
            <w:r>
              <w:rPr>
                <w:color w:val="231F20"/>
                <w:sz w:val="20"/>
              </w:rPr>
              <w:t>Executive Vice President &amp; Chief Financial Officer</w:t>
            </w:r>
          </w:p>
        </w:tc>
        <w:tc>
          <w:tcPr>
            <w:tcW w:w="1131" w:type="dxa"/>
            <w:shd w:val="clear" w:color="auto" w:fill="D1D3D4"/>
          </w:tcPr>
          <w:p>
            <w:pPr>
              <w:pStyle w:val="TableParagraph"/>
              <w:ind w:right="337"/>
              <w:jc w:val="right"/>
              <w:rPr>
                <w:sz w:val="20"/>
              </w:rPr>
            </w:pPr>
            <w:r>
              <w:rPr>
                <w:color w:val="231F20"/>
                <w:sz w:val="20"/>
              </w:rPr>
              <w:t>53</w:t>
            </w:r>
          </w:p>
        </w:tc>
      </w:tr>
      <w:tr>
        <w:trPr>
          <w:trHeight w:val="320" w:hRule="exact"/>
        </w:trPr>
        <w:tc>
          <w:tcPr>
            <w:tcW w:w="2166" w:type="dxa"/>
          </w:tcPr>
          <w:p>
            <w:pPr>
              <w:pStyle w:val="TableParagraph"/>
              <w:ind w:left="60"/>
              <w:rPr>
                <w:sz w:val="20"/>
              </w:rPr>
            </w:pPr>
            <w:r>
              <w:rPr>
                <w:color w:val="231F20"/>
                <w:sz w:val="20"/>
              </w:rPr>
              <w:t>Michael G. Van de Ven</w:t>
            </w:r>
          </w:p>
        </w:tc>
        <w:tc>
          <w:tcPr>
            <w:tcW w:w="5823" w:type="dxa"/>
          </w:tcPr>
          <w:p>
            <w:pPr>
              <w:pStyle w:val="TableParagraph"/>
              <w:ind w:left="199"/>
              <w:rPr>
                <w:sz w:val="20"/>
              </w:rPr>
            </w:pPr>
            <w:r>
              <w:rPr>
                <w:color w:val="231F20"/>
                <w:sz w:val="20"/>
              </w:rPr>
              <w:t>Executive Vice President &amp; Chief Operating Officer</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Mark R. Shaw</w:t>
            </w:r>
          </w:p>
        </w:tc>
        <w:tc>
          <w:tcPr>
            <w:tcW w:w="5823" w:type="dxa"/>
            <w:shd w:val="clear" w:color="auto" w:fill="D1D3D4"/>
          </w:tcPr>
          <w:p>
            <w:pPr>
              <w:pStyle w:val="TableParagraph"/>
              <w:ind w:left="199"/>
              <w:rPr>
                <w:sz w:val="20"/>
              </w:rPr>
            </w:pPr>
            <w:r>
              <w:rPr>
                <w:color w:val="231F20"/>
                <w:sz w:val="20"/>
              </w:rPr>
              <w:t>Senior Vice President, General Counsel, &amp; Corporate Secretary</w:t>
            </w:r>
          </w:p>
        </w:tc>
        <w:tc>
          <w:tcPr>
            <w:tcW w:w="1131" w:type="dxa"/>
            <w:shd w:val="clear" w:color="auto" w:fill="D1D3D4"/>
          </w:tcPr>
          <w:p>
            <w:pPr>
              <w:pStyle w:val="TableParagraph"/>
              <w:ind w:right="337"/>
              <w:jc w:val="right"/>
              <w:rPr>
                <w:sz w:val="20"/>
              </w:rPr>
            </w:pPr>
            <w:r>
              <w:rPr>
                <w:color w:val="231F20"/>
                <w:sz w:val="20"/>
              </w:rPr>
              <w:t>53</w:t>
            </w:r>
          </w:p>
        </w:tc>
      </w:tr>
    </w:tbl>
    <w:p>
      <w:pPr>
        <w:pStyle w:val="BodyText"/>
        <w:spacing w:before="10"/>
        <w:rPr>
          <w:sz w:val="26"/>
        </w:rPr>
      </w:pPr>
    </w:p>
    <w:p>
      <w:pPr>
        <w:pStyle w:val="BodyText"/>
        <w:ind w:left="120"/>
        <w:jc w:val="both"/>
      </w:pPr>
      <w:r>
        <w:rPr>
          <w:color w:val="231F20"/>
        </w:rPr>
        <w:t>Set forth below is a description of the background of each of the Company’s executive officers.</w:t>
      </w:r>
    </w:p>
    <w:p>
      <w:pPr>
        <w:pStyle w:val="BodyText"/>
        <w:spacing w:before="8"/>
      </w:pPr>
    </w:p>
    <w:p>
      <w:pPr>
        <w:pStyle w:val="BodyText"/>
        <w:spacing w:line="247" w:lineRule="auto"/>
        <w:ind w:left="120" w:right="117"/>
        <w:jc w:val="both"/>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 Controller.</w:t>
      </w:r>
    </w:p>
    <w:p>
      <w:pPr>
        <w:pStyle w:val="BodyText"/>
        <w:spacing w:before="1"/>
      </w:pPr>
    </w:p>
    <w:p>
      <w:pPr>
        <w:pStyle w:val="BodyText"/>
        <w:spacing w:line="247" w:lineRule="auto"/>
        <w:ind w:left="120" w:right="117"/>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i/>
          <w:color w:val="231F20"/>
        </w:rPr>
        <w:t>Jeff Lamb </w:t>
      </w:r>
      <w:r>
        <w:rPr>
          <w:color w:val="231F20"/>
        </w:rPr>
        <w:t>has served as the Company’s Executive Vice President Corporate Services since July 2015. Mr. Lamb also served as Executive Vice President &amp; Chief People &amp; Administrative Officer from September 2011 to July 2015,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1"/>
        </w:rPr>
        <w:t> </w:t>
      </w:r>
      <w:r>
        <w:rPr>
          <w:color w:val="231F20"/>
        </w:rPr>
        <w:t>2006.</w:t>
      </w:r>
    </w:p>
    <w:p>
      <w:pPr>
        <w:pStyle w:val="BodyText"/>
        <w:spacing w:before="9"/>
        <w:rPr>
          <w:sz w:val="20"/>
        </w:rPr>
      </w:pPr>
    </w:p>
    <w:p>
      <w:pPr>
        <w:pStyle w:val="BodyText"/>
        <w:spacing w:line="247" w:lineRule="auto"/>
        <w:ind w:left="100" w:right="117"/>
        <w:jc w:val="both"/>
      </w:pPr>
      <w:r>
        <w:rPr>
          <w:i/>
          <w:color w:val="231F20"/>
        </w:rPr>
        <w:t>Thomas M. Nealon </w:t>
      </w:r>
      <w:r>
        <w:rPr>
          <w:color w:val="231F20"/>
        </w:rPr>
        <w:t>has served as the Company’s Executive Vice President Strategy &amp; Innovation since January 2016. Prior to becoming an executive officer of the Company, Mr. Nealon served on the Company’s Board of Directors from December 2010 until November 2015. Mr. Nealon has also served as Group Executive Vice President of J.C. Penney Company, Inc., a retail company, from August 2010 until December 2011. In this role Mr. Nealon was responsible for Strategy, jcp.com, Information Technology, Customer Insights, and Digital Ventures. Mr. Nealon also served as J.C. Penney’s Executive Vice President &amp; Chief Information Officer from September 2006 until August 2010. Prior to joining J.C. Penney, Mr. Nealon was a partner with The Feld Group, a provider of information technology consulting services, where he served in a consultant capacity as Senior Vice President &amp; Chief Information Officer for the Company from 2002 to 2006. Mr. Nealon also served as Chief Information Officer for Frito-Lay, a division of PepsiCo, Inc., from 1996 to 2000, and in various software engineering, systems engineering, and management positions for Frito-Lay from 1983 to  1996.</w:t>
      </w:r>
    </w:p>
    <w:p>
      <w:pPr>
        <w:pStyle w:val="BodyText"/>
        <w:spacing w:before="9"/>
        <w:rPr>
          <w:sz w:val="20"/>
        </w:rPr>
      </w:pPr>
    </w:p>
    <w:p>
      <w:pPr>
        <w:pStyle w:val="BodyText"/>
        <w:spacing w:line="247" w:lineRule="auto"/>
        <w:ind w:left="100" w:right="117"/>
        <w:jc w:val="both"/>
      </w:pPr>
      <w:r>
        <w:rPr>
          <w:i/>
          <w:color w:val="231F20"/>
        </w:rPr>
        <w:t>Tammy Romo </w:t>
      </w:r>
      <w:r>
        <w:rPr>
          <w:color w:val="231F20"/>
        </w:rPr>
        <w:t>has served as the Company’s Executive Vice President &amp; Chief Financial Officer since July 2015. Ms. Romo also served as Senior Vice President Finance &amp; Chief Financial Officer from September 2012 to July 2015,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pStyle w:val="BodyText"/>
        <w:spacing w:before="9"/>
        <w:rPr>
          <w:sz w:val="20"/>
        </w:rPr>
      </w:pPr>
    </w:p>
    <w:p>
      <w:pPr>
        <w:pStyle w:val="BodyText"/>
        <w:spacing w:line="247" w:lineRule="auto"/>
        <w:ind w:left="100" w:right="117"/>
        <w:jc w:val="both"/>
      </w:pPr>
      <w:r>
        <w:rPr>
          <w:i/>
          <w:color w:val="231F20"/>
        </w:rPr>
        <w:t>Michael G. Van </w:t>
      </w:r>
      <w:r>
        <w:rPr>
          <w:color w:val="231F20"/>
        </w:rPr>
        <w:t>de Ven 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before="9"/>
        <w:rPr>
          <w:sz w:val="20"/>
        </w:rPr>
      </w:pPr>
    </w:p>
    <w:p>
      <w:pPr>
        <w:pStyle w:val="BodyText"/>
        <w:spacing w:line="247" w:lineRule="auto"/>
        <w:ind w:left="100" w:right="118"/>
        <w:jc w:val="both"/>
      </w:pPr>
      <w:r>
        <w:rPr>
          <w:i/>
          <w:color w:val="231F20"/>
        </w:rPr>
        <w:t>Mark R. Shaw </w:t>
      </w:r>
      <w:r>
        <w:rPr>
          <w:color w:val="231F20"/>
        </w:rPr>
        <w:t>has served as the Company’s Senior Vice President, General Counsel, &amp; Corporate Secretary since July 2015. Mr. Shaw also served as Vice President, General Counsel, &amp; Corporate Secretary from February 2013 to July 2015 and as Associate General Counsel—Corporate and Transactions from February 2008 to February 2013. Mr. Shaw joined the Company in 2000 as an Attorney in the General Counsel Department.</w:t>
      </w:r>
    </w:p>
    <w:p>
      <w:pPr>
        <w:spacing w:after="0" w:line="247" w:lineRule="auto"/>
        <w:jc w:val="both"/>
        <w:sectPr>
          <w:pgSz w:w="11880" w:h="15480"/>
          <w:pgMar w:header="0" w:footer="1240" w:top="1240" w:bottom="1420" w:left="1280" w:right="1260"/>
        </w:sectPr>
      </w:pPr>
    </w:p>
    <w:p>
      <w:pPr>
        <w:pStyle w:val="Heading1"/>
        <w:spacing w:before="74"/>
        <w:ind w:left="160" w:right="178"/>
        <w:jc w:val="center"/>
      </w:pPr>
      <w:bookmarkStart w:name="PART II " w:id="8"/>
      <w:bookmarkEnd w:id="8"/>
      <w:r>
        <w:rPr>
          <w:b w:val="0"/>
        </w:rPr>
      </w:r>
      <w:r>
        <w:rPr>
          <w:color w:val="231F20"/>
        </w:rPr>
        <w:t>PART II</w:t>
      </w:r>
    </w:p>
    <w:p>
      <w:pPr>
        <w:pStyle w:val="BodyText"/>
        <w:spacing w:before="9"/>
        <w:rPr>
          <w:b/>
          <w:sz w:val="31"/>
        </w:rPr>
      </w:pPr>
    </w:p>
    <w:p>
      <w:pPr>
        <w:pStyle w:val="Heading2"/>
        <w:tabs>
          <w:tab w:pos="1474" w:val="left" w:leader="none"/>
        </w:tabs>
        <w:spacing w:line="247" w:lineRule="auto" w:before="1"/>
        <w:ind w:left="100" w:right="421"/>
      </w:pPr>
      <w:bookmarkStart w:name="Item 5. Market for Registrant's Common E" w:id="9"/>
      <w:bookmarkEnd w:id="9"/>
      <w:r>
        <w:rPr>
          <w:b w:val="0"/>
          <w:i w:val="0"/>
        </w:rPr>
      </w: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00" w:right="118"/>
        <w:jc w:val="both"/>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2" w:after="1"/>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Borders>
              <w:bottom w:val="single" w:sz="8" w:space="0" w:color="231F20"/>
            </w:tcBorders>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tcBorders>
              <w:top w:val="single" w:sz="8" w:space="0" w:color="231F20"/>
            </w:tcBorders>
            <w:shd w:val="clear" w:color="auto" w:fill="D1D3D4"/>
          </w:tcPr>
          <w:p>
            <w:pPr>
              <w:pStyle w:val="TableParagraph"/>
              <w:ind w:left="160"/>
              <w:rPr>
                <w:b/>
                <w:sz w:val="20"/>
              </w:rPr>
            </w:pPr>
            <w:r>
              <w:rPr>
                <w:b/>
                <w:color w:val="231F20"/>
                <w:sz w:val="20"/>
              </w:rPr>
              <w:t>2015</w:t>
            </w:r>
          </w:p>
        </w:tc>
        <w:tc>
          <w:tcPr>
            <w:tcW w:w="100" w:type="dxa"/>
            <w:shd w:val="clear" w:color="auto" w:fill="D1D3D4"/>
          </w:tcPr>
          <w:p>
            <w:pPr/>
          </w:p>
        </w:tc>
        <w:tc>
          <w:tcPr>
            <w:tcW w:w="1430" w:type="dxa"/>
            <w:tcBorders>
              <w:top w:val="single" w:sz="8" w:space="0" w:color="231F20"/>
            </w:tcBorders>
            <w:shd w:val="clear" w:color="auto" w:fill="D1D3D4"/>
          </w:tcPr>
          <w:p>
            <w:pPr/>
          </w:p>
        </w:tc>
        <w:tc>
          <w:tcPr>
            <w:tcW w:w="1480" w:type="dxa"/>
            <w:tcBorders>
              <w:top w:val="single" w:sz="8" w:space="0" w:color="231F20"/>
            </w:tcBorders>
            <w:shd w:val="clear" w:color="auto" w:fill="D1D3D4"/>
          </w:tcPr>
          <w:p>
            <w:pPr/>
          </w:p>
        </w:tc>
        <w:tc>
          <w:tcPr>
            <w:tcW w:w="1430" w:type="dxa"/>
            <w:tcBorders>
              <w:top w:val="single" w:sz="8" w:space="0" w:color="231F20"/>
            </w:tcBorders>
            <w:shd w:val="clear" w:color="auto" w:fill="D1D3D4"/>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0.06000</w:t>
            </w:r>
          </w:p>
        </w:tc>
        <w:tc>
          <w:tcPr>
            <w:tcW w:w="1480" w:type="dxa"/>
          </w:tcPr>
          <w:p>
            <w:pPr>
              <w:pStyle w:val="TableParagraph"/>
              <w:tabs>
                <w:tab w:pos="929" w:val="left" w:leader="none"/>
              </w:tabs>
              <w:ind w:right="48"/>
              <w:jc w:val="right"/>
              <w:rPr>
                <w:sz w:val="20"/>
              </w:rPr>
            </w:pPr>
            <w:r>
              <w:rPr>
                <w:color w:val="231F20"/>
                <w:sz w:val="20"/>
              </w:rPr>
              <w:t>$</w:t>
              <w:tab/>
              <w:t>47.17</w:t>
            </w:r>
          </w:p>
        </w:tc>
        <w:tc>
          <w:tcPr>
            <w:tcW w:w="1430" w:type="dxa"/>
          </w:tcPr>
          <w:p>
            <w:pPr>
              <w:pStyle w:val="TableParagraph"/>
              <w:tabs>
                <w:tab w:pos="849" w:val="left" w:leader="none"/>
              </w:tabs>
              <w:ind w:right="79"/>
              <w:jc w:val="right"/>
              <w:rPr>
                <w:sz w:val="20"/>
              </w:rPr>
            </w:pPr>
            <w:r>
              <w:rPr>
                <w:color w:val="231F20"/>
                <w:sz w:val="20"/>
              </w:rPr>
              <w:t>$</w:t>
              <w:tab/>
              <w:t>38.26</w:t>
            </w:r>
          </w:p>
        </w:tc>
      </w:tr>
      <w:tr>
        <w:trPr>
          <w:trHeight w:val="320" w:hRule="exact"/>
        </w:trPr>
        <w:tc>
          <w:tcPr>
            <w:tcW w:w="4680" w:type="dxa"/>
            <w:shd w:val="clear" w:color="auto" w:fill="D1D3D4"/>
          </w:tcPr>
          <w:p>
            <w:pPr>
              <w:pStyle w:val="TableParagraph"/>
              <w:ind w:right="3257"/>
              <w:jc w:val="right"/>
              <w:rPr>
                <w:sz w:val="20"/>
              </w:rPr>
            </w:pPr>
            <w:r>
              <w:rPr>
                <w:color w:val="231F20"/>
                <w:sz w:val="20"/>
              </w:rPr>
              <w:t>2nd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44.19</w:t>
            </w:r>
          </w:p>
        </w:tc>
        <w:tc>
          <w:tcPr>
            <w:tcW w:w="1430" w:type="dxa"/>
            <w:shd w:val="clear" w:color="auto" w:fill="D1D3D4"/>
          </w:tcPr>
          <w:p>
            <w:pPr>
              <w:pStyle w:val="TableParagraph"/>
              <w:ind w:right="79"/>
              <w:jc w:val="right"/>
              <w:rPr>
                <w:sz w:val="20"/>
              </w:rPr>
            </w:pPr>
            <w:r>
              <w:rPr>
                <w:color w:val="231F20"/>
                <w:sz w:val="20"/>
              </w:rPr>
              <w:t>33.02</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0.07500</w:t>
            </w:r>
          </w:p>
        </w:tc>
        <w:tc>
          <w:tcPr>
            <w:tcW w:w="1480" w:type="dxa"/>
          </w:tcPr>
          <w:p>
            <w:pPr>
              <w:pStyle w:val="TableParagraph"/>
              <w:ind w:right="48"/>
              <w:jc w:val="right"/>
              <w:rPr>
                <w:sz w:val="20"/>
              </w:rPr>
            </w:pPr>
            <w:r>
              <w:rPr>
                <w:color w:val="231F20"/>
                <w:sz w:val="20"/>
              </w:rPr>
              <w:t>40.87</w:t>
            </w:r>
          </w:p>
        </w:tc>
        <w:tc>
          <w:tcPr>
            <w:tcW w:w="1430" w:type="dxa"/>
          </w:tcPr>
          <w:p>
            <w:pPr>
              <w:pStyle w:val="TableParagraph"/>
              <w:ind w:right="79"/>
              <w:jc w:val="right"/>
              <w:rPr>
                <w:sz w:val="20"/>
              </w:rPr>
            </w:pPr>
            <w:r>
              <w:rPr>
                <w:color w:val="231F20"/>
                <w:sz w:val="20"/>
              </w:rPr>
              <w:t>31.36</w:t>
            </w:r>
          </w:p>
        </w:tc>
      </w:tr>
      <w:tr>
        <w:trPr>
          <w:trHeight w:val="320" w:hRule="exact"/>
        </w:trPr>
        <w:tc>
          <w:tcPr>
            <w:tcW w:w="4680" w:type="dxa"/>
            <w:shd w:val="clear" w:color="auto" w:fill="D1D3D4"/>
          </w:tcPr>
          <w:p>
            <w:pPr>
              <w:pStyle w:val="TableParagraph"/>
              <w:ind w:left="460"/>
              <w:rPr>
                <w:sz w:val="20"/>
              </w:rPr>
            </w:pPr>
            <w:r>
              <w:rPr>
                <w:color w:val="231F20"/>
                <w:sz w:val="20"/>
              </w:rPr>
              <w:t>4th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51.34</w:t>
            </w:r>
          </w:p>
        </w:tc>
        <w:tc>
          <w:tcPr>
            <w:tcW w:w="1430" w:type="dxa"/>
            <w:shd w:val="clear" w:color="auto" w:fill="D1D3D4"/>
          </w:tcPr>
          <w:p>
            <w:pPr>
              <w:pStyle w:val="TableParagraph"/>
              <w:ind w:right="79"/>
              <w:jc w:val="right"/>
              <w:rPr>
                <w:sz w:val="20"/>
              </w:rPr>
            </w:pPr>
            <w:r>
              <w:rPr>
                <w:color w:val="231F20"/>
                <w:sz w:val="20"/>
              </w:rPr>
              <w:t>37.00</w:t>
            </w:r>
          </w:p>
        </w:tc>
      </w:tr>
      <w:tr>
        <w:trPr>
          <w:trHeight w:val="320" w:hRule="exact"/>
        </w:trPr>
        <w:tc>
          <w:tcPr>
            <w:tcW w:w="4680" w:type="dxa"/>
          </w:tcPr>
          <w:p>
            <w:pPr>
              <w:pStyle w:val="TableParagraph"/>
              <w:ind w:left="160"/>
              <w:rPr>
                <w:b/>
                <w:sz w:val="20"/>
              </w:rPr>
            </w:pPr>
            <w:r>
              <w:rPr>
                <w:b/>
                <w:color w:val="231F20"/>
                <w:sz w:val="20"/>
              </w:rPr>
              <w:t>2014</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D1D3D4"/>
          </w:tcPr>
          <w:p>
            <w:pPr>
              <w:pStyle w:val="TableParagraph"/>
              <w:ind w:left="460"/>
              <w:rPr>
                <w:sz w:val="20"/>
              </w:rPr>
            </w:pPr>
            <w:r>
              <w:rPr>
                <w:color w:val="231F20"/>
                <w:sz w:val="20"/>
              </w:rPr>
              <w:t>1st Quarter</w:t>
            </w:r>
          </w:p>
        </w:tc>
        <w:tc>
          <w:tcPr>
            <w:tcW w:w="1530" w:type="dxa"/>
            <w:gridSpan w:val="2"/>
            <w:shd w:val="clear" w:color="auto" w:fill="D1D3D4"/>
          </w:tcPr>
          <w:p>
            <w:pPr>
              <w:pStyle w:val="TableParagraph"/>
              <w:tabs>
                <w:tab w:pos="829" w:val="left" w:leader="none"/>
              </w:tabs>
              <w:ind w:left="100"/>
              <w:rPr>
                <w:sz w:val="20"/>
              </w:rPr>
            </w:pPr>
            <w:r>
              <w:rPr>
                <w:color w:val="231F20"/>
                <w:sz w:val="20"/>
              </w:rPr>
              <w:t>$</w:t>
              <w:tab/>
              <w:t>0.04000</w:t>
            </w:r>
          </w:p>
        </w:tc>
        <w:tc>
          <w:tcPr>
            <w:tcW w:w="1480" w:type="dxa"/>
            <w:shd w:val="clear" w:color="auto" w:fill="D1D3D4"/>
          </w:tcPr>
          <w:p>
            <w:pPr>
              <w:pStyle w:val="TableParagraph"/>
              <w:tabs>
                <w:tab w:pos="929" w:val="left" w:leader="none"/>
              </w:tabs>
              <w:ind w:right="48"/>
              <w:jc w:val="right"/>
              <w:rPr>
                <w:sz w:val="20"/>
              </w:rPr>
            </w:pPr>
            <w:r>
              <w:rPr>
                <w:color w:val="231F20"/>
                <w:sz w:val="20"/>
              </w:rPr>
              <w:t>$</w:t>
              <w:tab/>
              <w:t>24.17</w:t>
            </w:r>
          </w:p>
        </w:tc>
        <w:tc>
          <w:tcPr>
            <w:tcW w:w="1430" w:type="dxa"/>
            <w:shd w:val="clear" w:color="auto" w:fill="D1D3D4"/>
          </w:tcPr>
          <w:p>
            <w:pPr>
              <w:pStyle w:val="TableParagraph"/>
              <w:tabs>
                <w:tab w:pos="849" w:val="left" w:leader="none"/>
              </w:tabs>
              <w:ind w:right="79"/>
              <w:jc w:val="right"/>
              <w:rPr>
                <w:sz w:val="20"/>
              </w:rPr>
            </w:pPr>
            <w:r>
              <w:rPr>
                <w:color w:val="231F20"/>
                <w:sz w:val="20"/>
              </w:rPr>
              <w:t>$</w:t>
              <w:tab/>
              <w:t>18.78</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0.06000</w:t>
            </w:r>
          </w:p>
        </w:tc>
        <w:tc>
          <w:tcPr>
            <w:tcW w:w="1480" w:type="dxa"/>
          </w:tcPr>
          <w:p>
            <w:pPr>
              <w:pStyle w:val="TableParagraph"/>
              <w:ind w:right="48"/>
              <w:jc w:val="right"/>
              <w:rPr>
                <w:sz w:val="20"/>
              </w:rPr>
            </w:pPr>
            <w:r>
              <w:rPr>
                <w:color w:val="231F20"/>
                <w:sz w:val="20"/>
              </w:rPr>
              <w:t>27.70</w:t>
            </w:r>
          </w:p>
        </w:tc>
        <w:tc>
          <w:tcPr>
            <w:tcW w:w="1430" w:type="dxa"/>
          </w:tcPr>
          <w:p>
            <w:pPr>
              <w:pStyle w:val="TableParagraph"/>
              <w:ind w:right="79"/>
              <w:jc w:val="right"/>
              <w:rPr>
                <w:sz w:val="20"/>
              </w:rPr>
            </w:pPr>
            <w:r>
              <w:rPr>
                <w:color w:val="231F20"/>
                <w:sz w:val="20"/>
              </w:rPr>
              <w:t>22.35</w:t>
            </w:r>
          </w:p>
        </w:tc>
      </w:tr>
      <w:tr>
        <w:trPr>
          <w:trHeight w:val="320" w:hRule="exact"/>
        </w:trPr>
        <w:tc>
          <w:tcPr>
            <w:tcW w:w="4680" w:type="dxa"/>
            <w:shd w:val="clear" w:color="auto" w:fill="D1D3D4"/>
          </w:tcPr>
          <w:p>
            <w:pPr>
              <w:pStyle w:val="TableParagraph"/>
              <w:ind w:left="460"/>
              <w:rPr>
                <w:sz w:val="20"/>
              </w:rPr>
            </w:pPr>
            <w:r>
              <w:rPr>
                <w:color w:val="231F20"/>
                <w:sz w:val="20"/>
              </w:rPr>
              <w:t>3rd Quarter</w:t>
            </w:r>
          </w:p>
        </w:tc>
        <w:tc>
          <w:tcPr>
            <w:tcW w:w="1530" w:type="dxa"/>
            <w:gridSpan w:val="2"/>
            <w:shd w:val="clear" w:color="auto" w:fill="D1D3D4"/>
          </w:tcPr>
          <w:p>
            <w:pPr>
              <w:pStyle w:val="TableParagraph"/>
              <w:ind w:left="830"/>
              <w:rPr>
                <w:sz w:val="20"/>
              </w:rPr>
            </w:pPr>
            <w:r>
              <w:rPr>
                <w:color w:val="231F20"/>
                <w:sz w:val="20"/>
              </w:rPr>
              <w:t>0.06000</w:t>
            </w:r>
          </w:p>
        </w:tc>
        <w:tc>
          <w:tcPr>
            <w:tcW w:w="1480" w:type="dxa"/>
            <w:shd w:val="clear" w:color="auto" w:fill="D1D3D4"/>
          </w:tcPr>
          <w:p>
            <w:pPr>
              <w:pStyle w:val="TableParagraph"/>
              <w:ind w:right="48"/>
              <w:jc w:val="right"/>
              <w:rPr>
                <w:sz w:val="20"/>
              </w:rPr>
            </w:pPr>
            <w:r>
              <w:rPr>
                <w:color w:val="231F20"/>
                <w:sz w:val="20"/>
              </w:rPr>
              <w:t>35.49</w:t>
            </w:r>
          </w:p>
        </w:tc>
        <w:tc>
          <w:tcPr>
            <w:tcW w:w="1430" w:type="dxa"/>
            <w:shd w:val="clear" w:color="auto" w:fill="D1D3D4"/>
          </w:tcPr>
          <w:p>
            <w:pPr>
              <w:pStyle w:val="TableParagraph"/>
              <w:ind w:right="79"/>
              <w:jc w:val="right"/>
              <w:rPr>
                <w:sz w:val="20"/>
              </w:rPr>
            </w:pPr>
            <w:r>
              <w:rPr>
                <w:color w:val="231F20"/>
                <w:sz w:val="20"/>
              </w:rPr>
              <w:t>25.86</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0.06000</w:t>
            </w:r>
          </w:p>
        </w:tc>
        <w:tc>
          <w:tcPr>
            <w:tcW w:w="1480" w:type="dxa"/>
          </w:tcPr>
          <w:p>
            <w:pPr>
              <w:pStyle w:val="TableParagraph"/>
              <w:ind w:right="48"/>
              <w:jc w:val="right"/>
              <w:rPr>
                <w:sz w:val="20"/>
              </w:rPr>
            </w:pPr>
            <w:r>
              <w:rPr>
                <w:color w:val="231F20"/>
                <w:sz w:val="20"/>
              </w:rPr>
              <w:t>43.19</w:t>
            </w:r>
          </w:p>
        </w:tc>
        <w:tc>
          <w:tcPr>
            <w:tcW w:w="1430" w:type="dxa"/>
          </w:tcPr>
          <w:p>
            <w:pPr>
              <w:pStyle w:val="TableParagraph"/>
              <w:ind w:right="79"/>
              <w:jc w:val="right"/>
              <w:rPr>
                <w:sz w:val="20"/>
              </w:rPr>
            </w:pPr>
            <w:r>
              <w:rPr>
                <w:color w:val="231F20"/>
                <w:sz w:val="20"/>
              </w:rPr>
              <w:t>28.40</w:t>
            </w:r>
          </w:p>
        </w:tc>
      </w:tr>
    </w:tbl>
    <w:p>
      <w:pPr>
        <w:pStyle w:val="BodyText"/>
        <w:spacing w:before="9"/>
        <w:rPr>
          <w:sz w:val="28"/>
        </w:rPr>
      </w:pPr>
    </w:p>
    <w:p>
      <w:pPr>
        <w:pStyle w:val="BodyText"/>
        <w:spacing w:line="247" w:lineRule="auto"/>
        <w:ind w:left="100" w:right="117"/>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29, 2016, there were approximately 13,518 holders of record of the Company’s common</w:t>
      </w:r>
      <w:r>
        <w:rPr>
          <w:color w:val="231F20"/>
          <w:spacing w:val="-2"/>
        </w:rPr>
        <w:t> </w:t>
      </w:r>
      <w:r>
        <w:rPr>
          <w:color w:val="231F20"/>
        </w:rPr>
        <w:t>stock.</w:t>
      </w:r>
    </w:p>
    <w:p>
      <w:pPr>
        <w:spacing w:after="0" w:line="247" w:lineRule="auto"/>
        <w:jc w:val="both"/>
        <w:sectPr>
          <w:pgSz w:w="11880" w:h="15480"/>
          <w:pgMar w:header="0" w:footer="1240" w:top="1240" w:bottom="1420" w:left="1280" w:right="1260"/>
        </w:sectPr>
      </w:pPr>
    </w:p>
    <w:p>
      <w:pPr>
        <w:pStyle w:val="Heading1"/>
        <w:spacing w:before="74"/>
        <w:ind w:left="95" w:right="95"/>
        <w:jc w:val="center"/>
      </w:pPr>
      <w:r>
        <w:rPr>
          <w:color w:val="231F20"/>
        </w:rPr>
        <w:t>Stock Performance Graph</w:t>
      </w:r>
    </w:p>
    <w:p>
      <w:pPr>
        <w:pStyle w:val="BodyText"/>
        <w:spacing w:before="4"/>
        <w:rPr>
          <w:b/>
          <w:sz w:val="21"/>
        </w:rPr>
      </w:pPr>
    </w:p>
    <w:p>
      <w:pPr>
        <w:spacing w:line="247" w:lineRule="auto" w:before="1"/>
        <w:ind w:left="120" w:right="118" w:firstLine="0"/>
        <w:jc w:val="both"/>
        <w:rPr>
          <w:i/>
          <w:sz w:val="22"/>
        </w:rPr>
      </w:pPr>
      <w:r>
        <w:rPr>
          <w:i/>
          <w:color w:val="231F20"/>
          <w:sz w:val="22"/>
        </w:rPr>
        <w:t>The following Performance Graph and related information shall not be deemed “soliciting material” </w:t>
      </w:r>
      <w:r>
        <w:rPr>
          <w:i/>
          <w:color w:val="231F20"/>
          <w:sz w:val="22"/>
        </w:rPr>
        <w:t>or “filed” with the Securities and Exchange Commission, nor shall such information be incorporated by reference into any future filing under the Securities Act of 1933 or Securities Exchange Act of 1934.</w:t>
      </w:r>
    </w:p>
    <w:p>
      <w:pPr>
        <w:pStyle w:val="BodyText"/>
        <w:spacing w:before="9"/>
        <w:rPr>
          <w:i/>
          <w:sz w:val="20"/>
        </w:rPr>
      </w:pPr>
    </w:p>
    <w:p>
      <w:pPr>
        <w:pStyle w:val="BodyText"/>
        <w:spacing w:line="247" w:lineRule="auto"/>
        <w:ind w:left="120" w:right="117"/>
        <w:jc w:val="both"/>
      </w:pPr>
      <w:r>
        <w:rPr>
          <w:color w:val="231F20"/>
        </w:rPr>
        <w:t>The following graph compares the cumulative total shareholder return on the Company’s common stock over the five-year period ended December 31, 2015, with the cumulative total return during such period of the Standard and Poor’s 500 Stock Index and the NYSE ARCA Airline Index. The comparison assumes $100 was invested on December 31, 2010,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spacing w:before="4"/>
      </w:pPr>
    </w:p>
    <w:p>
      <w:pPr>
        <w:spacing w:line="271" w:lineRule="auto" w:before="0"/>
        <w:ind w:left="99" w:right="95" w:firstLine="0"/>
        <w:jc w:val="center"/>
        <w:rPr>
          <w:b/>
          <w:sz w:val="20"/>
        </w:rPr>
      </w:pPr>
      <w:r>
        <w:rPr>
          <w:b/>
          <w:color w:val="231F20"/>
          <w:sz w:val="20"/>
        </w:rPr>
        <w:t>COMPARISON OF FIVE YEAR CUMULATIVE TOTAL RETURN AMONG SOUTHWEST AIRLINES CO., S&amp;P 500 INDEX, AND NYSE ARCA AIRLINE INDEX</w:t>
      </w:r>
    </w:p>
    <w:p>
      <w:pPr>
        <w:pStyle w:val="BodyText"/>
        <w:spacing w:before="127"/>
        <w:ind w:left="748"/>
      </w:pPr>
      <w:r>
        <w:rPr/>
        <w:pict>
          <v:group style="position:absolute;margin-left:126.074997pt;margin-top:12.427997pt;width:389.1pt;height:240.15pt;mso-position-horizontal-relative:page;mso-position-vertical-relative:paragraph;z-index:1384" coordorigin="2521,249" coordsize="7782,4803">
            <v:line style="position:absolute" from="8375,254" to="8375,2776" stroked="true" strokeweight=".25pt" strokecolor="#939598">
              <v:stroke dashstyle="solid"/>
            </v:line>
            <v:line style="position:absolute" from="2627,259" to="10293,259" stroked="true" strokeweight=".25pt" strokecolor="#939598">
              <v:stroke dashstyle="solid"/>
            </v:line>
            <v:line style="position:absolute" from="8375,2967" to="8375,5048" stroked="true" strokeweight=".25pt" strokecolor="#939598">
              <v:stroke dashstyle="solid"/>
            </v:line>
            <v:line style="position:absolute" from="2627,4357" to="10292,4357" stroked="true" strokeweight=".25pt" strokecolor="#939598">
              <v:stroke dashstyle="solid"/>
            </v:line>
            <v:shape style="position:absolute;left:0;top:10047;width:7665;height:2" coordorigin="0,10047" coordsize="7665,0" path="m4636,3772l10292,3772m3359,3772l4450,3772m2627,3772l3172,3772e" filled="false" stroked="true" strokeweight=".25pt" strokecolor="#939598">
              <v:path arrowok="t"/>
              <v:stroke dashstyle="solid"/>
            </v:shape>
            <v:line style="position:absolute" from="2627,3186" to="10292,3186" stroked="true" strokeweight=".25pt" strokecolor="#939598">
              <v:stroke dashstyle="solid"/>
            </v:line>
            <v:rect style="position:absolute;left:8282;top:2776;width:186;height:191" filled="true" fillcolor="#808285" stroked="false">
              <v:fill type="solid"/>
            </v:rect>
            <v:line style="position:absolute" from="2627,2601" to="10292,2601" stroked="true" strokeweight=".25pt" strokecolor="#939598">
              <v:stroke dashstyle="solid"/>
            </v:line>
            <v:line style="position:absolute" from="2627,2015" to="10292,2015" stroked="true" strokeweight=".25pt" strokecolor="#939598">
              <v:stroke dashstyle="solid"/>
            </v:line>
            <v:line style="position:absolute" from="2627,1430" to="10292,1430" stroked="true" strokeweight=".25pt" strokecolor="#939598">
              <v:stroke dashstyle="solid"/>
            </v:line>
            <v:line style="position:absolute" from="2627,844" to="10292,844" stroked="true" strokeweight=".25pt" strokecolor="#939598">
              <v:stroke dashstyle="solid"/>
            </v:line>
            <v:shape style="position:absolute;left:0;top:5253;width:2;height:4794" coordorigin="0,5253" coordsize="0,4794" path="m3266,254l3266,3676m3266,3867l3266,5047e" filled="false" stroked="true" strokeweight=".25pt" strokecolor="#939598">
              <v:path arrowok="t"/>
              <v:stroke dashstyle="solid"/>
            </v:shape>
            <v:shape style="position:absolute;left:0;top:5252;width:2;height:4795" coordorigin="0,5252" coordsize="0,4795" path="m4543,254l4543,3654m4543,3846l4543,5048e" filled="false" stroked="true" strokeweight=".25pt" strokecolor="#939598">
              <v:path arrowok="t"/>
              <v:stroke dashstyle="solid"/>
            </v:shape>
            <v:shape style="position:absolute;left:0;top:5253;width:2;height:4795" coordorigin="0,5253" coordsize="0,4795" path="m5820,254l5820,3456m5820,3647l5820,5048e" filled="false" stroked="true" strokeweight=".25pt" strokecolor="#939598">
              <v:path arrowok="t"/>
              <v:stroke dashstyle="solid"/>
            </v:shape>
            <v:shape style="position:absolute;left:0;top:5252;width:2;height:4795" coordorigin="0,5252" coordsize="0,4795" path="m7097,254l7097,3017m7097,3208l7097,5048e" filled="false" stroked="true" strokeweight=".25pt" strokecolor="#939598">
              <v:path arrowok="t"/>
              <v:stroke dashstyle="solid"/>
            </v:shape>
            <v:shape style="position:absolute;left:0;top:5252;width:2;height:4795" coordorigin="0,5252" coordsize="0,4795" path="m9651,254l9651,2738m9651,2929l9651,5048e" filled="false" stroked="true" strokeweight=".25pt" strokecolor="#939598">
              <v:path arrowok="t"/>
              <v:stroke dashstyle="solid"/>
            </v:shape>
            <v:line style="position:absolute" from="2524,4943" to="2627,4943" stroked="true" strokeweight=".25pt" strokecolor="#939598">
              <v:stroke dashstyle="solid"/>
            </v:line>
            <v:line style="position:absolute" from="2524,4357" to="2627,4357" stroked="true" strokeweight=".25pt" strokecolor="#939598">
              <v:stroke dashstyle="solid"/>
            </v:line>
            <v:line style="position:absolute" from="2524,3772" to="2627,3772" stroked="true" strokeweight=".25pt" strokecolor="#939598">
              <v:stroke dashstyle="solid"/>
            </v:line>
            <v:line style="position:absolute" from="2524,3186" to="2627,3186" stroked="true" strokeweight=".25pt" strokecolor="#939598">
              <v:stroke dashstyle="solid"/>
            </v:line>
            <v:line style="position:absolute" from="2524,2601" to="2627,2601" stroked="true" strokeweight=".25pt" strokecolor="#939598">
              <v:stroke dashstyle="solid"/>
            </v:line>
            <v:line style="position:absolute" from="2524,2015" to="2627,2015" stroked="true" strokeweight=".25pt" strokecolor="#939598">
              <v:stroke dashstyle="solid"/>
            </v:line>
            <v:line style="position:absolute" from="2524,1430" to="2627,1430" stroked="true" strokeweight=".25pt" strokecolor="#939598">
              <v:stroke dashstyle="solid"/>
            </v:line>
            <v:line style="position:absolute" from="2524,844" to="2627,844" stroked="true" strokeweight=".25pt" strokecolor="#939598">
              <v:stroke dashstyle="solid"/>
            </v:line>
            <v:line style="position:absolute" from="2524,259" to="2627,259" stroked="true" strokeweight=".25pt" strokecolor="#939598">
              <v:stroke dashstyle="solid"/>
            </v:line>
            <v:line style="position:absolute" from="2627,4943" to="10293,4943" stroked="true" strokeweight="1pt" strokecolor="#231f20">
              <v:stroke dashstyle="solid"/>
            </v:line>
            <v:line style="position:absolute" from="2627,4943" to="2627,259" stroked="true" strokeweight="1pt" strokecolor="#231f20">
              <v:stroke dashstyle="solid"/>
            </v:line>
            <v:shape style="position:absolute;left:3161;top:2197;width:5318;height:2017" coordorigin="3161,2197" coordsize="5318,2017" path="m3370,3862l3266,3682,3161,3862,3370,3862m4647,4213l4543,4033,4439,4213,4647,4213m5924,3905l5820,3724,5716,3905,5924,3905m7201,3260l7097,3080,6993,3260,7201,3260m8479,2377l8375,2197,8271,2377,8479,2377e" filled="true" fillcolor="#9d9fa2" stroked="false">
              <v:path arrowok="t"/>
              <v:fill type="solid"/>
            </v:shape>
            <v:shape style="position:absolute;left:9547;top:2584;width:208;height:345" type="#_x0000_t75" stroked="false">
              <v:imagedata r:id="rId18" o:title=""/>
            </v:shape>
            <v:shape style="position:absolute;left:3172;top:3017;width:4018;height:851" coordorigin="3172,3017" coordsize="4018,851" path="m3359,3676l3172,3676,3172,3867,3359,3867,3359,3676m4636,3654l4450,3654,4450,3846,4636,3846,4636,3654m5913,3456l5727,3456,5727,3647,5913,3647,5913,3456m7190,3017l7004,3017,7004,3208,7190,3208,7190,3017e" filled="true" fillcolor="#808285" stroked="false">
              <v:path arrowok="t"/>
              <v:fill type="solid"/>
            </v:shape>
            <v:shape style="position:absolute;left:3266;top:963;width:6384;height:3208" coordorigin="3266,963" coordsize="6384,3208" path="m3266,3773l4542,4171,5819,4018,7096,3222,8372,1054,9649,963e" filled="false" stroked="true" strokeweight="1.0pt" strokecolor="#bcbec0">
              <v:path arrowok="t"/>
              <v:stroke dashstyle="solid"/>
            </v:shape>
            <v:shape style="position:absolute;left:3266;top:2833;width:6389;height:940" coordorigin="3266,2833" coordsize="6389,940" path="m3266,3773l4544,3749,5821,3548,7099,3116,8377,2872,9654,2833e" filled="false" stroked="true" strokeweight="1pt" strokecolor="#808285">
              <v:path arrowok="t"/>
              <v:stroke dashstyle="solid"/>
            </v:shape>
            <v:shape style="position:absolute;left:3266;top:2287;width:6389;height:1837" coordorigin="3266,2287" coordsize="6389,1837" path="m3266,3773l4544,4123,5821,3816,7099,3164,8377,2287,9654,2685e" filled="false" stroked="true" strokeweight="1pt" strokecolor="#9d9fa2">
              <v:path arrowok="t"/>
              <v:stroke dashstyle="solid"/>
            </v:shape>
            <v:shape style="position:absolute;left:9561;top:873;width:182;height:182" type="#_x0000_t75" stroked="false">
              <v:imagedata r:id="rId19" o:title=""/>
            </v:shape>
            <v:shape style="position:absolute;left:8285;top:963;width:182;height:182" type="#_x0000_t75" stroked="false">
              <v:imagedata r:id="rId19" o:title=""/>
            </v:shape>
            <v:shape style="position:absolute;left:7006;top:3132;width:182;height:182" type="#_x0000_t75" stroked="false">
              <v:imagedata r:id="rId19" o:title=""/>
            </v:shape>
            <v:shape style="position:absolute;left:5729;top:3932;width:182;height:182" type="#_x0000_t75" stroked="false">
              <v:imagedata r:id="rId19" o:title=""/>
            </v:shape>
            <v:shape style="position:absolute;left:4452;top:4080;width:182;height:182" type="#_x0000_t75" stroked="false">
              <v:imagedata r:id="rId20" o:title=""/>
            </v:shape>
            <v:shape style="position:absolute;left:3175;top:3681;width:182;height:182" type="#_x0000_t75" stroked="false">
              <v:imagedata r:id="rId21" o:title=""/>
            </v:shape>
            <w10:wrap type="none"/>
          </v:group>
        </w:pict>
      </w:r>
      <w:r>
        <w:rPr>
          <w:color w:val="231F20"/>
        </w:rPr>
        <w:t>400</w:t>
      </w:r>
    </w:p>
    <w:p>
      <w:pPr>
        <w:pStyle w:val="BodyText"/>
        <w:spacing w:before="2"/>
        <w:rPr>
          <w:sz w:val="21"/>
        </w:rPr>
      </w:pPr>
    </w:p>
    <w:p>
      <w:pPr>
        <w:pStyle w:val="BodyText"/>
        <w:spacing w:before="88"/>
        <w:ind w:left="748"/>
      </w:pPr>
      <w:r>
        <w:rPr>
          <w:color w:val="231F20"/>
        </w:rPr>
        <w:t>350</w:t>
      </w:r>
    </w:p>
    <w:p>
      <w:pPr>
        <w:pStyle w:val="BodyText"/>
        <w:spacing w:before="3"/>
        <w:rPr>
          <w:sz w:val="21"/>
        </w:rPr>
      </w:pPr>
    </w:p>
    <w:p>
      <w:pPr>
        <w:pStyle w:val="BodyText"/>
        <w:spacing w:before="87"/>
        <w:ind w:left="748"/>
      </w:pPr>
      <w:r>
        <w:rPr/>
        <w:pict>
          <v:shape style="position:absolute;margin-left:80.800293pt;margin-top:-6.40322pt;width:14.05pt;height:153.550pt;mso-position-horizontal-relative:page;mso-position-vertical-relative:paragraph;z-index:1480"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300</w:t>
      </w:r>
    </w:p>
    <w:p>
      <w:pPr>
        <w:pStyle w:val="BodyText"/>
        <w:spacing w:before="2"/>
        <w:rPr>
          <w:sz w:val="21"/>
        </w:rPr>
      </w:pPr>
    </w:p>
    <w:p>
      <w:pPr>
        <w:pStyle w:val="BodyText"/>
        <w:spacing w:before="88"/>
        <w:ind w:left="748"/>
      </w:pPr>
      <w:r>
        <w:rPr>
          <w:color w:val="231F20"/>
        </w:rPr>
        <w:t>250</w:t>
      </w:r>
    </w:p>
    <w:p>
      <w:pPr>
        <w:pStyle w:val="BodyText"/>
        <w:spacing w:before="3"/>
        <w:rPr>
          <w:sz w:val="21"/>
        </w:rPr>
      </w:pPr>
    </w:p>
    <w:p>
      <w:pPr>
        <w:pStyle w:val="BodyText"/>
        <w:spacing w:before="87"/>
        <w:ind w:left="748"/>
      </w:pPr>
      <w:r>
        <w:rPr>
          <w:color w:val="231F20"/>
        </w:rPr>
        <w:t>200</w:t>
      </w:r>
    </w:p>
    <w:p>
      <w:pPr>
        <w:pStyle w:val="BodyText"/>
        <w:spacing w:before="2"/>
        <w:rPr>
          <w:sz w:val="21"/>
        </w:rPr>
      </w:pPr>
    </w:p>
    <w:p>
      <w:pPr>
        <w:pStyle w:val="BodyText"/>
        <w:spacing w:before="88"/>
        <w:ind w:left="748"/>
      </w:pPr>
      <w:r>
        <w:rPr>
          <w:color w:val="231F20"/>
        </w:rPr>
        <w:t>150</w:t>
      </w:r>
    </w:p>
    <w:p>
      <w:pPr>
        <w:pStyle w:val="BodyText"/>
        <w:spacing w:before="2"/>
        <w:rPr>
          <w:sz w:val="21"/>
        </w:rPr>
      </w:pPr>
    </w:p>
    <w:p>
      <w:pPr>
        <w:pStyle w:val="BodyText"/>
        <w:spacing w:before="88"/>
        <w:ind w:left="99" w:right="7629"/>
        <w:jc w:val="center"/>
      </w:pPr>
      <w:r>
        <w:rPr>
          <w:color w:val="231F20"/>
        </w:rPr>
        <w:t>100</w:t>
      </w:r>
    </w:p>
    <w:p>
      <w:pPr>
        <w:pStyle w:val="BodyText"/>
        <w:spacing w:before="9"/>
        <w:rPr>
          <w:sz w:val="28"/>
        </w:rPr>
      </w:pPr>
    </w:p>
    <w:p>
      <w:pPr>
        <w:pStyle w:val="BodyText"/>
        <w:spacing w:before="1"/>
        <w:ind w:left="39" w:right="7459"/>
        <w:jc w:val="center"/>
      </w:pPr>
      <w:r>
        <w:rPr>
          <w:color w:val="231F20"/>
        </w:rPr>
        <w:t>50</w:t>
      </w:r>
    </w:p>
    <w:p>
      <w:pPr>
        <w:pStyle w:val="BodyText"/>
        <w:spacing w:before="3"/>
        <w:rPr>
          <w:sz w:val="21"/>
        </w:rPr>
      </w:pPr>
    </w:p>
    <w:p>
      <w:pPr>
        <w:spacing w:after="0"/>
        <w:rPr>
          <w:sz w:val="21"/>
        </w:rPr>
        <w:sectPr>
          <w:pgSz w:w="11880" w:h="15480"/>
          <w:pgMar w:header="0" w:footer="1240" w:top="1240" w:bottom="1420" w:left="1260" w:right="1260"/>
        </w:sectPr>
      </w:pPr>
    </w:p>
    <w:p>
      <w:pPr>
        <w:pStyle w:val="BodyText"/>
        <w:spacing w:before="88"/>
        <w:ind w:left="968"/>
      </w:pPr>
      <w:r>
        <w:rPr>
          <w:color w:val="231F20"/>
        </w:rPr>
        <w:t>0</w:t>
      </w:r>
    </w:p>
    <w:p>
      <w:pPr>
        <w:pStyle w:val="BodyText"/>
        <w:tabs>
          <w:tab w:pos="2896" w:val="left" w:leader="none"/>
          <w:tab w:pos="4172" w:val="left" w:leader="none"/>
          <w:tab w:pos="5448" w:val="left" w:leader="none"/>
        </w:tabs>
        <w:spacing w:before="120"/>
        <w:ind w:left="1621"/>
      </w:pPr>
      <w:r>
        <w:rPr>
          <w:color w:val="231F20"/>
        </w:rPr>
        <w:t>12/31/10</w:t>
        <w:tab/>
      </w:r>
      <w:r>
        <w:rPr>
          <w:color w:val="231F20"/>
          <w:position w:val="1"/>
        </w:rPr>
        <w:t>12/31/11</w:t>
        <w:tab/>
        <w:t>12/31/12</w:t>
        <w:tab/>
        <w:t>12/31/13</w:t>
      </w:r>
    </w:p>
    <w:p>
      <w:pPr>
        <w:pStyle w:val="BodyText"/>
        <w:spacing w:before="99"/>
        <w:ind w:right="363"/>
        <w:jc w:val="right"/>
      </w:pPr>
      <w:r>
        <w:rPr>
          <w:color w:val="231F20"/>
        </w:rPr>
        <w:t>Period Ending</w:t>
      </w:r>
    </w:p>
    <w:p>
      <w:pPr>
        <w:pStyle w:val="BodyText"/>
        <w:rPr>
          <w:sz w:val="24"/>
        </w:rPr>
      </w:pPr>
      <w:r>
        <w:rPr/>
        <w:br w:type="column"/>
      </w:r>
      <w:r>
        <w:rPr>
          <w:sz w:val="24"/>
        </w:rPr>
      </w:r>
    </w:p>
    <w:p>
      <w:pPr>
        <w:pStyle w:val="BodyText"/>
        <w:spacing w:before="182"/>
        <w:ind w:left="453"/>
      </w:pPr>
      <w:r>
        <w:rPr>
          <w:color w:val="231F20"/>
        </w:rPr>
        <w:t>12/31/14</w:t>
      </w:r>
    </w:p>
    <w:p>
      <w:pPr>
        <w:pStyle w:val="BodyText"/>
        <w:rPr>
          <w:sz w:val="24"/>
        </w:rPr>
      </w:pPr>
      <w:r>
        <w:rPr/>
        <w:br w:type="column"/>
      </w:r>
      <w:r>
        <w:rPr>
          <w:sz w:val="24"/>
        </w:rPr>
      </w:r>
    </w:p>
    <w:p>
      <w:pPr>
        <w:pStyle w:val="BodyText"/>
        <w:spacing w:before="182"/>
        <w:ind w:left="453"/>
      </w:pPr>
      <w:r>
        <w:rPr>
          <w:color w:val="231F20"/>
        </w:rPr>
        <w:t>12/31/15</w:t>
      </w:r>
    </w:p>
    <w:p>
      <w:pPr>
        <w:spacing w:after="0"/>
        <w:sectPr>
          <w:type w:val="continuous"/>
          <w:pgSz w:w="11880" w:h="15480"/>
          <w:pgMar w:top="1260" w:bottom="280" w:left="1260" w:right="1260"/>
          <w:cols w:num="3" w:equalWidth="0">
            <w:col w:w="6231" w:space="40"/>
            <w:col w:w="1236" w:space="40"/>
            <w:col w:w="1813"/>
          </w:cols>
        </w:sectPr>
      </w:pPr>
    </w:p>
    <w:p>
      <w:pPr>
        <w:pStyle w:val="BodyText"/>
        <w:rPr>
          <w:sz w:val="20"/>
        </w:rPr>
      </w:pPr>
    </w:p>
    <w:p>
      <w:pPr>
        <w:pStyle w:val="BodyText"/>
        <w:spacing w:before="4"/>
        <w:rPr>
          <w:sz w:val="19"/>
        </w:rPr>
      </w:pPr>
    </w:p>
    <w:p>
      <w:pPr>
        <w:pStyle w:val="BodyText"/>
        <w:tabs>
          <w:tab w:pos="3989" w:val="left" w:leader="none"/>
          <w:tab w:pos="6915" w:val="left" w:leader="none"/>
        </w:tabs>
        <w:ind w:left="1064"/>
      </w:pPr>
      <w:r>
        <w:rPr/>
        <w:pict>
          <v:group style="position:absolute;margin-left:78.849998pt;margin-top:2.345371pt;width:31.25pt;height:9.1pt;mso-position-horizontal-relative:page;mso-position-vertical-relative:paragraph;z-index:1408" coordorigin="1577,47" coordsize="625,182">
            <v:shape style="position:absolute;left:1799;top:47;width:182;height:182" type="#_x0000_t75" stroked="false">
              <v:imagedata r:id="rId22" o:title=""/>
            </v:shape>
            <v:line style="position:absolute" from="1587,138" to="2192,138" stroked="true" strokeweight="1pt" strokecolor="#bcbec0">
              <v:stroke dashstyle="solid"/>
            </v:line>
            <w10:wrap type="none"/>
          </v:group>
        </w:pict>
      </w:r>
      <w:r>
        <w:rPr/>
        <w:pict>
          <v:group style="position:absolute;margin-left:225.475006pt;margin-top:2.106071pt;width:31.25pt;height:9.6pt;mso-position-horizontal-relative:page;mso-position-vertical-relative:paragraph;z-index:-394024" coordorigin="4510,42" coordsize="625,192">
            <v:rect style="position:absolute;left:4729;top:42;width:186;height:191" filled="true" fillcolor="#808285" stroked="false">
              <v:fill type="solid"/>
            </v:rect>
            <v:line style="position:absolute" from="4520,138" to="5124,138" stroked="true" strokeweight="1pt" strokecolor="#808285">
              <v:stroke dashstyle="solid"/>
            </v:line>
            <w10:wrap type="none"/>
          </v:group>
        </w:pict>
      </w:r>
      <w:r>
        <w:rPr/>
        <w:pict>
          <v:group style="position:absolute;margin-left:372.368988pt;margin-top:2.38037pt;width:31.25pt;height:9.050pt;mso-position-horizontal-relative:page;mso-position-vertical-relative:paragraph;z-index:-394000" coordorigin="7447,48" coordsize="625,181">
            <v:shape style="position:absolute;left:7656;top:48;width:209;height:181" coordorigin="7656,48" coordsize="209,181" path="m7760,48l7656,228,7864,228,7760,48xe" filled="true" fillcolor="#9d9fa2" stroked="false">
              <v:path arrowok="t"/>
              <v:fill type="solid"/>
            </v:shape>
            <v:line style="position:absolute" from="7457,138" to="8062,138" stroked="true" strokeweight="1pt" strokecolor="#9d9fa2">
              <v:stroke dashstyle="solid"/>
            </v:lin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3"/>
        <w:rPr>
          <w:sz w:val="13"/>
        </w:rPr>
      </w:pPr>
    </w:p>
    <w:p>
      <w:pPr>
        <w:spacing w:before="100" w:after="17"/>
        <w:ind w:left="3188" w:right="0" w:firstLine="0"/>
        <w:jc w:val="left"/>
        <w:rPr>
          <w:b/>
          <w:sz w:val="20"/>
        </w:rPr>
      </w:pPr>
      <w:r>
        <w:rPr>
          <w:b/>
          <w:color w:val="231F20"/>
          <w:sz w:val="20"/>
        </w:rPr>
        <w:t>12/31/2010  12/31/2011  12/31/2012  12/31/2013  12/31/2014  12/31/2015</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Southwest Airlines Co.</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66</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79</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147</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332</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340</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102</w:t>
            </w:r>
          </w:p>
        </w:tc>
        <w:tc>
          <w:tcPr>
            <w:tcW w:w="1012" w:type="dxa"/>
            <w:tcBorders>
              <w:left w:val="nil"/>
              <w:right w:val="nil"/>
            </w:tcBorders>
          </w:tcPr>
          <w:p>
            <w:pPr>
              <w:pStyle w:val="TableParagraph"/>
              <w:tabs>
                <w:tab w:pos="611" w:val="left" w:leader="none"/>
              </w:tabs>
              <w:jc w:val="center"/>
              <w:rPr>
                <w:sz w:val="20"/>
              </w:rPr>
            </w:pPr>
            <w:r>
              <w:rPr>
                <w:color w:val="231F20"/>
                <w:sz w:val="20"/>
              </w:rPr>
              <w:t>$</w:t>
              <w:tab/>
              <w:t>119</w:t>
            </w:r>
          </w:p>
        </w:tc>
        <w:tc>
          <w:tcPr>
            <w:tcW w:w="1012" w:type="dxa"/>
            <w:tcBorders>
              <w:left w:val="nil"/>
              <w:right w:val="nil"/>
            </w:tcBorders>
          </w:tcPr>
          <w:p>
            <w:pPr>
              <w:pStyle w:val="TableParagraph"/>
              <w:tabs>
                <w:tab w:pos="611" w:val="left" w:leader="none"/>
              </w:tabs>
              <w:jc w:val="center"/>
              <w:rPr>
                <w:sz w:val="20"/>
              </w:rPr>
            </w:pPr>
            <w:r>
              <w:rPr>
                <w:color w:val="231F20"/>
                <w:sz w:val="20"/>
              </w:rPr>
              <w:t>$</w:t>
              <w:tab/>
              <w:t>156</w:t>
            </w:r>
          </w:p>
        </w:tc>
        <w:tc>
          <w:tcPr>
            <w:tcW w:w="1012" w:type="dxa"/>
            <w:tcBorders>
              <w:left w:val="nil"/>
              <w:right w:val="nil"/>
            </w:tcBorders>
          </w:tcPr>
          <w:p>
            <w:pPr>
              <w:pStyle w:val="TableParagraph"/>
              <w:tabs>
                <w:tab w:pos="611" w:val="left" w:leader="none"/>
              </w:tabs>
              <w:jc w:val="center"/>
              <w:rPr>
                <w:sz w:val="20"/>
              </w:rPr>
            </w:pPr>
            <w:r>
              <w:rPr>
                <w:color w:val="231F20"/>
                <w:sz w:val="20"/>
              </w:rPr>
              <w:t>$</w:t>
              <w:tab/>
              <w:t>177</w:t>
            </w:r>
          </w:p>
        </w:tc>
        <w:tc>
          <w:tcPr>
            <w:tcW w:w="1042" w:type="dxa"/>
            <w:tcBorders>
              <w:left w:val="nil"/>
            </w:tcBorders>
          </w:tcPr>
          <w:p>
            <w:pPr>
              <w:pStyle w:val="TableParagraph"/>
              <w:tabs>
                <w:tab w:pos="611" w:val="left" w:leader="none"/>
              </w:tabs>
              <w:ind w:right="19"/>
              <w:jc w:val="center"/>
              <w:rPr>
                <w:sz w:val="20"/>
              </w:rPr>
            </w:pPr>
            <w:r>
              <w:rPr>
                <w:color w:val="231F20"/>
                <w:sz w:val="20"/>
              </w:rPr>
              <w:t>$</w:t>
              <w:tab/>
              <w:t>180</w:t>
            </w:r>
          </w:p>
        </w:tc>
      </w:tr>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NYSE ARCA Airline</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70</w:t>
            </w:r>
          </w:p>
        </w:tc>
        <w:tc>
          <w:tcPr>
            <w:tcW w:w="1012" w:type="dxa"/>
            <w:tcBorders>
              <w:left w:val="nil"/>
              <w:right w:val="nil"/>
            </w:tcBorders>
            <w:shd w:val="clear" w:color="auto" w:fill="D1D3D4"/>
          </w:tcPr>
          <w:p>
            <w:pPr>
              <w:pStyle w:val="TableParagraph"/>
              <w:tabs>
                <w:tab w:pos="711" w:val="left" w:leader="none"/>
              </w:tabs>
              <w:jc w:val="center"/>
              <w:rPr>
                <w:sz w:val="20"/>
              </w:rPr>
            </w:pPr>
            <w:r>
              <w:rPr>
                <w:color w:val="231F20"/>
                <w:sz w:val="20"/>
              </w:rPr>
              <w:t>$</w:t>
              <w:tab/>
              <w:t>96</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152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227</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193</w:t>
            </w:r>
          </w:p>
        </w:tc>
      </w:tr>
    </w:tbl>
    <w:p>
      <w:pPr>
        <w:spacing w:after="0"/>
        <w:jc w:val="center"/>
        <w:rPr>
          <w:sz w:val="20"/>
        </w:rPr>
        <w:sectPr>
          <w:type w:val="continuous"/>
          <w:pgSz w:w="11880" w:h="15480"/>
          <w:pgMar w:top="1260" w:bottom="280" w:left="1260" w:right="1260"/>
        </w:sectPr>
      </w:pPr>
    </w:p>
    <w:p>
      <w:pPr>
        <w:pStyle w:val="Heading1"/>
        <w:spacing w:before="74"/>
        <w:jc w:val="left"/>
      </w:pPr>
      <w:r>
        <w:rPr>
          <w:color w:val="231F20"/>
        </w:rPr>
        <w:t>Issuer Repurchases</w:t>
      </w:r>
    </w:p>
    <w:p>
      <w:pPr>
        <w:pStyle w:val="BodyText"/>
        <w:rPr>
          <w:b/>
        </w:rPr>
      </w:pPr>
      <w:r>
        <w:rPr/>
        <w:br w:type="column"/>
      </w:r>
      <w:r>
        <w:rPr>
          <w:b/>
        </w:rPr>
      </w:r>
    </w:p>
    <w:p>
      <w:pPr>
        <w:pStyle w:val="BodyText"/>
        <w:spacing w:before="4"/>
        <w:rPr>
          <w:b/>
          <w:sz w:val="24"/>
        </w:rPr>
      </w:pPr>
    </w:p>
    <w:p>
      <w:pPr>
        <w:spacing w:before="0"/>
        <w:ind w:left="441" w:right="0" w:firstLine="0"/>
        <w:jc w:val="left"/>
        <w:rPr>
          <w:sz w:val="20"/>
        </w:rPr>
      </w:pPr>
      <w:r>
        <w:rPr>
          <w:color w:val="231F20"/>
          <w:sz w:val="20"/>
        </w:rPr>
        <w:t>Issuer Purchases of Equity Securities (1)</w:t>
      </w:r>
    </w:p>
    <w:p>
      <w:pPr>
        <w:tabs>
          <w:tab w:pos="1576" w:val="left" w:leader="none"/>
          <w:tab w:pos="3254" w:val="left" w:leader="none"/>
          <w:tab w:pos="5410" w:val="left" w:leader="none"/>
        </w:tabs>
        <w:spacing w:line="201" w:lineRule="exact" w:before="29"/>
        <w:ind w:left="10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80" w:right="1140"/>
          <w:cols w:num="2" w:equalWidth="0">
            <w:col w:w="1929" w:space="756"/>
            <w:col w:w="6775"/>
          </w:cols>
        </w:sectPr>
      </w:pPr>
    </w:p>
    <w:p>
      <w:pPr>
        <w:pStyle w:val="BodyText"/>
        <w:rPr>
          <w:b/>
        </w:rPr>
      </w:pPr>
    </w:p>
    <w:p>
      <w:pPr>
        <w:pStyle w:val="BodyText"/>
        <w:rPr>
          <w:b/>
        </w:rPr>
      </w:pPr>
    </w:p>
    <w:p>
      <w:pPr>
        <w:pStyle w:val="BodyText"/>
        <w:spacing w:before="5"/>
        <w:rPr>
          <w:b/>
          <w:sz w:val="25"/>
        </w:rPr>
      </w:pPr>
    </w:p>
    <w:p>
      <w:pPr>
        <w:spacing w:before="0"/>
        <w:ind w:left="278" w:right="0" w:firstLine="0"/>
        <w:jc w:val="center"/>
        <w:rPr>
          <w:b/>
          <w:sz w:val="20"/>
        </w:rPr>
      </w:pPr>
      <w:r>
        <w:rPr/>
        <w:pict>
          <v:group style="position:absolute;margin-left:71.5pt;margin-top:12.335938pt;width:460.5pt;height:1pt;mso-position-horizontal-relative:page;mso-position-vertical-relative:paragraph;z-index:1720" coordorigin="1430,247" coordsize="9210,20">
            <v:line style="position:absolute" from="1440,257" to="3330,257" stroked="true" strokeweight="1pt" strokecolor="#231f20">
              <v:stroke dashstyle="solid"/>
            </v:line>
            <v:line style="position:absolute" from="3390,257" to="4974,257" stroked="true" strokeweight="1pt" strokecolor="#231f20">
              <v:stroke dashstyle="solid"/>
            </v:line>
            <v:line style="position:absolute" from="5034,257" to="6296,257" stroked="true" strokeweight="1pt" strokecolor="#231f20">
              <v:stroke dashstyle="solid"/>
            </v:line>
            <v:line style="position:absolute" from="6356,257" to="8308,257" stroked="true" strokeweight="1pt" strokecolor="#231f20">
              <v:stroke dashstyle="solid"/>
            </v:line>
            <v:line style="position:absolute" from="8368,257" to="10630,257" stroked="true" strokeweight="1pt" strokecolor="#231f20">
              <v:stroke dashstyle="solid"/>
            </v:line>
            <w10:wrap type="none"/>
          </v:group>
        </w:pict>
      </w:r>
      <w:r>
        <w:rPr>
          <w:b/>
          <w:color w:val="231F20"/>
          <w:sz w:val="20"/>
        </w:rPr>
        <w:t>Period</w:t>
      </w:r>
    </w:p>
    <w:p>
      <w:pPr>
        <w:spacing w:before="128"/>
        <w:ind w:left="160" w:right="0" w:firstLine="0"/>
        <w:jc w:val="center"/>
        <w:rPr>
          <w:sz w:val="18"/>
        </w:rPr>
      </w:pPr>
      <w:r>
        <w:rPr>
          <w:color w:val="231F20"/>
          <w:sz w:val="18"/>
        </w:rPr>
        <w:t>October 1, 2015 through</w:t>
      </w:r>
    </w:p>
    <w:p>
      <w:pPr>
        <w:pStyle w:val="BodyText"/>
      </w:pPr>
      <w:r>
        <w:rPr/>
        <w:br w:type="column"/>
      </w:r>
      <w:r>
        <w:rPr/>
      </w:r>
    </w:p>
    <w:p>
      <w:pPr>
        <w:spacing w:line="200" w:lineRule="exact" w:before="172"/>
        <w:ind w:left="159"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160" w:right="0" w:hanging="2"/>
        <w:jc w:val="center"/>
        <w:rPr>
          <w:b/>
          <w:sz w:val="20"/>
        </w:rPr>
      </w:pPr>
      <w:r>
        <w:rPr>
          <w:b/>
          <w:color w:val="231F20"/>
          <w:sz w:val="20"/>
        </w:rPr>
        <w:t>Average price paid per share</w:t>
      </w:r>
    </w:p>
    <w:p>
      <w:pPr>
        <w:spacing w:line="200" w:lineRule="exact" w:before="25"/>
        <w:ind w:left="160" w:right="0" w:hanging="2"/>
        <w:jc w:val="center"/>
        <w:rPr>
          <w:b/>
          <w:sz w:val="20"/>
        </w:rPr>
      </w:pPr>
      <w:r>
        <w:rPr/>
        <w:br w:type="column"/>
      </w:r>
      <w:r>
        <w:rPr>
          <w:b/>
          <w:color w:val="231F20"/>
          <w:sz w:val="20"/>
        </w:rPr>
        <w:t>Total number of shares purchased as part of publicly announced</w:t>
      </w:r>
      <w:r>
        <w:rPr>
          <w:b/>
          <w:color w:val="231F20"/>
          <w:spacing w:val="-1"/>
          <w:sz w:val="20"/>
        </w:rPr>
        <w:t> </w:t>
      </w:r>
      <w:r>
        <w:rPr>
          <w:b/>
          <w:color w:val="231F20"/>
          <w:sz w:val="20"/>
        </w:rPr>
        <w:t>plans or</w:t>
      </w:r>
      <w:r>
        <w:rPr>
          <w:b/>
          <w:color w:val="231F20"/>
          <w:w w:val="100"/>
          <w:sz w:val="20"/>
        </w:rPr>
        <w:t> </w:t>
      </w:r>
      <w:r>
        <w:rPr>
          <w:b/>
          <w:color w:val="231F20"/>
          <w:sz w:val="20"/>
        </w:rPr>
        <w:t>programs</w:t>
      </w:r>
    </w:p>
    <w:p>
      <w:pPr>
        <w:spacing w:line="200" w:lineRule="exact" w:before="25"/>
        <w:ind w:left="160" w:right="309" w:hanging="1"/>
        <w:jc w:val="center"/>
        <w:rPr>
          <w:b/>
          <w:sz w:val="20"/>
        </w:rPr>
      </w:pPr>
      <w:r>
        <w:rPr/>
        <w:br w:type="column"/>
      </w:r>
      <w:r>
        <w:rPr>
          <w:b/>
          <w:color w:val="231F20"/>
          <w:sz w:val="20"/>
        </w:rPr>
        <w:t>Maximum dollar value of shares that may yet be purchased under the plans or programs</w:t>
      </w:r>
    </w:p>
    <w:p>
      <w:pPr>
        <w:spacing w:after="0" w:line="200" w:lineRule="exact"/>
        <w:jc w:val="center"/>
        <w:rPr>
          <w:sz w:val="20"/>
        </w:rPr>
        <w:sectPr>
          <w:type w:val="continuous"/>
          <w:pgSz w:w="11880" w:h="15480"/>
          <w:pgMar w:top="1260" w:bottom="280" w:left="1280" w:right="1140"/>
          <w:cols w:num="5" w:equalWidth="0">
            <w:col w:w="1930" w:space="220"/>
            <w:col w:w="1344" w:space="300"/>
            <w:col w:w="1023" w:space="236"/>
            <w:col w:w="1838" w:space="237"/>
            <w:col w:w="2332"/>
          </w:cols>
        </w:sectPr>
      </w:pPr>
    </w:p>
    <w:p>
      <w:pPr>
        <w:tabs>
          <w:tab w:pos="3423" w:val="left" w:leader="none"/>
          <w:tab w:pos="4565" w:val="left" w:leader="none"/>
          <w:tab w:pos="6757" w:val="left" w:leader="none"/>
          <w:tab w:pos="8359" w:val="left" w:leader="none"/>
        </w:tabs>
        <w:spacing w:before="52"/>
        <w:ind w:left="340" w:right="0" w:firstLine="0"/>
        <w:jc w:val="left"/>
        <w:rPr>
          <w:sz w:val="18"/>
        </w:rPr>
      </w:pPr>
      <w:r>
        <w:rPr/>
        <w:pict>
          <v:group style="position:absolute;margin-left:69pt;margin-top:15.002771pt;width:462.5pt;height:30pt;mso-position-horizontal-relative:page;mso-position-vertical-relative:paragraph;z-index:1624;mso-wrap-distance-left:0;mso-wrap-distance-right:0" coordorigin="1380,300" coordsize="9250,600">
            <v:rect style="position:absolute;left:1380;top:300;width:9250;height:600" filled="true" fillcolor="#d1d3d4" stroked="false">
              <v:fill type="solid"/>
            </v:rect>
            <v:shape style="position:absolute;left:1440;top:398;width:1970;height:462" type="#_x0000_t202" filled="false" stroked="false">
              <v:textbox inset="0,0,0,0">
                <w:txbxContent>
                  <w:p>
                    <w:pPr>
                      <w:spacing w:line="201" w:lineRule="exact" w:before="0"/>
                      <w:ind w:left="0" w:right="18" w:firstLine="0"/>
                      <w:jc w:val="center"/>
                      <w:rPr>
                        <w:sz w:val="18"/>
                      </w:rPr>
                    </w:pPr>
                    <w:r>
                      <w:rPr>
                        <w:color w:val="231F20"/>
                        <w:sz w:val="18"/>
                      </w:rPr>
                      <w:t>November 1, 2015 through</w:t>
                    </w:r>
                  </w:p>
                  <w:p>
                    <w:pPr>
                      <w:spacing w:before="53"/>
                      <w:ind w:left="0" w:right="174" w:firstLine="0"/>
                      <w:jc w:val="center"/>
                      <w:rPr>
                        <w:sz w:val="18"/>
                      </w:rPr>
                    </w:pPr>
                    <w:r>
                      <w:rPr>
                        <w:color w:val="231F20"/>
                        <w:sz w:val="18"/>
                      </w:rPr>
                      <w:t>November 30, 2015</w:t>
                    </w:r>
                  </w:p>
                </w:txbxContent>
              </v:textbox>
              <w10:wrap type="none"/>
            </v:shape>
            <v:shape style="position:absolute;left:4164;top:658;width:980;height:202" type="#_x0000_t202" filled="false" stroked="false">
              <v:textbox inset="0,0,0,0">
                <w:txbxContent>
                  <w:p>
                    <w:pPr>
                      <w:spacing w:line="201" w:lineRule="exact" w:before="0"/>
                      <w:ind w:left="0" w:right="0" w:firstLine="0"/>
                      <w:jc w:val="left"/>
                      <w:rPr>
                        <w:sz w:val="18"/>
                      </w:rPr>
                    </w:pPr>
                    <w:r>
                      <w:rPr>
                        <w:color w:val="231F20"/>
                        <w:sz w:val="18"/>
                      </w:rPr>
                      <w:t>3,213,009   $</w:t>
                    </w:r>
                  </w:p>
                </w:txbxContent>
              </v:textbox>
              <w10:wrap type="none"/>
            </v:shape>
            <v:shape style="position:absolute;left:5846;top:658;width:680;height:202" type="#_x0000_t202" filled="false" stroked="false">
              <v:textbox inset="0,0,0,0">
                <w:txbxContent>
                  <w:p>
                    <w:pPr>
                      <w:tabs>
                        <w:tab w:pos="449" w:val="left" w:leader="none"/>
                      </w:tabs>
                      <w:spacing w:line="201" w:lineRule="exact" w:before="0"/>
                      <w:ind w:left="0" w:right="0" w:firstLine="0"/>
                      <w:jc w:val="left"/>
                      <w:rPr>
                        <w:sz w:val="18"/>
                      </w:rPr>
                    </w:pPr>
                    <w:r>
                      <w:rPr>
                        <w:color w:val="231F20"/>
                        <w:sz w:val="18"/>
                      </w:rPr>
                      <w:t>—</w:t>
                      <w:tab/>
                      <w:t>(2)</w:t>
                    </w:r>
                  </w:p>
                </w:txbxContent>
              </v:textbox>
              <w10:wrap type="none"/>
            </v:shape>
            <v:shape style="position:absolute;left:7498;top:658;width:980;height:202" type="#_x0000_t202" filled="false" stroked="false">
              <v:textbox inset="0,0,0,0">
                <w:txbxContent>
                  <w:p>
                    <w:pPr>
                      <w:spacing w:line="201" w:lineRule="exact" w:before="0"/>
                      <w:ind w:left="0" w:right="0" w:firstLine="0"/>
                      <w:jc w:val="left"/>
                      <w:rPr>
                        <w:sz w:val="18"/>
                      </w:rPr>
                    </w:pPr>
                    <w:r>
                      <w:rPr>
                        <w:color w:val="231F20"/>
                        <w:sz w:val="18"/>
                      </w:rPr>
                      <w:t>3,213,009   $</w:t>
                    </w:r>
                  </w:p>
                </w:txbxContent>
              </v:textbox>
              <w10:wrap type="none"/>
            </v:shape>
            <v:shape style="position:absolute;left:9640;top:658;width:920;height:202" type="#_x0000_t202" filled="false" stroked="false">
              <v:textbox inset="0,0,0,0">
                <w:txbxContent>
                  <w:p>
                    <w:pPr>
                      <w:spacing w:line="201" w:lineRule="exact" w:before="0"/>
                      <w:ind w:left="0" w:right="0" w:firstLine="0"/>
                      <w:jc w:val="left"/>
                      <w:rPr>
                        <w:sz w:val="18"/>
                      </w:rPr>
                    </w:pPr>
                    <w:r>
                      <w:rPr>
                        <w:color w:val="231F20"/>
                        <w:sz w:val="18"/>
                      </w:rPr>
                      <w:t>700,000,000</w:t>
                    </w:r>
                  </w:p>
                </w:txbxContent>
              </v:textbox>
              <w10:wrap type="none"/>
            </v:shape>
            <w10:wrap type="topAndBottom"/>
          </v:group>
        </w:pict>
      </w:r>
      <w:r>
        <w:rPr>
          <w:color w:val="231F20"/>
          <w:sz w:val="18"/>
        </w:rPr>
        <w:t>October 31, 2015</w:t>
        <w:tab/>
        <w:t>—  </w:t>
      </w:r>
      <w:r>
        <w:rPr>
          <w:color w:val="231F20"/>
          <w:spacing w:val="15"/>
          <w:sz w:val="18"/>
        </w:rPr>
        <w:t> </w:t>
      </w:r>
      <w:r>
        <w:rPr>
          <w:color w:val="231F20"/>
          <w:sz w:val="18"/>
        </w:rPr>
        <w:t>$</w:t>
        <w:tab/>
        <w:t>—</w:t>
        <w:tab/>
        <w:t>—  </w:t>
      </w:r>
      <w:r>
        <w:rPr>
          <w:color w:val="231F20"/>
          <w:spacing w:val="15"/>
          <w:sz w:val="18"/>
        </w:rPr>
        <w:t> </w:t>
      </w:r>
      <w:r>
        <w:rPr>
          <w:color w:val="231F20"/>
          <w:sz w:val="18"/>
        </w:rPr>
        <w:t>$</w:t>
        <w:tab/>
        <w:t>700,000,000</w:t>
      </w:r>
    </w:p>
    <w:p>
      <w:pPr>
        <w:spacing w:before="63"/>
        <w:ind w:left="160" w:right="0" w:firstLine="0"/>
        <w:jc w:val="left"/>
        <w:rPr>
          <w:sz w:val="18"/>
        </w:rPr>
      </w:pPr>
      <w:r>
        <w:rPr>
          <w:color w:val="231F20"/>
          <w:sz w:val="18"/>
        </w:rPr>
        <w:t>December 1, 2015 through</w:t>
      </w:r>
    </w:p>
    <w:p>
      <w:pPr>
        <w:tabs>
          <w:tab w:pos="3423" w:val="left" w:leader="none"/>
          <w:tab w:pos="4565" w:val="left" w:leader="none"/>
          <w:tab w:pos="6757" w:val="left" w:leader="none"/>
          <w:tab w:pos="8359" w:val="left" w:leader="none"/>
        </w:tabs>
        <w:spacing w:before="53"/>
        <w:ind w:left="340" w:right="0" w:firstLine="0"/>
        <w:jc w:val="left"/>
        <w:rPr>
          <w:sz w:val="18"/>
        </w:rPr>
      </w:pPr>
      <w:r>
        <w:rPr/>
        <w:pict>
          <v:shape style="position:absolute;margin-left:69pt;margin-top:16.05332pt;width:462.5pt;height:16pt;mso-position-horizontal-relative:page;mso-position-vertical-relative:paragraph;z-index:1648;mso-wrap-distance-left:0;mso-wrap-distance-right:0" type="#_x0000_t202" filled="true" fillcolor="#d1d3d4" stroked="false">
            <v:textbox inset="0,0,0,0">
              <w:txbxContent>
                <w:p>
                  <w:pPr>
                    <w:tabs>
                      <w:tab w:pos="2783" w:val="left" w:leader="none"/>
                      <w:tab w:pos="6207" w:val="left" w:leader="none"/>
                    </w:tabs>
                    <w:spacing w:before="92"/>
                    <w:ind w:left="60" w:right="0" w:firstLine="0"/>
                    <w:jc w:val="left"/>
                    <w:rPr>
                      <w:sz w:val="18"/>
                    </w:rPr>
                  </w:pPr>
                  <w:r>
                    <w:rPr>
                      <w:color w:val="231F20"/>
                      <w:sz w:val="18"/>
                    </w:rPr>
                    <w:t>Total</w:t>
                    <w:tab/>
                    <w:t>3,213,009</w:t>
                    <w:tab/>
                    <w:t>3,213,009</w:t>
                  </w:r>
                </w:p>
              </w:txbxContent>
            </v:textbox>
            <v:fill type="solid"/>
            <w10:wrap type="topAndBottom"/>
          </v:shape>
        </w:pict>
      </w:r>
      <w:r>
        <w:rPr/>
        <w:pict>
          <v:line style="position:absolute;mso-position-horizontal-relative:page;mso-position-vertical-relative:paragraph;z-index:1744" from="169.5pt,15.80332pt" to="248.7pt,15.80332pt" stroked="true" strokeweight=".5pt" strokecolor="#231f20">
            <v:stroke dashstyle="solid"/>
            <w10:wrap type="none"/>
          </v:line>
        </w:pict>
      </w:r>
      <w:r>
        <w:rPr/>
        <w:pict>
          <v:line style="position:absolute;mso-position-horizontal-relative:page;mso-position-vertical-relative:paragraph;z-index:1768" from="317.799988pt,15.80332pt" to="415.399988pt,15.80332pt" stroked="true" strokeweight=".5pt" strokecolor="#231f20">
            <v:stroke dashstyle="solid"/>
            <w10:wrap type="none"/>
          </v:line>
        </w:pict>
      </w:r>
      <w:r>
        <w:rPr>
          <w:color w:val="231F20"/>
          <w:sz w:val="18"/>
        </w:rPr>
        <w:t>December 31, 2015</w:t>
        <w:tab/>
        <w:t>—  </w:t>
      </w:r>
      <w:r>
        <w:rPr>
          <w:color w:val="231F20"/>
          <w:spacing w:val="15"/>
          <w:sz w:val="18"/>
        </w:rPr>
        <w:t> </w:t>
      </w:r>
      <w:r>
        <w:rPr>
          <w:color w:val="231F20"/>
          <w:sz w:val="18"/>
        </w:rPr>
        <w:t>$</w:t>
        <w:tab/>
        <w:t>—</w:t>
        <w:tab/>
        <w:t>—  </w:t>
      </w:r>
      <w:r>
        <w:rPr>
          <w:color w:val="231F20"/>
          <w:spacing w:val="15"/>
          <w:sz w:val="18"/>
        </w:rPr>
        <w:t> </w:t>
      </w:r>
      <w:r>
        <w:rPr>
          <w:color w:val="231F20"/>
          <w:sz w:val="18"/>
        </w:rPr>
        <w:t>$</w:t>
        <w:tab/>
        <w:t>700,000,000</w:t>
      </w:r>
    </w:p>
    <w:p>
      <w:pPr>
        <w:tabs>
          <w:tab w:pos="5071" w:val="left" w:leader="none"/>
        </w:tabs>
        <w:spacing w:line="50" w:lineRule="exact"/>
        <w:ind w:left="2105" w:right="0" w:firstLine="0"/>
        <w:rPr>
          <w:sz w:val="5"/>
        </w:rPr>
      </w:pPr>
      <w:r>
        <w:rPr>
          <w:position w:val="0"/>
          <w:sz w:val="5"/>
        </w:rPr>
        <w:pict>
          <v:group style="width:79.7pt;height:2.5pt;mso-position-horizontal-relative:char;mso-position-vertical-relative:line" coordorigin="0,0" coordsize="1594,50">
            <v:line style="position:absolute" from="5,5" to="1589,5" stroked="true" strokeweight=".5pt" strokecolor="#231f20">
              <v:stroke dashstyle="solid"/>
            </v:line>
            <v:line style="position:absolute" from="5,45" to="1589,45" stroked="true" strokeweight=".5pt" strokecolor="#231f20">
              <v:stroke dashstyle="solid"/>
            </v:line>
          </v:group>
        </w:pict>
      </w:r>
      <w:r>
        <w:rPr>
          <w:position w:val="0"/>
          <w:sz w:val="5"/>
        </w:rPr>
      </w:r>
      <w:r>
        <w:rPr>
          <w:position w:val="0"/>
          <w:sz w:val="5"/>
        </w:rPr>
        <w:tab/>
      </w:r>
      <w:r>
        <w:rPr>
          <w:position w:val="0"/>
          <w:sz w:val="5"/>
        </w:rPr>
        <w:pict>
          <v:group style="width:98.1pt;height:2.5pt;mso-position-horizontal-relative:char;mso-position-vertical-relative:line" coordorigin="0,0" coordsize="1962,50">
            <v:line style="position:absolute" from="5,5" to="1957,5" stroked="true" strokeweight=".5pt" strokecolor="#231f20">
              <v:stroke dashstyle="solid"/>
            </v:line>
            <v:line style="position:absolute" from="5,45" to="1957,45" stroked="true" strokeweight=".5pt" strokecolor="#231f20">
              <v:stroke dashstyle="solid"/>
            </v:line>
          </v:group>
        </w:pict>
      </w:r>
      <w:r>
        <w:rPr>
          <w:position w:val="0"/>
          <w:sz w:val="5"/>
        </w:rPr>
      </w:r>
    </w:p>
    <w:p>
      <w:pPr>
        <w:pStyle w:val="BodyText"/>
        <w:spacing w:before="11"/>
        <w:rPr>
          <w:sz w:val="16"/>
        </w:rPr>
      </w:pPr>
    </w:p>
    <w:p>
      <w:pPr>
        <w:pStyle w:val="ListParagraph"/>
        <w:numPr>
          <w:ilvl w:val="0"/>
          <w:numId w:val="6"/>
        </w:numPr>
        <w:tabs>
          <w:tab w:pos="700" w:val="left" w:leader="none"/>
        </w:tabs>
        <w:spacing w:line="249" w:lineRule="auto" w:before="93" w:after="0"/>
        <w:ind w:left="700" w:right="238" w:hanging="600"/>
        <w:jc w:val="both"/>
        <w:rPr>
          <w:sz w:val="20"/>
        </w:rPr>
      </w:pPr>
      <w:r>
        <w:rPr>
          <w:color w:val="231F20"/>
          <w:sz w:val="20"/>
        </w:rPr>
        <w:t>In May 2015, the Company’s Board of Directors authorized the repurchase of up to $1.5 billion of the Company’s common stock. Repurchases are made in accordance with applicable securities laws in open market, private, or in accelerated repurchase transactions from time to time, depending on market conditions, and may be discontinued at any</w:t>
      </w:r>
      <w:r>
        <w:rPr>
          <w:color w:val="231F20"/>
          <w:spacing w:val="2"/>
          <w:sz w:val="20"/>
        </w:rPr>
        <w:t> </w:t>
      </w:r>
      <w:r>
        <w:rPr>
          <w:color w:val="231F20"/>
          <w:sz w:val="20"/>
        </w:rPr>
        <w:t>time.</w:t>
      </w:r>
    </w:p>
    <w:p>
      <w:pPr>
        <w:pStyle w:val="ListParagraph"/>
        <w:numPr>
          <w:ilvl w:val="0"/>
          <w:numId w:val="6"/>
        </w:numPr>
        <w:tabs>
          <w:tab w:pos="700" w:val="left" w:leader="none"/>
        </w:tabs>
        <w:spacing w:line="249" w:lineRule="auto" w:before="1" w:after="0"/>
        <w:ind w:left="700" w:right="237" w:hanging="600"/>
        <w:jc w:val="both"/>
        <w:rPr>
          <w:sz w:val="20"/>
        </w:rPr>
      </w:pPr>
      <w:r>
        <w:rPr>
          <w:color w:val="231F20"/>
          <w:sz w:val="20"/>
        </w:rPr>
        <w:t>Under an accelerated share repurchase program entered into by the Company with a third party financial institution in third quarter 2015 (“Third Quarter ASR Program”), the Company paid $500 million and received an initial delivery of 9,679,195 shares during third quarter 2015, representing an estimated 75 percent of the shares to be purchased by the Company under the Third Quarter ASR Program based on a volume-weighted average price of $38.74 per share of the Company’s common stock on the New York Stock Exchange during a calculation period between August 3, 2015 and August 20, 2015. Final settlement of this Third Quarter ASR Program occurred in November 2015 and was determined based generally on a discount to the volume-weighted average price per share of the Company’s common stock during a calculation period completed in October 2015. Upon settlement, the third party financial institution delivered 3,213,009 additional shares of the Company’s common stock to the Company. In total, the average purchase price per share for the 12,892,204 shares repurchased under the Third Quarter ASR Program, upon completion of the Third Quarter ASR Program in November 2015, was</w:t>
      </w:r>
      <w:r>
        <w:rPr>
          <w:color w:val="231F20"/>
          <w:spacing w:val="3"/>
          <w:sz w:val="20"/>
        </w:rPr>
        <w:t> </w:t>
      </w:r>
      <w:r>
        <w:rPr>
          <w:color w:val="231F20"/>
          <w:sz w:val="20"/>
        </w:rPr>
        <w:t>$38.78.</w:t>
      </w:r>
    </w:p>
    <w:p>
      <w:pPr>
        <w:pStyle w:val="BodyText"/>
        <w:spacing w:before="6"/>
        <w:rPr>
          <w:sz w:val="31"/>
        </w:rPr>
      </w:pPr>
    </w:p>
    <w:p>
      <w:pPr>
        <w:spacing w:before="0"/>
        <w:ind w:left="100" w:right="0" w:firstLine="0"/>
        <w:jc w:val="both"/>
        <w:rPr>
          <w:b/>
          <w:i/>
          <w:sz w:val="22"/>
        </w:rPr>
      </w:pPr>
      <w:bookmarkStart w:name="Item 6. Selected Financial Data " w:id="10"/>
      <w:bookmarkEnd w:id="10"/>
      <w:r>
        <w:rPr/>
      </w:r>
      <w:r>
        <w:rPr>
          <w:b/>
          <w:color w:val="231F20"/>
          <w:sz w:val="22"/>
        </w:rPr>
        <w:t>Item 6.      </w:t>
      </w:r>
      <w:r>
        <w:rPr>
          <w:b/>
          <w:i/>
          <w:color w:val="231F20"/>
          <w:sz w:val="22"/>
        </w:rPr>
        <w:t>Selected Financial Data</w:t>
      </w:r>
    </w:p>
    <w:p>
      <w:pPr>
        <w:pStyle w:val="BodyText"/>
        <w:spacing w:before="5"/>
        <w:rPr>
          <w:b/>
          <w:i/>
          <w:sz w:val="21"/>
        </w:rPr>
      </w:pPr>
    </w:p>
    <w:p>
      <w:pPr>
        <w:pStyle w:val="BodyText"/>
        <w:spacing w:line="247" w:lineRule="auto"/>
        <w:ind w:left="100" w:right="237"/>
        <w:jc w:val="both"/>
      </w:pPr>
      <w:r>
        <w:rPr>
          <w:color w:val="231F20"/>
        </w:rPr>
        <w:t>The following financial information, for the five years ended December 31, 2015, has been derived from the Company’s Consolidated Financial Statements. This information should be viewed in conjunction with the Consolidated Financial Statements and related notes thereto included elsewhere herein. This financial information includes the operations of AirTran from the May 2, 2011 acquisition date through the end of AirTran service on December 28, 2014. Any financial information presented prior to May 2, 2011, or after December 28, 2014, includes only the operations of Southwest unless otherwise indicated. The Company provides the operating data below because these statistics are commonly used in the airline industry and, therefore, allow readers to compare the Company’s performance against its results for prior periods, as well as against the performance of the Company’s peers.</w:t>
      </w:r>
    </w:p>
    <w:p>
      <w:pPr>
        <w:spacing w:after="0" w:line="247" w:lineRule="auto"/>
        <w:jc w:val="both"/>
        <w:sectPr>
          <w:type w:val="continuous"/>
          <w:pgSz w:w="11880" w:h="15480"/>
          <w:pgMar w:top="1260" w:bottom="280" w:left="1280" w:right="1140"/>
        </w:sectPr>
      </w:pPr>
    </w:p>
    <w:p>
      <w:pPr>
        <w:pStyle w:val="BodyText"/>
        <w:rPr>
          <w:sz w:val="18"/>
        </w:rPr>
      </w:pPr>
    </w:p>
    <w:p>
      <w:pPr>
        <w:pStyle w:val="BodyText"/>
        <w:rPr>
          <w:sz w:val="18"/>
        </w:rPr>
      </w:pPr>
    </w:p>
    <w:p>
      <w:pPr>
        <w:pStyle w:val="BodyText"/>
        <w:spacing w:before="4"/>
        <w:rPr>
          <w:sz w:val="15"/>
        </w:rPr>
      </w:pPr>
    </w:p>
    <w:p>
      <w:pPr>
        <w:spacing w:before="0"/>
        <w:ind w:left="100" w:right="0" w:firstLine="0"/>
        <w:jc w:val="left"/>
        <w:rPr>
          <w:b/>
          <w:sz w:val="16"/>
        </w:rPr>
      </w:pPr>
      <w:r>
        <w:rPr/>
        <w:pict>
          <v:group style="position:absolute;margin-left:69pt;margin-top:-3.53125pt;width:456.5pt;height:14pt;mso-position-horizontal-relative:page;mso-position-vertical-relative:paragraph;z-index:-393664" coordorigin="1380,-71" coordsize="9130,280">
            <v:rect style="position:absolute;left:1380;top:-51;width:9120;height:260" filled="true" fillcolor="#d1d3d4" stroked="false">
              <v:fill type="solid"/>
            </v:rect>
            <v:line style="position:absolute" from="5180,-61" to="6180,-61" stroked="true" strokeweight="1pt" strokecolor="#231f20">
              <v:stroke dashstyle="solid"/>
            </v:line>
            <v:line style="position:absolute" from="6260,-61" to="7260,-61" stroked="true" strokeweight="1pt" strokecolor="#231f20">
              <v:stroke dashstyle="solid"/>
            </v:line>
            <v:line style="position:absolute" from="7340,-61" to="8340,-61" stroked="true" strokeweight="1pt" strokecolor="#231f20">
              <v:stroke dashstyle="solid"/>
            </v:line>
            <v:line style="position:absolute" from="8420,-61" to="9420,-61" stroked="true" strokeweight="1pt" strokecolor="#231f20">
              <v:stroke dashstyle="solid"/>
            </v:line>
            <v:line style="position:absolute" from="9500,-61" to="10500,-61" stroked="true" strokeweight="1pt" strokecolor="#231f20">
              <v:stroke dashstyle="solid"/>
            </v:line>
            <w10:wrap type="none"/>
          </v:group>
        </w:pict>
      </w:r>
      <w:r>
        <w:rPr/>
        <w:pict>
          <v:line style="position:absolute;mso-position-horizontal-relative:page;mso-position-vertical-relative:paragraph;z-index:-393616" from="259pt,105.21875pt" to="309pt,105.21875pt" stroked="true" strokeweight=".5pt" strokecolor="#231f20">
            <v:stroke dashstyle="solid"/>
            <w10:wrap type="none"/>
          </v:line>
        </w:pict>
      </w:r>
      <w:r>
        <w:rPr/>
        <w:pict>
          <v:line style="position:absolute;mso-position-horizontal-relative:page;mso-position-vertical-relative:paragraph;z-index:-393592" from="313pt,105.21875pt" to="363pt,105.21875pt" stroked="true" strokeweight=".5pt" strokecolor="#231f20">
            <v:stroke dashstyle="solid"/>
            <w10:wrap type="none"/>
          </v:line>
        </w:pict>
      </w:r>
      <w:r>
        <w:rPr/>
        <w:pict>
          <v:line style="position:absolute;mso-position-horizontal-relative:page;mso-position-vertical-relative:paragraph;z-index:-393568" from="367pt,105.21875pt" to="417pt,105.21875pt" stroked="true" strokeweight=".5pt" strokecolor="#231f20">
            <v:stroke dashstyle="solid"/>
            <w10:wrap type="none"/>
          </v:line>
        </w:pict>
      </w:r>
      <w:r>
        <w:rPr/>
        <w:pict>
          <v:line style="position:absolute;mso-position-horizontal-relative:page;mso-position-vertical-relative:paragraph;z-index:-393544" from="421pt,105.21875pt" to="471pt,105.21875pt" stroked="true" strokeweight=".5pt" strokecolor="#231f20">
            <v:stroke dashstyle="solid"/>
            <w10:wrap type="none"/>
          </v:line>
        </w:pict>
      </w:r>
      <w:r>
        <w:rPr/>
        <w:pict>
          <v:line style="position:absolute;mso-position-horizontal-relative:page;mso-position-vertical-relative:paragraph;z-index:-393520" from="475pt,105.21875pt" to="525pt,105.21875pt" stroked="true" strokeweight=".5pt" strokecolor="#231f20">
            <v:stroke dashstyle="solid"/>
            <w10:wrap type="none"/>
          </v:line>
        </w:pict>
      </w:r>
      <w:r>
        <w:rPr>
          <w:b/>
          <w:color w:val="231F20"/>
          <w:sz w:val="16"/>
        </w:rPr>
        <w:t>Financial Data (in millions, except per share</w:t>
      </w:r>
      <w:r>
        <w:rPr>
          <w:b/>
          <w:color w:val="231F20"/>
          <w:spacing w:val="-9"/>
          <w:sz w:val="16"/>
        </w:rPr>
        <w:t> </w:t>
      </w:r>
      <w:r>
        <w:rPr>
          <w:b/>
          <w:color w:val="231F20"/>
          <w:sz w:val="16"/>
        </w:rPr>
        <w:t>amounts):</w:t>
      </w:r>
    </w:p>
    <w:p>
      <w:pPr>
        <w:spacing w:before="70"/>
        <w:ind w:left="0" w:right="359" w:firstLine="0"/>
        <w:jc w:val="center"/>
        <w:rPr>
          <w:b/>
          <w:sz w:val="16"/>
        </w:rPr>
      </w:pPr>
      <w:r>
        <w:rPr/>
        <w:br w:type="column"/>
      </w:r>
      <w:r>
        <w:rPr>
          <w:b/>
          <w:color w:val="231F20"/>
          <w:sz w:val="16"/>
        </w:rPr>
        <w:t>Year ended December 31,</w:t>
      </w:r>
    </w:p>
    <w:p>
      <w:pPr>
        <w:tabs>
          <w:tab w:pos="1079" w:val="left" w:leader="none"/>
          <w:tab w:pos="2159" w:val="left" w:leader="none"/>
          <w:tab w:pos="3239" w:val="left" w:leader="none"/>
          <w:tab w:pos="4319" w:val="left" w:leader="none"/>
        </w:tabs>
        <w:spacing w:before="55"/>
        <w:ind w:left="0" w:right="359" w:firstLine="0"/>
        <w:jc w:val="center"/>
        <w:rPr>
          <w:b/>
          <w:sz w:val="16"/>
        </w:rPr>
      </w:pPr>
      <w:r>
        <w:rPr/>
        <w:pict>
          <v:line style="position:absolute;mso-position-horizontal-relative:page;mso-position-vertical-relative:paragraph;z-index:1816" from="259pt,1.71875pt" to="525pt,1.71875pt" stroked="true" strokeweight="1pt" strokecolor="#231f20">
            <v:stroke dashstyle="solid"/>
            <w10:wrap type="none"/>
          </v:line>
        </w:pict>
      </w:r>
      <w:r>
        <w:rPr>
          <w:b/>
          <w:color w:val="231F20"/>
          <w:sz w:val="16"/>
        </w:rPr>
        <w:t>2015</w:t>
        <w:tab/>
        <w:t>2014</w:t>
        <w:tab/>
        <w:t>2013</w:t>
        <w:tab/>
        <w:t>2012</w:t>
        <w:tab/>
        <w:t>2011</w:t>
      </w:r>
    </w:p>
    <w:p>
      <w:pPr>
        <w:spacing w:after="0"/>
        <w:jc w:val="center"/>
        <w:rPr>
          <w:sz w:val="16"/>
        </w:rPr>
        <w:sectPr>
          <w:pgSz w:w="11880" w:h="15480"/>
          <w:pgMar w:header="0" w:footer="1240" w:top="1200" w:bottom="1420" w:left="1280" w:right="1260"/>
          <w:cols w:num="2" w:equalWidth="0">
            <w:col w:w="3847" w:space="293"/>
            <w:col w:w="5200"/>
          </w:cols>
        </w:sectPr>
      </w:pPr>
    </w:p>
    <w:p>
      <w:pPr>
        <w:pStyle w:val="BodyText"/>
        <w:rPr>
          <w:b/>
          <w:sz w:val="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00"/>
        <w:gridCol w:w="1000"/>
        <w:gridCol w:w="1080"/>
        <w:gridCol w:w="1080"/>
        <w:gridCol w:w="1080"/>
        <w:gridCol w:w="1080"/>
      </w:tblGrid>
      <w:tr>
        <w:trPr>
          <w:trHeight w:val="204" w:hRule="exact"/>
        </w:trPr>
        <w:tc>
          <w:tcPr>
            <w:tcW w:w="3800" w:type="dxa"/>
          </w:tcPr>
          <w:p>
            <w:pPr>
              <w:pStyle w:val="TableParagraph"/>
              <w:spacing w:line="178" w:lineRule="exact" w:before="0"/>
              <w:ind w:left="160"/>
              <w:rPr>
                <w:sz w:val="16"/>
              </w:rPr>
            </w:pPr>
            <w:r>
              <w:rPr>
                <w:color w:val="231F20"/>
                <w:sz w:val="16"/>
              </w:rPr>
              <w:t>Operating revenues</w:t>
            </w:r>
          </w:p>
        </w:tc>
        <w:tc>
          <w:tcPr>
            <w:tcW w:w="1000" w:type="dxa"/>
          </w:tcPr>
          <w:p>
            <w:pPr>
              <w:pStyle w:val="TableParagraph"/>
              <w:tabs>
                <w:tab w:pos="439" w:val="left" w:leader="none"/>
              </w:tabs>
              <w:spacing w:line="178" w:lineRule="exact" w:before="0"/>
              <w:rPr>
                <w:sz w:val="16"/>
              </w:rPr>
            </w:pPr>
            <w:r>
              <w:rPr>
                <w:color w:val="231F20"/>
                <w:sz w:val="16"/>
              </w:rPr>
              <w:t>$</w:t>
              <w:tab/>
              <w:t>19,820</w:t>
            </w:r>
          </w:p>
        </w:tc>
        <w:tc>
          <w:tcPr>
            <w:tcW w:w="1080" w:type="dxa"/>
          </w:tcPr>
          <w:p>
            <w:pPr>
              <w:pStyle w:val="TableParagraph"/>
              <w:tabs>
                <w:tab w:pos="519" w:val="left" w:leader="none"/>
              </w:tabs>
              <w:spacing w:line="178" w:lineRule="exact" w:before="0"/>
              <w:ind w:left="80"/>
              <w:rPr>
                <w:sz w:val="16"/>
              </w:rPr>
            </w:pPr>
            <w:r>
              <w:rPr>
                <w:color w:val="231F20"/>
                <w:sz w:val="16"/>
              </w:rPr>
              <w:t>$</w:t>
              <w:tab/>
              <w:t>18,605</w:t>
            </w:r>
          </w:p>
        </w:tc>
        <w:tc>
          <w:tcPr>
            <w:tcW w:w="1080" w:type="dxa"/>
          </w:tcPr>
          <w:p>
            <w:pPr>
              <w:pStyle w:val="TableParagraph"/>
              <w:tabs>
                <w:tab w:pos="519" w:val="left" w:leader="none"/>
              </w:tabs>
              <w:spacing w:line="178" w:lineRule="exact" w:before="0"/>
              <w:ind w:left="80"/>
              <w:rPr>
                <w:sz w:val="16"/>
              </w:rPr>
            </w:pPr>
            <w:r>
              <w:rPr>
                <w:color w:val="231F20"/>
                <w:sz w:val="16"/>
              </w:rPr>
              <w:t>$</w:t>
              <w:tab/>
              <w:t>17,699</w:t>
            </w:r>
          </w:p>
        </w:tc>
        <w:tc>
          <w:tcPr>
            <w:tcW w:w="1080" w:type="dxa"/>
          </w:tcPr>
          <w:p>
            <w:pPr>
              <w:pStyle w:val="TableParagraph"/>
              <w:tabs>
                <w:tab w:pos="519" w:val="left" w:leader="none"/>
              </w:tabs>
              <w:spacing w:line="178" w:lineRule="exact" w:before="0"/>
              <w:ind w:left="80"/>
              <w:rPr>
                <w:sz w:val="16"/>
              </w:rPr>
            </w:pPr>
            <w:r>
              <w:rPr>
                <w:color w:val="231F20"/>
                <w:sz w:val="16"/>
              </w:rPr>
              <w:t>$</w:t>
              <w:tab/>
              <w:t>17,088</w:t>
            </w:r>
          </w:p>
        </w:tc>
        <w:tc>
          <w:tcPr>
            <w:tcW w:w="1080" w:type="dxa"/>
          </w:tcPr>
          <w:p>
            <w:pPr>
              <w:pStyle w:val="TableParagraph"/>
              <w:tabs>
                <w:tab w:pos="519" w:val="left" w:leader="none"/>
              </w:tabs>
              <w:spacing w:line="178" w:lineRule="exact" w:before="0"/>
              <w:ind w:left="80"/>
              <w:rPr>
                <w:sz w:val="16"/>
              </w:rPr>
            </w:pPr>
            <w:r>
              <w:rPr>
                <w:color w:val="231F20"/>
                <w:sz w:val="16"/>
              </w:rPr>
              <w:t>$</w:t>
              <w:tab/>
              <w:t>15,658</w:t>
            </w:r>
          </w:p>
        </w:tc>
      </w:tr>
      <w:tr>
        <w:trPr>
          <w:trHeight w:val="275" w:hRule="exact"/>
        </w:trPr>
        <w:tc>
          <w:tcPr>
            <w:tcW w:w="3800" w:type="dxa"/>
            <w:shd w:val="clear" w:color="auto" w:fill="D1D3D4"/>
          </w:tcPr>
          <w:p>
            <w:pPr>
              <w:pStyle w:val="TableParagraph"/>
              <w:spacing w:before="50"/>
              <w:ind w:left="160"/>
              <w:rPr>
                <w:sz w:val="16"/>
              </w:rPr>
            </w:pPr>
            <w:r>
              <w:rPr>
                <w:color w:val="231F20"/>
                <w:sz w:val="16"/>
              </w:rPr>
              <w:t>Operating expenses</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15,704</w:t>
            </w:r>
          </w:p>
        </w:tc>
        <w:tc>
          <w:tcPr>
            <w:tcW w:w="1080" w:type="dxa"/>
            <w:tcBorders>
              <w:bottom w:val="single" w:sz="4" w:space="0" w:color="231F20"/>
            </w:tcBorders>
            <w:shd w:val="clear" w:color="auto" w:fill="D1D3D4"/>
          </w:tcPr>
          <w:p>
            <w:pPr>
              <w:pStyle w:val="TableParagraph"/>
              <w:spacing w:before="50"/>
              <w:ind w:left="520"/>
              <w:rPr>
                <w:sz w:val="16"/>
              </w:rPr>
            </w:pPr>
            <w:r>
              <w:rPr>
                <w:color w:val="231F20"/>
                <w:sz w:val="16"/>
              </w:rPr>
              <w:t>16,380</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16,421</w:t>
            </w:r>
          </w:p>
        </w:tc>
        <w:tc>
          <w:tcPr>
            <w:tcW w:w="1080" w:type="dxa"/>
            <w:tcBorders>
              <w:bottom w:val="single" w:sz="4" w:space="0" w:color="231F20"/>
            </w:tcBorders>
            <w:shd w:val="clear" w:color="auto" w:fill="D1D3D4"/>
          </w:tcPr>
          <w:p>
            <w:pPr>
              <w:pStyle w:val="TableParagraph"/>
              <w:spacing w:before="50"/>
              <w:ind w:left="520"/>
              <w:rPr>
                <w:sz w:val="16"/>
              </w:rPr>
            </w:pPr>
            <w:r>
              <w:rPr>
                <w:color w:val="231F20"/>
                <w:sz w:val="16"/>
              </w:rPr>
              <w:t>16,465</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14,965</w:t>
            </w:r>
          </w:p>
        </w:tc>
      </w:tr>
      <w:tr>
        <w:trPr>
          <w:trHeight w:val="265" w:hRule="exact"/>
        </w:trPr>
        <w:tc>
          <w:tcPr>
            <w:tcW w:w="3800" w:type="dxa"/>
          </w:tcPr>
          <w:p>
            <w:pPr>
              <w:pStyle w:val="TableParagraph"/>
              <w:spacing w:before="70"/>
              <w:ind w:left="160"/>
              <w:rPr>
                <w:sz w:val="16"/>
              </w:rPr>
            </w:pPr>
            <w:r>
              <w:rPr>
                <w:color w:val="231F20"/>
                <w:sz w:val="16"/>
              </w:rPr>
              <w:t>Operating income</w:t>
            </w:r>
          </w:p>
        </w:tc>
        <w:tc>
          <w:tcPr>
            <w:tcW w:w="1000" w:type="dxa"/>
            <w:tcBorders>
              <w:top w:val="single" w:sz="4" w:space="0" w:color="231F20"/>
            </w:tcBorders>
          </w:tcPr>
          <w:p>
            <w:pPr>
              <w:pStyle w:val="TableParagraph"/>
              <w:spacing w:before="50"/>
              <w:ind w:right="119"/>
              <w:jc w:val="right"/>
              <w:rPr>
                <w:sz w:val="16"/>
              </w:rPr>
            </w:pPr>
            <w:r>
              <w:rPr>
                <w:color w:val="231F20"/>
                <w:sz w:val="16"/>
              </w:rPr>
              <w:t>4,116</w:t>
            </w:r>
          </w:p>
        </w:tc>
        <w:tc>
          <w:tcPr>
            <w:tcW w:w="1080" w:type="dxa"/>
            <w:tcBorders>
              <w:top w:val="single" w:sz="4" w:space="0" w:color="231F20"/>
            </w:tcBorders>
          </w:tcPr>
          <w:p>
            <w:pPr>
              <w:pStyle w:val="TableParagraph"/>
              <w:spacing w:before="50"/>
              <w:ind w:left="600"/>
              <w:rPr>
                <w:sz w:val="16"/>
              </w:rPr>
            </w:pPr>
            <w:r>
              <w:rPr>
                <w:color w:val="231F20"/>
                <w:sz w:val="16"/>
              </w:rPr>
              <w:t>2,225</w:t>
            </w:r>
          </w:p>
        </w:tc>
        <w:tc>
          <w:tcPr>
            <w:tcW w:w="1080" w:type="dxa"/>
            <w:tcBorders>
              <w:top w:val="single" w:sz="4" w:space="0" w:color="231F20"/>
            </w:tcBorders>
          </w:tcPr>
          <w:p>
            <w:pPr>
              <w:pStyle w:val="TableParagraph"/>
              <w:spacing w:before="50"/>
              <w:ind w:right="119"/>
              <w:jc w:val="right"/>
              <w:rPr>
                <w:sz w:val="16"/>
              </w:rPr>
            </w:pPr>
            <w:r>
              <w:rPr>
                <w:color w:val="231F20"/>
                <w:sz w:val="16"/>
              </w:rPr>
              <w:t>1,278</w:t>
            </w:r>
          </w:p>
        </w:tc>
        <w:tc>
          <w:tcPr>
            <w:tcW w:w="1080" w:type="dxa"/>
            <w:tcBorders>
              <w:top w:val="single" w:sz="4" w:space="0" w:color="231F20"/>
            </w:tcBorders>
          </w:tcPr>
          <w:p>
            <w:pPr>
              <w:pStyle w:val="TableParagraph"/>
              <w:spacing w:before="50"/>
              <w:ind w:right="119"/>
              <w:jc w:val="right"/>
              <w:rPr>
                <w:sz w:val="16"/>
              </w:rPr>
            </w:pPr>
            <w:r>
              <w:rPr>
                <w:color w:val="231F20"/>
                <w:sz w:val="16"/>
              </w:rPr>
              <w:t>623</w:t>
            </w:r>
          </w:p>
        </w:tc>
        <w:tc>
          <w:tcPr>
            <w:tcW w:w="1080" w:type="dxa"/>
            <w:tcBorders>
              <w:top w:val="single" w:sz="4" w:space="0" w:color="231F20"/>
            </w:tcBorders>
          </w:tcPr>
          <w:p>
            <w:pPr>
              <w:pStyle w:val="TableParagraph"/>
              <w:spacing w:before="50"/>
              <w:ind w:right="118"/>
              <w:jc w:val="right"/>
              <w:rPr>
                <w:sz w:val="16"/>
              </w:rPr>
            </w:pPr>
            <w:r>
              <w:rPr>
                <w:color w:val="231F20"/>
                <w:sz w:val="16"/>
              </w:rPr>
              <w:t>693</w:t>
            </w:r>
          </w:p>
        </w:tc>
      </w:tr>
      <w:tr>
        <w:trPr>
          <w:trHeight w:val="275" w:hRule="exact"/>
        </w:trPr>
        <w:tc>
          <w:tcPr>
            <w:tcW w:w="3800" w:type="dxa"/>
            <w:shd w:val="clear" w:color="auto" w:fill="D1D3D4"/>
          </w:tcPr>
          <w:p>
            <w:pPr>
              <w:pStyle w:val="TableParagraph"/>
              <w:spacing w:before="50"/>
              <w:ind w:left="160"/>
              <w:rPr>
                <w:sz w:val="16"/>
              </w:rPr>
            </w:pPr>
            <w:r>
              <w:rPr>
                <w:color w:val="231F20"/>
                <w:sz w:val="16"/>
              </w:rPr>
              <w:t>Other expenses (income) net</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637</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409</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69</w:t>
            </w:r>
          </w:p>
        </w:tc>
        <w:tc>
          <w:tcPr>
            <w:tcW w:w="1080" w:type="dxa"/>
            <w:tcBorders>
              <w:bottom w:val="single" w:sz="4" w:space="0" w:color="231F20"/>
            </w:tcBorders>
            <w:shd w:val="clear" w:color="auto" w:fill="D1D3D4"/>
          </w:tcPr>
          <w:p>
            <w:pPr>
              <w:pStyle w:val="TableParagraph"/>
              <w:spacing w:before="50"/>
              <w:ind w:right="77"/>
              <w:jc w:val="right"/>
              <w:rPr>
                <w:sz w:val="16"/>
              </w:rPr>
            </w:pPr>
            <w:r>
              <w:rPr>
                <w:color w:val="231F20"/>
                <w:sz w:val="16"/>
              </w:rPr>
              <w:t>(62)</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370</w:t>
            </w:r>
          </w:p>
        </w:tc>
      </w:tr>
      <w:tr>
        <w:trPr>
          <w:trHeight w:val="265" w:hRule="exact"/>
        </w:trPr>
        <w:tc>
          <w:tcPr>
            <w:tcW w:w="3800" w:type="dxa"/>
          </w:tcPr>
          <w:p>
            <w:pPr>
              <w:pStyle w:val="TableParagraph"/>
              <w:spacing w:before="70"/>
              <w:ind w:left="160"/>
              <w:rPr>
                <w:sz w:val="16"/>
              </w:rPr>
            </w:pPr>
            <w:r>
              <w:rPr>
                <w:color w:val="231F20"/>
                <w:sz w:val="16"/>
              </w:rPr>
              <w:t>Income before taxes</w:t>
            </w:r>
          </w:p>
        </w:tc>
        <w:tc>
          <w:tcPr>
            <w:tcW w:w="1000" w:type="dxa"/>
            <w:tcBorders>
              <w:top w:val="single" w:sz="4" w:space="0" w:color="231F20"/>
            </w:tcBorders>
          </w:tcPr>
          <w:p>
            <w:pPr>
              <w:pStyle w:val="TableParagraph"/>
              <w:spacing w:before="50"/>
              <w:ind w:right="119"/>
              <w:jc w:val="right"/>
              <w:rPr>
                <w:sz w:val="16"/>
              </w:rPr>
            </w:pPr>
            <w:r>
              <w:rPr>
                <w:color w:val="231F20"/>
                <w:sz w:val="16"/>
              </w:rPr>
              <w:t>3,479</w:t>
            </w:r>
          </w:p>
        </w:tc>
        <w:tc>
          <w:tcPr>
            <w:tcW w:w="1080" w:type="dxa"/>
            <w:tcBorders>
              <w:top w:val="single" w:sz="4" w:space="0" w:color="231F20"/>
            </w:tcBorders>
          </w:tcPr>
          <w:p>
            <w:pPr>
              <w:pStyle w:val="TableParagraph"/>
              <w:spacing w:before="50"/>
              <w:ind w:left="600"/>
              <w:rPr>
                <w:sz w:val="16"/>
              </w:rPr>
            </w:pPr>
            <w:r>
              <w:rPr>
                <w:color w:val="231F20"/>
                <w:sz w:val="16"/>
              </w:rPr>
              <w:t>1,816</w:t>
            </w:r>
          </w:p>
        </w:tc>
        <w:tc>
          <w:tcPr>
            <w:tcW w:w="1080" w:type="dxa"/>
            <w:tcBorders>
              <w:top w:val="single" w:sz="4" w:space="0" w:color="231F20"/>
            </w:tcBorders>
          </w:tcPr>
          <w:p>
            <w:pPr>
              <w:pStyle w:val="TableParagraph"/>
              <w:spacing w:before="50"/>
              <w:ind w:right="119"/>
              <w:jc w:val="right"/>
              <w:rPr>
                <w:sz w:val="16"/>
              </w:rPr>
            </w:pPr>
            <w:r>
              <w:rPr>
                <w:color w:val="231F20"/>
                <w:sz w:val="16"/>
              </w:rPr>
              <w:t>1,209</w:t>
            </w:r>
          </w:p>
        </w:tc>
        <w:tc>
          <w:tcPr>
            <w:tcW w:w="1080" w:type="dxa"/>
            <w:tcBorders>
              <w:top w:val="single" w:sz="4" w:space="0" w:color="231F20"/>
            </w:tcBorders>
          </w:tcPr>
          <w:p>
            <w:pPr>
              <w:pStyle w:val="TableParagraph"/>
              <w:spacing w:before="50"/>
              <w:ind w:right="119"/>
              <w:jc w:val="right"/>
              <w:rPr>
                <w:sz w:val="16"/>
              </w:rPr>
            </w:pPr>
            <w:r>
              <w:rPr>
                <w:color w:val="231F20"/>
                <w:sz w:val="16"/>
              </w:rPr>
              <w:t>685</w:t>
            </w:r>
          </w:p>
        </w:tc>
        <w:tc>
          <w:tcPr>
            <w:tcW w:w="1080" w:type="dxa"/>
            <w:tcBorders>
              <w:top w:val="single" w:sz="4" w:space="0" w:color="231F20"/>
            </w:tcBorders>
          </w:tcPr>
          <w:p>
            <w:pPr>
              <w:pStyle w:val="TableParagraph"/>
              <w:spacing w:before="50"/>
              <w:ind w:right="118"/>
              <w:jc w:val="right"/>
              <w:rPr>
                <w:sz w:val="16"/>
              </w:rPr>
            </w:pPr>
            <w:r>
              <w:rPr>
                <w:color w:val="231F20"/>
                <w:sz w:val="16"/>
              </w:rPr>
              <w:t>323</w:t>
            </w:r>
          </w:p>
        </w:tc>
      </w:tr>
      <w:tr>
        <w:trPr>
          <w:trHeight w:val="275" w:hRule="exact"/>
        </w:trPr>
        <w:tc>
          <w:tcPr>
            <w:tcW w:w="3800" w:type="dxa"/>
            <w:shd w:val="clear" w:color="auto" w:fill="D1D3D4"/>
          </w:tcPr>
          <w:p>
            <w:pPr>
              <w:pStyle w:val="TableParagraph"/>
              <w:spacing w:before="50"/>
              <w:ind w:left="160"/>
              <w:rPr>
                <w:sz w:val="16"/>
              </w:rPr>
            </w:pPr>
            <w:r>
              <w:rPr>
                <w:color w:val="231F20"/>
                <w:sz w:val="16"/>
              </w:rPr>
              <w:t>Provision for income taxes</w:t>
            </w:r>
          </w:p>
        </w:tc>
        <w:tc>
          <w:tcPr>
            <w:tcW w:w="1000" w:type="dxa"/>
            <w:tcBorders>
              <w:bottom w:val="single" w:sz="4" w:space="0" w:color="231F20"/>
            </w:tcBorders>
            <w:shd w:val="clear" w:color="auto" w:fill="D1D3D4"/>
          </w:tcPr>
          <w:p>
            <w:pPr>
              <w:pStyle w:val="TableParagraph"/>
              <w:spacing w:before="50"/>
              <w:ind w:right="119"/>
              <w:jc w:val="right"/>
              <w:rPr>
                <w:sz w:val="16"/>
              </w:rPr>
            </w:pPr>
            <w:r>
              <w:rPr>
                <w:color w:val="231F20"/>
                <w:sz w:val="16"/>
              </w:rPr>
              <w:t>1,298</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680</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455</w:t>
            </w:r>
          </w:p>
        </w:tc>
        <w:tc>
          <w:tcPr>
            <w:tcW w:w="1080" w:type="dxa"/>
            <w:tcBorders>
              <w:bottom w:val="single" w:sz="4" w:space="0" w:color="231F20"/>
            </w:tcBorders>
            <w:shd w:val="clear" w:color="auto" w:fill="D1D3D4"/>
          </w:tcPr>
          <w:p>
            <w:pPr>
              <w:pStyle w:val="TableParagraph"/>
              <w:spacing w:before="50"/>
              <w:ind w:right="119"/>
              <w:jc w:val="right"/>
              <w:rPr>
                <w:sz w:val="16"/>
              </w:rPr>
            </w:pPr>
            <w:r>
              <w:rPr>
                <w:color w:val="231F20"/>
                <w:sz w:val="16"/>
              </w:rPr>
              <w:t>264</w:t>
            </w:r>
          </w:p>
        </w:tc>
        <w:tc>
          <w:tcPr>
            <w:tcW w:w="1080" w:type="dxa"/>
            <w:tcBorders>
              <w:bottom w:val="single" w:sz="4" w:space="0" w:color="231F20"/>
            </w:tcBorders>
            <w:shd w:val="clear" w:color="auto" w:fill="D1D3D4"/>
          </w:tcPr>
          <w:p>
            <w:pPr>
              <w:pStyle w:val="TableParagraph"/>
              <w:spacing w:before="50"/>
              <w:ind w:right="118"/>
              <w:jc w:val="right"/>
              <w:rPr>
                <w:sz w:val="16"/>
              </w:rPr>
            </w:pPr>
            <w:r>
              <w:rPr>
                <w:color w:val="231F20"/>
                <w:sz w:val="16"/>
              </w:rPr>
              <w:t>145</w:t>
            </w:r>
          </w:p>
        </w:tc>
      </w:tr>
      <w:tr>
        <w:trPr>
          <w:trHeight w:val="320" w:hRule="exact"/>
        </w:trPr>
        <w:tc>
          <w:tcPr>
            <w:tcW w:w="3800" w:type="dxa"/>
          </w:tcPr>
          <w:p>
            <w:pPr>
              <w:pStyle w:val="TableParagraph"/>
              <w:spacing w:before="70"/>
              <w:ind w:left="160"/>
              <w:rPr>
                <w:sz w:val="16"/>
              </w:rPr>
            </w:pPr>
            <w:r>
              <w:rPr>
                <w:color w:val="231F20"/>
                <w:sz w:val="16"/>
              </w:rPr>
              <w:t>Net income</w:t>
            </w:r>
          </w:p>
        </w:tc>
        <w:tc>
          <w:tcPr>
            <w:tcW w:w="1000" w:type="dxa"/>
            <w:tcBorders>
              <w:top w:val="single" w:sz="4" w:space="0" w:color="231F20"/>
              <w:bottom w:val="single" w:sz="4" w:space="0" w:color="231F20"/>
            </w:tcBorders>
          </w:tcPr>
          <w:p>
            <w:pPr>
              <w:pStyle w:val="TableParagraph"/>
              <w:tabs>
                <w:tab w:pos="519" w:val="left" w:leader="none"/>
              </w:tabs>
              <w:spacing w:before="50"/>
              <w:rPr>
                <w:sz w:val="16"/>
              </w:rPr>
            </w:pPr>
            <w:r>
              <w:rPr>
                <w:color w:val="231F20"/>
                <w:sz w:val="16"/>
              </w:rPr>
              <w:t>$</w:t>
              <w:tab/>
              <w:t>2,181</w:t>
            </w:r>
          </w:p>
        </w:tc>
        <w:tc>
          <w:tcPr>
            <w:tcW w:w="1080" w:type="dxa"/>
            <w:tcBorders>
              <w:top w:val="single" w:sz="4" w:space="0" w:color="231F20"/>
              <w:bottom w:val="single" w:sz="4" w:space="0" w:color="231F20"/>
            </w:tcBorders>
          </w:tcPr>
          <w:p>
            <w:pPr>
              <w:pStyle w:val="TableParagraph"/>
              <w:tabs>
                <w:tab w:pos="599" w:val="left" w:leader="none"/>
              </w:tabs>
              <w:spacing w:before="50"/>
              <w:ind w:left="80"/>
              <w:rPr>
                <w:sz w:val="16"/>
              </w:rPr>
            </w:pPr>
            <w:r>
              <w:rPr>
                <w:color w:val="231F20"/>
                <w:sz w:val="16"/>
              </w:rPr>
              <w:t>$</w:t>
              <w:tab/>
              <w:t>1,136</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754</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421</w:t>
            </w:r>
          </w:p>
        </w:tc>
        <w:tc>
          <w:tcPr>
            <w:tcW w:w="1080" w:type="dxa"/>
            <w:tcBorders>
              <w:top w:val="single" w:sz="4" w:space="0" w:color="231F20"/>
              <w:bottom w:val="single" w:sz="4" w:space="0" w:color="231F20"/>
            </w:tcBorders>
          </w:tcPr>
          <w:p>
            <w:pPr>
              <w:pStyle w:val="TableParagraph"/>
              <w:tabs>
                <w:tab w:pos="719" w:val="left" w:leader="none"/>
              </w:tabs>
              <w:spacing w:before="50"/>
              <w:ind w:left="80"/>
              <w:rPr>
                <w:sz w:val="16"/>
              </w:rPr>
            </w:pPr>
            <w:r>
              <w:rPr>
                <w:color w:val="231F20"/>
                <w:sz w:val="16"/>
              </w:rPr>
              <w:t>$</w:t>
              <w:tab/>
              <w:t>178</w:t>
            </w:r>
          </w:p>
        </w:tc>
      </w:tr>
      <w:tr>
        <w:trPr>
          <w:trHeight w:val="265" w:hRule="exact"/>
        </w:trPr>
        <w:tc>
          <w:tcPr>
            <w:tcW w:w="3800" w:type="dxa"/>
            <w:shd w:val="clear" w:color="auto" w:fill="D1D3D4"/>
          </w:tcPr>
          <w:p>
            <w:pPr>
              <w:pStyle w:val="TableParagraph"/>
              <w:spacing w:before="50"/>
              <w:ind w:left="160"/>
              <w:rPr>
                <w:sz w:val="16"/>
              </w:rPr>
            </w:pPr>
            <w:r>
              <w:rPr>
                <w:color w:val="231F20"/>
                <w:sz w:val="16"/>
              </w:rPr>
              <w:t>Net income per share, basic</w:t>
            </w:r>
          </w:p>
        </w:tc>
        <w:tc>
          <w:tcPr>
            <w:tcW w:w="1000" w:type="dxa"/>
            <w:tcBorders>
              <w:top w:val="single" w:sz="4" w:space="0" w:color="231F20"/>
            </w:tcBorders>
            <w:shd w:val="clear" w:color="auto" w:fill="D1D3D4"/>
          </w:tcPr>
          <w:p>
            <w:pPr>
              <w:pStyle w:val="TableParagraph"/>
              <w:tabs>
                <w:tab w:pos="599" w:val="left" w:leader="none"/>
              </w:tabs>
              <w:spacing w:before="50"/>
              <w:rPr>
                <w:sz w:val="16"/>
              </w:rPr>
            </w:pPr>
            <w:r>
              <w:rPr>
                <w:color w:val="231F20"/>
                <w:sz w:val="16"/>
              </w:rPr>
              <w:t>$</w:t>
              <w:tab/>
              <w:t>3.30</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1.65</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1.06</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0.56</w:t>
            </w:r>
          </w:p>
        </w:tc>
        <w:tc>
          <w:tcPr>
            <w:tcW w:w="1080" w:type="dxa"/>
            <w:tcBorders>
              <w:top w:val="single" w:sz="4" w:space="0" w:color="231F20"/>
            </w:tcBorders>
            <w:shd w:val="clear" w:color="auto" w:fill="D1D3D4"/>
          </w:tcPr>
          <w:p>
            <w:pPr>
              <w:pStyle w:val="TableParagraph"/>
              <w:tabs>
                <w:tab w:pos="679" w:val="left" w:leader="none"/>
              </w:tabs>
              <w:spacing w:before="50"/>
              <w:ind w:left="80"/>
              <w:rPr>
                <w:sz w:val="16"/>
              </w:rPr>
            </w:pPr>
            <w:r>
              <w:rPr>
                <w:color w:val="231F20"/>
                <w:sz w:val="16"/>
              </w:rPr>
              <w:t>$</w:t>
              <w:tab/>
              <w:t>0.23</w:t>
            </w:r>
          </w:p>
        </w:tc>
      </w:tr>
      <w:tr>
        <w:trPr>
          <w:trHeight w:val="260" w:hRule="exact"/>
        </w:trPr>
        <w:tc>
          <w:tcPr>
            <w:tcW w:w="3800" w:type="dxa"/>
          </w:tcPr>
          <w:p>
            <w:pPr>
              <w:pStyle w:val="TableParagraph"/>
              <w:spacing w:before="50"/>
              <w:ind w:left="160"/>
              <w:rPr>
                <w:sz w:val="16"/>
              </w:rPr>
            </w:pPr>
            <w:r>
              <w:rPr>
                <w:color w:val="231F20"/>
                <w:sz w:val="16"/>
              </w:rPr>
              <w:t>Net income per share, diluted</w:t>
            </w:r>
          </w:p>
        </w:tc>
        <w:tc>
          <w:tcPr>
            <w:tcW w:w="1000" w:type="dxa"/>
          </w:tcPr>
          <w:p>
            <w:pPr>
              <w:pStyle w:val="TableParagraph"/>
              <w:tabs>
                <w:tab w:pos="599" w:val="left" w:leader="none"/>
              </w:tabs>
              <w:spacing w:before="50"/>
              <w:rPr>
                <w:sz w:val="16"/>
              </w:rPr>
            </w:pPr>
            <w:r>
              <w:rPr>
                <w:color w:val="231F20"/>
                <w:sz w:val="16"/>
              </w:rPr>
              <w:t>$</w:t>
              <w:tab/>
              <w:t>3.27</w:t>
            </w:r>
          </w:p>
        </w:tc>
        <w:tc>
          <w:tcPr>
            <w:tcW w:w="1080" w:type="dxa"/>
          </w:tcPr>
          <w:p>
            <w:pPr>
              <w:pStyle w:val="TableParagraph"/>
              <w:tabs>
                <w:tab w:pos="679" w:val="left" w:leader="none"/>
              </w:tabs>
              <w:spacing w:before="50"/>
              <w:ind w:left="80"/>
              <w:rPr>
                <w:sz w:val="16"/>
              </w:rPr>
            </w:pPr>
            <w:r>
              <w:rPr>
                <w:color w:val="231F20"/>
                <w:sz w:val="16"/>
              </w:rPr>
              <w:t>$</w:t>
              <w:tab/>
              <w:t>1.64</w:t>
            </w:r>
          </w:p>
        </w:tc>
        <w:tc>
          <w:tcPr>
            <w:tcW w:w="1080" w:type="dxa"/>
          </w:tcPr>
          <w:p>
            <w:pPr>
              <w:pStyle w:val="TableParagraph"/>
              <w:tabs>
                <w:tab w:pos="679" w:val="left" w:leader="none"/>
              </w:tabs>
              <w:spacing w:before="50"/>
              <w:ind w:left="80"/>
              <w:rPr>
                <w:sz w:val="16"/>
              </w:rPr>
            </w:pPr>
            <w:r>
              <w:rPr>
                <w:color w:val="231F20"/>
                <w:sz w:val="16"/>
              </w:rPr>
              <w:t>$</w:t>
              <w:tab/>
              <w:t>1.05</w:t>
            </w:r>
          </w:p>
        </w:tc>
        <w:tc>
          <w:tcPr>
            <w:tcW w:w="1080" w:type="dxa"/>
          </w:tcPr>
          <w:p>
            <w:pPr>
              <w:pStyle w:val="TableParagraph"/>
              <w:tabs>
                <w:tab w:pos="679" w:val="left" w:leader="none"/>
              </w:tabs>
              <w:spacing w:before="50"/>
              <w:ind w:left="80"/>
              <w:rPr>
                <w:sz w:val="16"/>
              </w:rPr>
            </w:pPr>
            <w:r>
              <w:rPr>
                <w:color w:val="231F20"/>
                <w:sz w:val="16"/>
              </w:rPr>
              <w:t>$</w:t>
              <w:tab/>
              <w:t>0.56</w:t>
            </w:r>
          </w:p>
        </w:tc>
        <w:tc>
          <w:tcPr>
            <w:tcW w:w="1080" w:type="dxa"/>
          </w:tcPr>
          <w:p>
            <w:pPr>
              <w:pStyle w:val="TableParagraph"/>
              <w:tabs>
                <w:tab w:pos="679" w:val="left" w:leader="none"/>
              </w:tabs>
              <w:spacing w:before="50"/>
              <w:ind w:left="80"/>
              <w:rPr>
                <w:sz w:val="16"/>
              </w:rPr>
            </w:pPr>
            <w:r>
              <w:rPr>
                <w:color w:val="231F20"/>
                <w:sz w:val="16"/>
              </w:rPr>
              <w:t>$</w:t>
              <w:tab/>
              <w:t>0.23</w:t>
            </w:r>
          </w:p>
        </w:tc>
      </w:tr>
      <w:tr>
        <w:trPr>
          <w:trHeight w:val="260" w:hRule="exact"/>
        </w:trPr>
        <w:tc>
          <w:tcPr>
            <w:tcW w:w="3800" w:type="dxa"/>
            <w:shd w:val="clear" w:color="auto" w:fill="D1D3D4"/>
          </w:tcPr>
          <w:p>
            <w:pPr>
              <w:pStyle w:val="TableParagraph"/>
              <w:spacing w:before="50"/>
              <w:ind w:left="160"/>
              <w:rPr>
                <w:sz w:val="16"/>
              </w:rPr>
            </w:pPr>
            <w:r>
              <w:rPr>
                <w:color w:val="231F20"/>
                <w:sz w:val="16"/>
              </w:rPr>
              <w:t>Cash dividends per common share</w:t>
            </w:r>
          </w:p>
        </w:tc>
        <w:tc>
          <w:tcPr>
            <w:tcW w:w="1000" w:type="dxa"/>
            <w:shd w:val="clear" w:color="auto" w:fill="D1D3D4"/>
          </w:tcPr>
          <w:p>
            <w:pPr>
              <w:pStyle w:val="TableParagraph"/>
              <w:tabs>
                <w:tab w:pos="439" w:val="left" w:leader="none"/>
              </w:tabs>
              <w:spacing w:before="50"/>
              <w:rPr>
                <w:sz w:val="16"/>
              </w:rPr>
            </w:pPr>
            <w:r>
              <w:rPr>
                <w:color w:val="231F20"/>
                <w:sz w:val="16"/>
              </w:rPr>
              <w:t>$</w:t>
              <w:tab/>
              <w:t>0.2850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0.2200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0.1300</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0.0345</w:t>
            </w:r>
          </w:p>
        </w:tc>
        <w:tc>
          <w:tcPr>
            <w:tcW w:w="1080" w:type="dxa"/>
            <w:shd w:val="clear" w:color="auto" w:fill="D1D3D4"/>
          </w:tcPr>
          <w:p>
            <w:pPr>
              <w:pStyle w:val="TableParagraph"/>
              <w:tabs>
                <w:tab w:pos="519" w:val="left" w:leader="none"/>
              </w:tabs>
              <w:spacing w:before="50"/>
              <w:ind w:left="80"/>
              <w:rPr>
                <w:sz w:val="16"/>
              </w:rPr>
            </w:pPr>
            <w:r>
              <w:rPr>
                <w:color w:val="231F20"/>
                <w:sz w:val="16"/>
              </w:rPr>
              <w:t>$</w:t>
              <w:tab/>
              <w:t>0.0180</w:t>
            </w:r>
          </w:p>
        </w:tc>
      </w:tr>
      <w:tr>
        <w:trPr>
          <w:trHeight w:val="260" w:hRule="exact"/>
        </w:trPr>
        <w:tc>
          <w:tcPr>
            <w:tcW w:w="3800" w:type="dxa"/>
          </w:tcPr>
          <w:p>
            <w:pPr>
              <w:pStyle w:val="TableParagraph"/>
              <w:spacing w:before="50"/>
              <w:ind w:left="160"/>
              <w:rPr>
                <w:sz w:val="16"/>
              </w:rPr>
            </w:pPr>
            <w:r>
              <w:rPr>
                <w:color w:val="231F20"/>
                <w:sz w:val="16"/>
              </w:rPr>
              <w:t>Total assets at period-end (1)</w:t>
            </w:r>
          </w:p>
        </w:tc>
        <w:tc>
          <w:tcPr>
            <w:tcW w:w="1000" w:type="dxa"/>
          </w:tcPr>
          <w:p>
            <w:pPr>
              <w:pStyle w:val="TableParagraph"/>
              <w:tabs>
                <w:tab w:pos="439" w:val="left" w:leader="none"/>
              </w:tabs>
              <w:spacing w:before="50"/>
              <w:rPr>
                <w:sz w:val="16"/>
              </w:rPr>
            </w:pPr>
            <w:r>
              <w:rPr>
                <w:color w:val="231F20"/>
                <w:sz w:val="16"/>
              </w:rPr>
              <w:t>$</w:t>
              <w:tab/>
              <w:t>21,312</w:t>
            </w:r>
          </w:p>
        </w:tc>
        <w:tc>
          <w:tcPr>
            <w:tcW w:w="1080" w:type="dxa"/>
          </w:tcPr>
          <w:p>
            <w:pPr>
              <w:pStyle w:val="TableParagraph"/>
              <w:tabs>
                <w:tab w:pos="519" w:val="left" w:leader="none"/>
              </w:tabs>
              <w:spacing w:before="50"/>
              <w:ind w:left="80"/>
              <w:rPr>
                <w:sz w:val="16"/>
              </w:rPr>
            </w:pPr>
            <w:r>
              <w:rPr>
                <w:color w:val="231F20"/>
                <w:sz w:val="16"/>
              </w:rPr>
              <w:t>$</w:t>
              <w:tab/>
              <w:t>19,723</w:t>
            </w:r>
          </w:p>
        </w:tc>
        <w:tc>
          <w:tcPr>
            <w:tcW w:w="1080" w:type="dxa"/>
          </w:tcPr>
          <w:p>
            <w:pPr>
              <w:pStyle w:val="TableParagraph"/>
              <w:tabs>
                <w:tab w:pos="519" w:val="left" w:leader="none"/>
              </w:tabs>
              <w:spacing w:before="50"/>
              <w:ind w:left="80"/>
              <w:rPr>
                <w:sz w:val="16"/>
              </w:rPr>
            </w:pPr>
            <w:r>
              <w:rPr>
                <w:color w:val="231F20"/>
                <w:sz w:val="16"/>
              </w:rPr>
              <w:t>$</w:t>
              <w:tab/>
              <w:t>19,177</w:t>
            </w:r>
          </w:p>
        </w:tc>
        <w:tc>
          <w:tcPr>
            <w:tcW w:w="1080" w:type="dxa"/>
          </w:tcPr>
          <w:p>
            <w:pPr>
              <w:pStyle w:val="TableParagraph"/>
              <w:tabs>
                <w:tab w:pos="519" w:val="left" w:leader="none"/>
              </w:tabs>
              <w:spacing w:before="50"/>
              <w:ind w:left="80"/>
              <w:rPr>
                <w:sz w:val="16"/>
              </w:rPr>
            </w:pPr>
            <w:r>
              <w:rPr>
                <w:color w:val="231F20"/>
                <w:sz w:val="16"/>
              </w:rPr>
              <w:t>$</w:t>
              <w:tab/>
              <w:t>18,350</w:t>
            </w:r>
          </w:p>
        </w:tc>
        <w:tc>
          <w:tcPr>
            <w:tcW w:w="1080" w:type="dxa"/>
          </w:tcPr>
          <w:p>
            <w:pPr>
              <w:pStyle w:val="TableParagraph"/>
              <w:tabs>
                <w:tab w:pos="519" w:val="left" w:leader="none"/>
              </w:tabs>
              <w:spacing w:before="50"/>
              <w:ind w:left="80"/>
              <w:rPr>
                <w:sz w:val="16"/>
              </w:rPr>
            </w:pPr>
            <w:r>
              <w:rPr>
                <w:color w:val="231F20"/>
                <w:sz w:val="16"/>
              </w:rPr>
              <w:t>$</w:t>
              <w:tab/>
              <w:t>17,805</w:t>
            </w:r>
          </w:p>
        </w:tc>
      </w:tr>
      <w:tr>
        <w:trPr>
          <w:trHeight w:val="260" w:hRule="exact"/>
        </w:trPr>
        <w:tc>
          <w:tcPr>
            <w:tcW w:w="3800" w:type="dxa"/>
            <w:shd w:val="clear" w:color="auto" w:fill="D1D3D4"/>
          </w:tcPr>
          <w:p>
            <w:pPr>
              <w:pStyle w:val="TableParagraph"/>
              <w:spacing w:before="50"/>
              <w:ind w:left="160"/>
              <w:rPr>
                <w:sz w:val="16"/>
              </w:rPr>
            </w:pPr>
            <w:r>
              <w:rPr>
                <w:color w:val="231F20"/>
                <w:sz w:val="16"/>
              </w:rPr>
              <w:t>Long-term obligations at period-end</w:t>
            </w:r>
          </w:p>
        </w:tc>
        <w:tc>
          <w:tcPr>
            <w:tcW w:w="1000" w:type="dxa"/>
            <w:shd w:val="clear" w:color="auto" w:fill="D1D3D4"/>
          </w:tcPr>
          <w:p>
            <w:pPr>
              <w:pStyle w:val="TableParagraph"/>
              <w:tabs>
                <w:tab w:pos="519" w:val="left" w:leader="none"/>
              </w:tabs>
              <w:spacing w:before="50"/>
              <w:rPr>
                <w:sz w:val="16"/>
              </w:rPr>
            </w:pPr>
            <w:r>
              <w:rPr>
                <w:color w:val="231F20"/>
                <w:sz w:val="16"/>
              </w:rPr>
              <w:t>$</w:t>
              <w:tab/>
              <w:t>2,541</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2,434</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2,191</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2,883</w:t>
            </w:r>
          </w:p>
        </w:tc>
        <w:tc>
          <w:tcPr>
            <w:tcW w:w="1080" w:type="dxa"/>
            <w:shd w:val="clear" w:color="auto" w:fill="D1D3D4"/>
          </w:tcPr>
          <w:p>
            <w:pPr>
              <w:pStyle w:val="TableParagraph"/>
              <w:tabs>
                <w:tab w:pos="599" w:val="left" w:leader="none"/>
              </w:tabs>
              <w:spacing w:before="50"/>
              <w:ind w:left="80"/>
              <w:rPr>
                <w:sz w:val="16"/>
              </w:rPr>
            </w:pPr>
            <w:r>
              <w:rPr>
                <w:color w:val="231F20"/>
                <w:sz w:val="16"/>
              </w:rPr>
              <w:t>$</w:t>
              <w:tab/>
              <w:t>3,107</w:t>
            </w:r>
          </w:p>
        </w:tc>
      </w:tr>
      <w:tr>
        <w:trPr>
          <w:trHeight w:val="235" w:hRule="exact"/>
        </w:trPr>
        <w:tc>
          <w:tcPr>
            <w:tcW w:w="3800" w:type="dxa"/>
          </w:tcPr>
          <w:p>
            <w:pPr>
              <w:pStyle w:val="TableParagraph"/>
              <w:spacing w:before="50"/>
              <w:ind w:left="160"/>
              <w:rPr>
                <w:sz w:val="16"/>
              </w:rPr>
            </w:pPr>
            <w:r>
              <w:rPr>
                <w:color w:val="231F20"/>
                <w:sz w:val="16"/>
              </w:rPr>
              <w:t>Stockholders’ equity at period-end</w:t>
            </w:r>
          </w:p>
        </w:tc>
        <w:tc>
          <w:tcPr>
            <w:tcW w:w="1000" w:type="dxa"/>
          </w:tcPr>
          <w:p>
            <w:pPr>
              <w:pStyle w:val="TableParagraph"/>
              <w:tabs>
                <w:tab w:pos="519" w:val="left" w:leader="none"/>
              </w:tabs>
              <w:spacing w:before="50"/>
              <w:rPr>
                <w:sz w:val="16"/>
              </w:rPr>
            </w:pPr>
            <w:r>
              <w:rPr>
                <w:color w:val="231F20"/>
                <w:sz w:val="16"/>
              </w:rPr>
              <w:t>$</w:t>
              <w:tab/>
              <w:t>7,358</w:t>
            </w:r>
          </w:p>
        </w:tc>
        <w:tc>
          <w:tcPr>
            <w:tcW w:w="1080" w:type="dxa"/>
          </w:tcPr>
          <w:p>
            <w:pPr>
              <w:pStyle w:val="TableParagraph"/>
              <w:tabs>
                <w:tab w:pos="599" w:val="left" w:leader="none"/>
              </w:tabs>
              <w:spacing w:before="50"/>
              <w:ind w:left="80"/>
              <w:rPr>
                <w:sz w:val="16"/>
              </w:rPr>
            </w:pPr>
            <w:r>
              <w:rPr>
                <w:color w:val="231F20"/>
                <w:sz w:val="16"/>
              </w:rPr>
              <w:t>$</w:t>
              <w:tab/>
              <w:t>6,775</w:t>
            </w:r>
          </w:p>
        </w:tc>
        <w:tc>
          <w:tcPr>
            <w:tcW w:w="1080" w:type="dxa"/>
          </w:tcPr>
          <w:p>
            <w:pPr>
              <w:pStyle w:val="TableParagraph"/>
              <w:tabs>
                <w:tab w:pos="599" w:val="left" w:leader="none"/>
              </w:tabs>
              <w:spacing w:before="50"/>
              <w:ind w:left="80"/>
              <w:rPr>
                <w:sz w:val="16"/>
              </w:rPr>
            </w:pPr>
            <w:r>
              <w:rPr>
                <w:color w:val="231F20"/>
                <w:sz w:val="16"/>
              </w:rPr>
              <w:t>$</w:t>
              <w:tab/>
              <w:t>7,336</w:t>
            </w:r>
          </w:p>
        </w:tc>
        <w:tc>
          <w:tcPr>
            <w:tcW w:w="1080" w:type="dxa"/>
          </w:tcPr>
          <w:p>
            <w:pPr>
              <w:pStyle w:val="TableParagraph"/>
              <w:tabs>
                <w:tab w:pos="599" w:val="left" w:leader="none"/>
              </w:tabs>
              <w:spacing w:before="50"/>
              <w:ind w:left="80"/>
              <w:rPr>
                <w:sz w:val="16"/>
              </w:rPr>
            </w:pPr>
            <w:r>
              <w:rPr>
                <w:color w:val="231F20"/>
                <w:sz w:val="16"/>
              </w:rPr>
              <w:t>$</w:t>
              <w:tab/>
              <w:t>6,992</w:t>
            </w:r>
          </w:p>
        </w:tc>
        <w:tc>
          <w:tcPr>
            <w:tcW w:w="1080" w:type="dxa"/>
          </w:tcPr>
          <w:p>
            <w:pPr>
              <w:pStyle w:val="TableParagraph"/>
              <w:tabs>
                <w:tab w:pos="599" w:val="left" w:leader="none"/>
              </w:tabs>
              <w:spacing w:before="50"/>
              <w:ind w:left="80"/>
              <w:rPr>
                <w:sz w:val="16"/>
              </w:rPr>
            </w:pPr>
            <w:r>
              <w:rPr>
                <w:color w:val="231F20"/>
                <w:sz w:val="16"/>
              </w:rPr>
              <w:t>$</w:t>
              <w:tab/>
              <w:t>6,877</w:t>
            </w:r>
          </w:p>
        </w:tc>
      </w:tr>
      <w:tr>
        <w:trPr>
          <w:trHeight w:val="285" w:hRule="exact"/>
        </w:trPr>
        <w:tc>
          <w:tcPr>
            <w:tcW w:w="9120" w:type="dxa"/>
            <w:gridSpan w:val="6"/>
            <w:shd w:val="clear" w:color="auto" w:fill="D1D3D4"/>
          </w:tcPr>
          <w:p>
            <w:pPr>
              <w:pStyle w:val="TableParagraph"/>
              <w:spacing w:before="75"/>
              <w:rPr>
                <w:b/>
                <w:sz w:val="16"/>
              </w:rPr>
            </w:pPr>
            <w:r>
              <w:rPr>
                <w:b/>
                <w:color w:val="231F20"/>
                <w:sz w:val="16"/>
              </w:rPr>
              <w:t>Operating Data:</w:t>
            </w:r>
          </w:p>
        </w:tc>
      </w:tr>
      <w:tr>
        <w:trPr>
          <w:trHeight w:val="260" w:hRule="exact"/>
        </w:trPr>
        <w:tc>
          <w:tcPr>
            <w:tcW w:w="3800" w:type="dxa"/>
          </w:tcPr>
          <w:p>
            <w:pPr>
              <w:pStyle w:val="TableParagraph"/>
              <w:spacing w:before="50"/>
              <w:ind w:left="160"/>
              <w:rPr>
                <w:sz w:val="16"/>
              </w:rPr>
            </w:pPr>
            <w:r>
              <w:rPr>
                <w:color w:val="231F20"/>
                <w:sz w:val="16"/>
              </w:rPr>
              <w:t>Revenue passengers carried</w:t>
            </w:r>
          </w:p>
        </w:tc>
        <w:tc>
          <w:tcPr>
            <w:tcW w:w="1000" w:type="dxa"/>
          </w:tcPr>
          <w:p>
            <w:pPr>
              <w:pStyle w:val="TableParagraph"/>
              <w:spacing w:before="50"/>
              <w:ind w:left="80"/>
              <w:rPr>
                <w:sz w:val="16"/>
              </w:rPr>
            </w:pPr>
            <w:r>
              <w:rPr>
                <w:color w:val="231F20"/>
                <w:sz w:val="16"/>
              </w:rPr>
              <w:t>118,171,211</w:t>
            </w:r>
          </w:p>
        </w:tc>
        <w:tc>
          <w:tcPr>
            <w:tcW w:w="1080" w:type="dxa"/>
          </w:tcPr>
          <w:p>
            <w:pPr>
              <w:pStyle w:val="TableParagraph"/>
              <w:spacing w:before="50"/>
              <w:ind w:left="160"/>
              <w:rPr>
                <w:sz w:val="16"/>
              </w:rPr>
            </w:pPr>
            <w:r>
              <w:rPr>
                <w:color w:val="231F20"/>
                <w:sz w:val="16"/>
              </w:rPr>
              <w:t>110,496,912</w:t>
            </w:r>
          </w:p>
        </w:tc>
        <w:tc>
          <w:tcPr>
            <w:tcW w:w="1080" w:type="dxa"/>
          </w:tcPr>
          <w:p>
            <w:pPr>
              <w:pStyle w:val="TableParagraph"/>
              <w:spacing w:before="50"/>
              <w:ind w:left="160"/>
              <w:rPr>
                <w:sz w:val="16"/>
              </w:rPr>
            </w:pPr>
            <w:r>
              <w:rPr>
                <w:color w:val="231F20"/>
                <w:sz w:val="16"/>
              </w:rPr>
              <w:t>108,075,976</w:t>
            </w:r>
          </w:p>
        </w:tc>
        <w:tc>
          <w:tcPr>
            <w:tcW w:w="1080" w:type="dxa"/>
          </w:tcPr>
          <w:p>
            <w:pPr>
              <w:pStyle w:val="TableParagraph"/>
              <w:spacing w:before="50"/>
              <w:ind w:left="160"/>
              <w:rPr>
                <w:sz w:val="16"/>
              </w:rPr>
            </w:pPr>
            <w:r>
              <w:rPr>
                <w:color w:val="231F20"/>
                <w:sz w:val="16"/>
              </w:rPr>
              <w:t>109,346,509</w:t>
            </w:r>
          </w:p>
        </w:tc>
        <w:tc>
          <w:tcPr>
            <w:tcW w:w="1080" w:type="dxa"/>
          </w:tcPr>
          <w:p>
            <w:pPr>
              <w:pStyle w:val="TableParagraph"/>
              <w:spacing w:before="50"/>
              <w:ind w:left="160"/>
              <w:rPr>
                <w:sz w:val="16"/>
              </w:rPr>
            </w:pPr>
            <w:r>
              <w:rPr>
                <w:color w:val="231F20"/>
                <w:sz w:val="16"/>
              </w:rPr>
              <w:t>103,973,759</w:t>
            </w:r>
          </w:p>
        </w:tc>
      </w:tr>
      <w:tr>
        <w:trPr>
          <w:trHeight w:val="260" w:hRule="exact"/>
        </w:trPr>
        <w:tc>
          <w:tcPr>
            <w:tcW w:w="3800" w:type="dxa"/>
            <w:shd w:val="clear" w:color="auto" w:fill="D1D3D4"/>
          </w:tcPr>
          <w:p>
            <w:pPr>
              <w:pStyle w:val="TableParagraph"/>
              <w:spacing w:before="50"/>
              <w:ind w:left="160"/>
              <w:rPr>
                <w:sz w:val="16"/>
              </w:rPr>
            </w:pPr>
            <w:r>
              <w:rPr>
                <w:color w:val="231F20"/>
                <w:sz w:val="16"/>
              </w:rPr>
              <w:t>Enplaned passengers</w:t>
            </w:r>
          </w:p>
        </w:tc>
        <w:tc>
          <w:tcPr>
            <w:tcW w:w="1000" w:type="dxa"/>
            <w:shd w:val="clear" w:color="auto" w:fill="D1D3D4"/>
          </w:tcPr>
          <w:p>
            <w:pPr>
              <w:pStyle w:val="TableParagraph"/>
              <w:spacing w:before="50"/>
              <w:ind w:left="80"/>
              <w:rPr>
                <w:sz w:val="16"/>
              </w:rPr>
            </w:pPr>
            <w:r>
              <w:rPr>
                <w:color w:val="231F20"/>
                <w:sz w:val="16"/>
              </w:rPr>
              <w:t>144,574,882</w:t>
            </w:r>
          </w:p>
        </w:tc>
        <w:tc>
          <w:tcPr>
            <w:tcW w:w="1080" w:type="dxa"/>
            <w:shd w:val="clear" w:color="auto" w:fill="D1D3D4"/>
          </w:tcPr>
          <w:p>
            <w:pPr>
              <w:pStyle w:val="TableParagraph"/>
              <w:spacing w:before="50"/>
              <w:ind w:left="160"/>
              <w:rPr>
                <w:sz w:val="16"/>
              </w:rPr>
            </w:pPr>
            <w:r>
              <w:rPr>
                <w:color w:val="231F20"/>
                <w:sz w:val="16"/>
              </w:rPr>
              <w:t>135,767,188</w:t>
            </w:r>
          </w:p>
        </w:tc>
        <w:tc>
          <w:tcPr>
            <w:tcW w:w="1080" w:type="dxa"/>
            <w:shd w:val="clear" w:color="auto" w:fill="D1D3D4"/>
          </w:tcPr>
          <w:p>
            <w:pPr>
              <w:pStyle w:val="TableParagraph"/>
              <w:spacing w:before="50"/>
              <w:ind w:left="160"/>
              <w:rPr>
                <w:sz w:val="16"/>
              </w:rPr>
            </w:pPr>
            <w:r>
              <w:rPr>
                <w:color w:val="231F20"/>
                <w:sz w:val="16"/>
              </w:rPr>
              <w:t>133,155,030</w:t>
            </w:r>
          </w:p>
        </w:tc>
        <w:tc>
          <w:tcPr>
            <w:tcW w:w="1080" w:type="dxa"/>
            <w:shd w:val="clear" w:color="auto" w:fill="D1D3D4"/>
          </w:tcPr>
          <w:p>
            <w:pPr>
              <w:pStyle w:val="TableParagraph"/>
              <w:spacing w:before="50"/>
              <w:ind w:left="160"/>
              <w:rPr>
                <w:sz w:val="16"/>
              </w:rPr>
            </w:pPr>
            <w:r>
              <w:rPr>
                <w:color w:val="231F20"/>
                <w:sz w:val="16"/>
              </w:rPr>
              <w:t>133,978,100</w:t>
            </w:r>
          </w:p>
        </w:tc>
        <w:tc>
          <w:tcPr>
            <w:tcW w:w="1080" w:type="dxa"/>
            <w:shd w:val="clear" w:color="auto" w:fill="D1D3D4"/>
          </w:tcPr>
          <w:p>
            <w:pPr>
              <w:pStyle w:val="TableParagraph"/>
              <w:spacing w:before="50"/>
              <w:ind w:left="160"/>
              <w:rPr>
                <w:sz w:val="16"/>
              </w:rPr>
            </w:pPr>
            <w:r>
              <w:rPr>
                <w:color w:val="231F20"/>
                <w:sz w:val="16"/>
              </w:rPr>
              <w:t>127,551,012</w:t>
            </w:r>
          </w:p>
        </w:tc>
      </w:tr>
      <w:tr>
        <w:trPr>
          <w:trHeight w:val="260" w:hRule="exact"/>
        </w:trPr>
        <w:tc>
          <w:tcPr>
            <w:tcW w:w="3800" w:type="dxa"/>
          </w:tcPr>
          <w:p>
            <w:pPr>
              <w:pStyle w:val="TableParagraph"/>
              <w:spacing w:before="50"/>
              <w:ind w:left="160"/>
              <w:rPr>
                <w:sz w:val="16"/>
              </w:rPr>
            </w:pPr>
            <w:r>
              <w:rPr>
                <w:color w:val="231F20"/>
                <w:sz w:val="16"/>
              </w:rPr>
              <w:t>Revenue passenger miles (RPMs) (000s) (2)</w:t>
            </w:r>
          </w:p>
        </w:tc>
        <w:tc>
          <w:tcPr>
            <w:tcW w:w="1000" w:type="dxa"/>
          </w:tcPr>
          <w:p>
            <w:pPr>
              <w:pStyle w:val="TableParagraph"/>
              <w:spacing w:before="50"/>
              <w:ind w:left="80"/>
              <w:rPr>
                <w:sz w:val="16"/>
              </w:rPr>
            </w:pPr>
            <w:r>
              <w:rPr>
                <w:color w:val="231F20"/>
                <w:sz w:val="16"/>
              </w:rPr>
              <w:t>117,499,879</w:t>
            </w:r>
          </w:p>
        </w:tc>
        <w:tc>
          <w:tcPr>
            <w:tcW w:w="1080" w:type="dxa"/>
          </w:tcPr>
          <w:p>
            <w:pPr>
              <w:pStyle w:val="TableParagraph"/>
              <w:spacing w:before="50"/>
              <w:ind w:left="160"/>
              <w:rPr>
                <w:sz w:val="16"/>
              </w:rPr>
            </w:pPr>
            <w:r>
              <w:rPr>
                <w:color w:val="231F20"/>
                <w:sz w:val="16"/>
              </w:rPr>
              <w:t>108,035,133</w:t>
            </w:r>
          </w:p>
        </w:tc>
        <w:tc>
          <w:tcPr>
            <w:tcW w:w="1080" w:type="dxa"/>
          </w:tcPr>
          <w:p>
            <w:pPr>
              <w:pStyle w:val="TableParagraph"/>
              <w:spacing w:before="50"/>
              <w:ind w:left="160"/>
              <w:rPr>
                <w:sz w:val="16"/>
              </w:rPr>
            </w:pPr>
            <w:r>
              <w:rPr>
                <w:color w:val="231F20"/>
                <w:sz w:val="16"/>
              </w:rPr>
              <w:t>104,348,216</w:t>
            </w:r>
          </w:p>
        </w:tc>
        <w:tc>
          <w:tcPr>
            <w:tcW w:w="1080" w:type="dxa"/>
          </w:tcPr>
          <w:p>
            <w:pPr>
              <w:pStyle w:val="TableParagraph"/>
              <w:spacing w:before="50"/>
              <w:ind w:left="160"/>
              <w:rPr>
                <w:sz w:val="16"/>
              </w:rPr>
            </w:pPr>
            <w:r>
              <w:rPr>
                <w:color w:val="231F20"/>
                <w:sz w:val="16"/>
              </w:rPr>
              <w:t>102,874,979</w:t>
            </w:r>
          </w:p>
        </w:tc>
        <w:tc>
          <w:tcPr>
            <w:tcW w:w="1080" w:type="dxa"/>
          </w:tcPr>
          <w:p>
            <w:pPr>
              <w:pStyle w:val="TableParagraph"/>
              <w:spacing w:before="50"/>
              <w:ind w:left="240"/>
              <w:rPr>
                <w:sz w:val="16"/>
              </w:rPr>
            </w:pPr>
            <w:r>
              <w:rPr>
                <w:color w:val="231F20"/>
                <w:sz w:val="16"/>
              </w:rPr>
              <w:t>97,582,530</w:t>
            </w:r>
          </w:p>
        </w:tc>
      </w:tr>
      <w:tr>
        <w:trPr>
          <w:trHeight w:val="260" w:hRule="exact"/>
        </w:trPr>
        <w:tc>
          <w:tcPr>
            <w:tcW w:w="3800" w:type="dxa"/>
            <w:shd w:val="clear" w:color="auto" w:fill="D1D3D4"/>
          </w:tcPr>
          <w:p>
            <w:pPr>
              <w:pStyle w:val="TableParagraph"/>
              <w:spacing w:before="50"/>
              <w:ind w:left="160"/>
              <w:rPr>
                <w:sz w:val="16"/>
              </w:rPr>
            </w:pPr>
            <w:r>
              <w:rPr>
                <w:color w:val="231F20"/>
                <w:sz w:val="16"/>
              </w:rPr>
              <w:t>Available seat miles (ASMs) (000s) (3)</w:t>
            </w:r>
          </w:p>
        </w:tc>
        <w:tc>
          <w:tcPr>
            <w:tcW w:w="1000" w:type="dxa"/>
            <w:shd w:val="clear" w:color="auto" w:fill="D1D3D4"/>
          </w:tcPr>
          <w:p>
            <w:pPr>
              <w:pStyle w:val="TableParagraph"/>
              <w:spacing w:before="50"/>
              <w:ind w:left="80"/>
              <w:rPr>
                <w:sz w:val="16"/>
              </w:rPr>
            </w:pPr>
            <w:r>
              <w:rPr>
                <w:color w:val="231F20"/>
                <w:sz w:val="16"/>
              </w:rPr>
              <w:t>140,501,409</w:t>
            </w:r>
          </w:p>
        </w:tc>
        <w:tc>
          <w:tcPr>
            <w:tcW w:w="1080" w:type="dxa"/>
            <w:shd w:val="clear" w:color="auto" w:fill="D1D3D4"/>
          </w:tcPr>
          <w:p>
            <w:pPr>
              <w:pStyle w:val="TableParagraph"/>
              <w:spacing w:before="50"/>
              <w:ind w:left="160"/>
              <w:rPr>
                <w:sz w:val="16"/>
              </w:rPr>
            </w:pPr>
            <w:r>
              <w:rPr>
                <w:color w:val="231F20"/>
                <w:sz w:val="16"/>
              </w:rPr>
              <w:t>131,003,957</w:t>
            </w:r>
          </w:p>
        </w:tc>
        <w:tc>
          <w:tcPr>
            <w:tcW w:w="1080" w:type="dxa"/>
            <w:shd w:val="clear" w:color="auto" w:fill="D1D3D4"/>
          </w:tcPr>
          <w:p>
            <w:pPr>
              <w:pStyle w:val="TableParagraph"/>
              <w:spacing w:before="50"/>
              <w:ind w:left="160"/>
              <w:rPr>
                <w:sz w:val="16"/>
              </w:rPr>
            </w:pPr>
            <w:r>
              <w:rPr>
                <w:color w:val="231F20"/>
                <w:sz w:val="16"/>
              </w:rPr>
              <w:t>130,344,072</w:t>
            </w:r>
          </w:p>
        </w:tc>
        <w:tc>
          <w:tcPr>
            <w:tcW w:w="1080" w:type="dxa"/>
            <w:shd w:val="clear" w:color="auto" w:fill="D1D3D4"/>
          </w:tcPr>
          <w:p>
            <w:pPr>
              <w:pStyle w:val="TableParagraph"/>
              <w:spacing w:before="50"/>
              <w:ind w:left="160"/>
              <w:rPr>
                <w:sz w:val="16"/>
              </w:rPr>
            </w:pPr>
            <w:r>
              <w:rPr>
                <w:color w:val="231F20"/>
                <w:sz w:val="16"/>
              </w:rPr>
              <w:t>128,137,110</w:t>
            </w:r>
          </w:p>
        </w:tc>
        <w:tc>
          <w:tcPr>
            <w:tcW w:w="1080" w:type="dxa"/>
            <w:shd w:val="clear" w:color="auto" w:fill="D1D3D4"/>
          </w:tcPr>
          <w:p>
            <w:pPr>
              <w:pStyle w:val="TableParagraph"/>
              <w:spacing w:before="50"/>
              <w:ind w:left="160"/>
              <w:rPr>
                <w:sz w:val="16"/>
              </w:rPr>
            </w:pPr>
            <w:r>
              <w:rPr>
                <w:color w:val="231F20"/>
                <w:sz w:val="16"/>
              </w:rPr>
              <w:t>120,578,736</w:t>
            </w:r>
          </w:p>
        </w:tc>
      </w:tr>
      <w:tr>
        <w:trPr>
          <w:trHeight w:val="260" w:hRule="exact"/>
        </w:trPr>
        <w:tc>
          <w:tcPr>
            <w:tcW w:w="3800" w:type="dxa"/>
          </w:tcPr>
          <w:p>
            <w:pPr>
              <w:pStyle w:val="TableParagraph"/>
              <w:spacing w:before="50"/>
              <w:ind w:left="160"/>
              <w:rPr>
                <w:sz w:val="16"/>
              </w:rPr>
            </w:pPr>
            <w:r>
              <w:rPr>
                <w:color w:val="231F20"/>
                <w:sz w:val="16"/>
              </w:rPr>
              <w:t>Load factor (4)</w:t>
            </w:r>
          </w:p>
        </w:tc>
        <w:tc>
          <w:tcPr>
            <w:tcW w:w="1000" w:type="dxa"/>
          </w:tcPr>
          <w:p>
            <w:pPr>
              <w:pStyle w:val="TableParagraph"/>
              <w:spacing w:before="50"/>
              <w:ind w:right="-1"/>
              <w:jc w:val="right"/>
              <w:rPr>
                <w:sz w:val="16"/>
              </w:rPr>
            </w:pPr>
            <w:r>
              <w:rPr>
                <w:color w:val="231F20"/>
                <w:sz w:val="16"/>
              </w:rPr>
              <w:t>83.6%</w:t>
            </w:r>
          </w:p>
        </w:tc>
        <w:tc>
          <w:tcPr>
            <w:tcW w:w="1080" w:type="dxa"/>
          </w:tcPr>
          <w:p>
            <w:pPr>
              <w:pStyle w:val="TableParagraph"/>
              <w:spacing w:before="50"/>
              <w:ind w:left="667" w:right="-1"/>
              <w:rPr>
                <w:sz w:val="16"/>
              </w:rPr>
            </w:pPr>
            <w:r>
              <w:rPr>
                <w:color w:val="231F20"/>
                <w:sz w:val="16"/>
              </w:rPr>
              <w:t>82.5%</w:t>
            </w:r>
          </w:p>
        </w:tc>
        <w:tc>
          <w:tcPr>
            <w:tcW w:w="1080" w:type="dxa"/>
          </w:tcPr>
          <w:p>
            <w:pPr>
              <w:pStyle w:val="TableParagraph"/>
              <w:spacing w:before="50"/>
              <w:ind w:right="-1"/>
              <w:jc w:val="right"/>
              <w:rPr>
                <w:sz w:val="16"/>
              </w:rPr>
            </w:pPr>
            <w:r>
              <w:rPr>
                <w:color w:val="231F20"/>
                <w:sz w:val="16"/>
              </w:rPr>
              <w:t>80.1%</w:t>
            </w:r>
          </w:p>
        </w:tc>
        <w:tc>
          <w:tcPr>
            <w:tcW w:w="1080" w:type="dxa"/>
          </w:tcPr>
          <w:p>
            <w:pPr>
              <w:pStyle w:val="TableParagraph"/>
              <w:spacing w:before="50"/>
              <w:ind w:left="667" w:right="-1"/>
              <w:rPr>
                <w:sz w:val="16"/>
              </w:rPr>
            </w:pPr>
            <w:r>
              <w:rPr>
                <w:color w:val="231F20"/>
                <w:sz w:val="16"/>
              </w:rPr>
              <w:t>80.3%</w:t>
            </w:r>
          </w:p>
        </w:tc>
        <w:tc>
          <w:tcPr>
            <w:tcW w:w="1080" w:type="dxa"/>
          </w:tcPr>
          <w:p>
            <w:pPr>
              <w:pStyle w:val="TableParagraph"/>
              <w:spacing w:before="50"/>
              <w:jc w:val="right"/>
              <w:rPr>
                <w:sz w:val="16"/>
              </w:rPr>
            </w:pPr>
            <w:r>
              <w:rPr>
                <w:color w:val="231F20"/>
                <w:sz w:val="16"/>
              </w:rPr>
              <w:t>80.9%</w:t>
            </w:r>
          </w:p>
        </w:tc>
      </w:tr>
      <w:tr>
        <w:trPr>
          <w:trHeight w:val="260" w:hRule="exact"/>
        </w:trPr>
        <w:tc>
          <w:tcPr>
            <w:tcW w:w="3800" w:type="dxa"/>
            <w:shd w:val="clear" w:color="auto" w:fill="D1D3D4"/>
          </w:tcPr>
          <w:p>
            <w:pPr>
              <w:pStyle w:val="TableParagraph"/>
              <w:spacing w:before="50"/>
              <w:ind w:left="160"/>
              <w:rPr>
                <w:sz w:val="16"/>
              </w:rPr>
            </w:pPr>
            <w:r>
              <w:rPr>
                <w:color w:val="231F20"/>
                <w:sz w:val="16"/>
              </w:rPr>
              <w:t>Average length of passenger haul (miles)</w:t>
            </w:r>
          </w:p>
        </w:tc>
        <w:tc>
          <w:tcPr>
            <w:tcW w:w="1000" w:type="dxa"/>
            <w:shd w:val="clear" w:color="auto" w:fill="D1D3D4"/>
          </w:tcPr>
          <w:p>
            <w:pPr>
              <w:pStyle w:val="TableParagraph"/>
              <w:spacing w:before="50"/>
              <w:ind w:right="117"/>
              <w:jc w:val="right"/>
              <w:rPr>
                <w:sz w:val="16"/>
              </w:rPr>
            </w:pPr>
            <w:r>
              <w:rPr>
                <w:color w:val="231F20"/>
                <w:sz w:val="16"/>
              </w:rPr>
              <w:t>994</w:t>
            </w:r>
          </w:p>
        </w:tc>
        <w:tc>
          <w:tcPr>
            <w:tcW w:w="1080" w:type="dxa"/>
            <w:shd w:val="clear" w:color="auto" w:fill="D1D3D4"/>
          </w:tcPr>
          <w:p>
            <w:pPr>
              <w:pStyle w:val="TableParagraph"/>
              <w:spacing w:before="50"/>
              <w:ind w:right="117"/>
              <w:jc w:val="right"/>
              <w:rPr>
                <w:sz w:val="16"/>
              </w:rPr>
            </w:pPr>
            <w:r>
              <w:rPr>
                <w:color w:val="231F20"/>
                <w:sz w:val="16"/>
              </w:rPr>
              <w:t>978</w:t>
            </w:r>
          </w:p>
        </w:tc>
        <w:tc>
          <w:tcPr>
            <w:tcW w:w="1080" w:type="dxa"/>
            <w:shd w:val="clear" w:color="auto" w:fill="D1D3D4"/>
          </w:tcPr>
          <w:p>
            <w:pPr>
              <w:pStyle w:val="TableParagraph"/>
              <w:spacing w:before="50"/>
              <w:ind w:right="117"/>
              <w:jc w:val="right"/>
              <w:rPr>
                <w:sz w:val="16"/>
              </w:rPr>
            </w:pPr>
            <w:r>
              <w:rPr>
                <w:color w:val="231F20"/>
                <w:sz w:val="16"/>
              </w:rPr>
              <w:t>966</w:t>
            </w:r>
          </w:p>
        </w:tc>
        <w:tc>
          <w:tcPr>
            <w:tcW w:w="1080" w:type="dxa"/>
            <w:shd w:val="clear" w:color="auto" w:fill="D1D3D4"/>
          </w:tcPr>
          <w:p>
            <w:pPr>
              <w:pStyle w:val="TableParagraph"/>
              <w:spacing w:before="50"/>
              <w:ind w:right="117"/>
              <w:jc w:val="right"/>
              <w:rPr>
                <w:sz w:val="16"/>
              </w:rPr>
            </w:pPr>
            <w:r>
              <w:rPr>
                <w:color w:val="231F20"/>
                <w:sz w:val="16"/>
              </w:rPr>
              <w:t>941</w:t>
            </w:r>
          </w:p>
        </w:tc>
        <w:tc>
          <w:tcPr>
            <w:tcW w:w="1080" w:type="dxa"/>
            <w:shd w:val="clear" w:color="auto" w:fill="D1D3D4"/>
          </w:tcPr>
          <w:p>
            <w:pPr>
              <w:pStyle w:val="TableParagraph"/>
              <w:spacing w:before="50"/>
              <w:ind w:right="118"/>
              <w:jc w:val="right"/>
              <w:rPr>
                <w:sz w:val="16"/>
              </w:rPr>
            </w:pPr>
            <w:r>
              <w:rPr>
                <w:color w:val="231F20"/>
                <w:sz w:val="16"/>
              </w:rPr>
              <w:t>939</w:t>
            </w:r>
          </w:p>
        </w:tc>
      </w:tr>
      <w:tr>
        <w:trPr>
          <w:trHeight w:val="260" w:hRule="exact"/>
        </w:trPr>
        <w:tc>
          <w:tcPr>
            <w:tcW w:w="3800" w:type="dxa"/>
          </w:tcPr>
          <w:p>
            <w:pPr>
              <w:pStyle w:val="TableParagraph"/>
              <w:spacing w:before="50"/>
              <w:ind w:left="160"/>
              <w:rPr>
                <w:sz w:val="16"/>
              </w:rPr>
            </w:pPr>
            <w:r>
              <w:rPr>
                <w:color w:val="231F20"/>
                <w:sz w:val="16"/>
              </w:rPr>
              <w:t>Average aircraft stage length (miles)</w:t>
            </w:r>
          </w:p>
        </w:tc>
        <w:tc>
          <w:tcPr>
            <w:tcW w:w="1000" w:type="dxa"/>
          </w:tcPr>
          <w:p>
            <w:pPr>
              <w:pStyle w:val="TableParagraph"/>
              <w:spacing w:before="50"/>
              <w:ind w:right="119"/>
              <w:jc w:val="right"/>
              <w:rPr>
                <w:sz w:val="16"/>
              </w:rPr>
            </w:pPr>
            <w:r>
              <w:rPr>
                <w:color w:val="231F20"/>
                <w:sz w:val="16"/>
              </w:rPr>
              <w:t>750</w:t>
            </w:r>
          </w:p>
        </w:tc>
        <w:tc>
          <w:tcPr>
            <w:tcW w:w="1080" w:type="dxa"/>
          </w:tcPr>
          <w:p>
            <w:pPr>
              <w:pStyle w:val="TableParagraph"/>
              <w:spacing w:before="50"/>
              <w:ind w:right="119"/>
              <w:jc w:val="right"/>
              <w:rPr>
                <w:sz w:val="16"/>
              </w:rPr>
            </w:pPr>
            <w:r>
              <w:rPr>
                <w:color w:val="231F20"/>
                <w:sz w:val="16"/>
              </w:rPr>
              <w:t>721</w:t>
            </w:r>
          </w:p>
        </w:tc>
        <w:tc>
          <w:tcPr>
            <w:tcW w:w="1080" w:type="dxa"/>
          </w:tcPr>
          <w:p>
            <w:pPr>
              <w:pStyle w:val="TableParagraph"/>
              <w:spacing w:before="50"/>
              <w:ind w:right="119"/>
              <w:jc w:val="right"/>
              <w:rPr>
                <w:sz w:val="16"/>
              </w:rPr>
            </w:pPr>
            <w:r>
              <w:rPr>
                <w:color w:val="231F20"/>
                <w:sz w:val="16"/>
              </w:rPr>
              <w:t>703</w:t>
            </w:r>
          </w:p>
        </w:tc>
        <w:tc>
          <w:tcPr>
            <w:tcW w:w="1080" w:type="dxa"/>
          </w:tcPr>
          <w:p>
            <w:pPr>
              <w:pStyle w:val="TableParagraph"/>
              <w:spacing w:before="50"/>
              <w:ind w:right="119"/>
              <w:jc w:val="right"/>
              <w:rPr>
                <w:sz w:val="16"/>
              </w:rPr>
            </w:pPr>
            <w:r>
              <w:rPr>
                <w:color w:val="231F20"/>
                <w:sz w:val="16"/>
              </w:rPr>
              <w:t>693</w:t>
            </w:r>
          </w:p>
        </w:tc>
        <w:tc>
          <w:tcPr>
            <w:tcW w:w="1080" w:type="dxa"/>
          </w:tcPr>
          <w:p>
            <w:pPr>
              <w:pStyle w:val="TableParagraph"/>
              <w:spacing w:before="50"/>
              <w:ind w:right="118"/>
              <w:jc w:val="right"/>
              <w:rPr>
                <w:sz w:val="16"/>
              </w:rPr>
            </w:pPr>
            <w:r>
              <w:rPr>
                <w:color w:val="231F20"/>
                <w:sz w:val="16"/>
              </w:rPr>
              <w:t>679</w:t>
            </w:r>
          </w:p>
        </w:tc>
      </w:tr>
      <w:tr>
        <w:trPr>
          <w:trHeight w:val="260" w:hRule="exact"/>
        </w:trPr>
        <w:tc>
          <w:tcPr>
            <w:tcW w:w="3800" w:type="dxa"/>
            <w:shd w:val="clear" w:color="auto" w:fill="D1D3D4"/>
          </w:tcPr>
          <w:p>
            <w:pPr>
              <w:pStyle w:val="TableParagraph"/>
              <w:spacing w:before="50"/>
              <w:ind w:left="160"/>
              <w:rPr>
                <w:sz w:val="16"/>
              </w:rPr>
            </w:pPr>
            <w:r>
              <w:rPr>
                <w:color w:val="231F20"/>
                <w:sz w:val="16"/>
              </w:rPr>
              <w:t>Trips flown</w:t>
            </w:r>
          </w:p>
        </w:tc>
        <w:tc>
          <w:tcPr>
            <w:tcW w:w="1000" w:type="dxa"/>
            <w:shd w:val="clear" w:color="auto" w:fill="D1D3D4"/>
          </w:tcPr>
          <w:p>
            <w:pPr>
              <w:pStyle w:val="TableParagraph"/>
              <w:spacing w:before="50"/>
              <w:ind w:left="240"/>
              <w:rPr>
                <w:sz w:val="16"/>
              </w:rPr>
            </w:pPr>
            <w:r>
              <w:rPr>
                <w:color w:val="231F20"/>
                <w:sz w:val="16"/>
              </w:rPr>
              <w:t>1,267,358</w:t>
            </w:r>
          </w:p>
        </w:tc>
        <w:tc>
          <w:tcPr>
            <w:tcW w:w="1080" w:type="dxa"/>
            <w:shd w:val="clear" w:color="auto" w:fill="D1D3D4"/>
          </w:tcPr>
          <w:p>
            <w:pPr>
              <w:pStyle w:val="TableParagraph"/>
              <w:spacing w:before="50"/>
              <w:ind w:left="320"/>
              <w:rPr>
                <w:sz w:val="16"/>
              </w:rPr>
            </w:pPr>
            <w:r>
              <w:rPr>
                <w:color w:val="231F20"/>
                <w:sz w:val="16"/>
              </w:rPr>
              <w:t>1,255,502</w:t>
            </w:r>
          </w:p>
        </w:tc>
        <w:tc>
          <w:tcPr>
            <w:tcW w:w="1080" w:type="dxa"/>
            <w:shd w:val="clear" w:color="auto" w:fill="D1D3D4"/>
          </w:tcPr>
          <w:p>
            <w:pPr>
              <w:pStyle w:val="TableParagraph"/>
              <w:spacing w:before="50"/>
              <w:ind w:left="320"/>
              <w:rPr>
                <w:sz w:val="16"/>
              </w:rPr>
            </w:pPr>
            <w:r>
              <w:rPr>
                <w:color w:val="231F20"/>
                <w:sz w:val="16"/>
              </w:rPr>
              <w:t>1,312,785</w:t>
            </w:r>
          </w:p>
        </w:tc>
        <w:tc>
          <w:tcPr>
            <w:tcW w:w="1080" w:type="dxa"/>
            <w:shd w:val="clear" w:color="auto" w:fill="D1D3D4"/>
          </w:tcPr>
          <w:p>
            <w:pPr>
              <w:pStyle w:val="TableParagraph"/>
              <w:spacing w:before="50"/>
              <w:ind w:left="320"/>
              <w:rPr>
                <w:sz w:val="16"/>
              </w:rPr>
            </w:pPr>
            <w:r>
              <w:rPr>
                <w:color w:val="231F20"/>
                <w:sz w:val="16"/>
              </w:rPr>
              <w:t>1,361,558</w:t>
            </w:r>
          </w:p>
        </w:tc>
        <w:tc>
          <w:tcPr>
            <w:tcW w:w="1080" w:type="dxa"/>
            <w:shd w:val="clear" w:color="auto" w:fill="D1D3D4"/>
          </w:tcPr>
          <w:p>
            <w:pPr>
              <w:pStyle w:val="TableParagraph"/>
              <w:spacing w:before="50"/>
              <w:ind w:left="320"/>
              <w:rPr>
                <w:sz w:val="16"/>
              </w:rPr>
            </w:pPr>
            <w:r>
              <w:rPr>
                <w:color w:val="231F20"/>
                <w:sz w:val="16"/>
              </w:rPr>
              <w:t>1,317,977</w:t>
            </w:r>
          </w:p>
        </w:tc>
      </w:tr>
      <w:tr>
        <w:trPr>
          <w:trHeight w:val="260" w:hRule="exact"/>
        </w:trPr>
        <w:tc>
          <w:tcPr>
            <w:tcW w:w="3800" w:type="dxa"/>
          </w:tcPr>
          <w:p>
            <w:pPr>
              <w:pStyle w:val="TableParagraph"/>
              <w:spacing w:before="50"/>
              <w:ind w:left="160"/>
              <w:rPr>
                <w:sz w:val="16"/>
              </w:rPr>
            </w:pPr>
            <w:r>
              <w:rPr>
                <w:color w:val="231F20"/>
                <w:sz w:val="16"/>
              </w:rPr>
              <w:t>Seats flown (5)</w:t>
            </w:r>
          </w:p>
        </w:tc>
        <w:tc>
          <w:tcPr>
            <w:tcW w:w="1000" w:type="dxa"/>
          </w:tcPr>
          <w:p>
            <w:pPr>
              <w:pStyle w:val="TableParagraph"/>
              <w:spacing w:before="50"/>
              <w:ind w:left="80"/>
              <w:rPr>
                <w:sz w:val="16"/>
              </w:rPr>
            </w:pPr>
            <w:r>
              <w:rPr>
                <w:color w:val="231F20"/>
                <w:sz w:val="16"/>
              </w:rPr>
              <w:t>184,955,094</w:t>
            </w:r>
          </w:p>
        </w:tc>
        <w:tc>
          <w:tcPr>
            <w:tcW w:w="1080" w:type="dxa"/>
          </w:tcPr>
          <w:p>
            <w:pPr>
              <w:pStyle w:val="TableParagraph"/>
              <w:spacing w:before="50"/>
              <w:ind w:left="160"/>
              <w:rPr>
                <w:sz w:val="16"/>
              </w:rPr>
            </w:pPr>
            <w:r>
              <w:rPr>
                <w:color w:val="231F20"/>
                <w:sz w:val="16"/>
              </w:rPr>
              <w:t>179,733,055</w:t>
            </w:r>
          </w:p>
        </w:tc>
        <w:tc>
          <w:tcPr>
            <w:tcW w:w="1080" w:type="dxa"/>
          </w:tcPr>
          <w:p>
            <w:pPr>
              <w:pStyle w:val="TableParagraph"/>
              <w:spacing w:before="50"/>
              <w:ind w:left="160"/>
              <w:rPr>
                <w:sz w:val="16"/>
              </w:rPr>
            </w:pPr>
            <w:r>
              <w:rPr>
                <w:color w:val="231F20"/>
                <w:sz w:val="16"/>
              </w:rPr>
              <w:t>183,563,527</w:t>
            </w:r>
          </w:p>
        </w:tc>
        <w:tc>
          <w:tcPr>
            <w:tcW w:w="1080" w:type="dxa"/>
          </w:tcPr>
          <w:p>
            <w:pPr>
              <w:pStyle w:val="TableParagraph"/>
              <w:spacing w:before="50"/>
              <w:ind w:left="160"/>
              <w:rPr>
                <w:sz w:val="16"/>
              </w:rPr>
            </w:pPr>
            <w:r>
              <w:rPr>
                <w:color w:val="231F20"/>
                <w:sz w:val="16"/>
              </w:rPr>
              <w:t>184,208,891</w:t>
            </w:r>
          </w:p>
        </w:tc>
        <w:tc>
          <w:tcPr>
            <w:tcW w:w="1080" w:type="dxa"/>
          </w:tcPr>
          <w:p>
            <w:pPr>
              <w:pStyle w:val="TableParagraph"/>
              <w:spacing w:before="50"/>
              <w:ind w:left="160"/>
              <w:rPr>
                <w:sz w:val="16"/>
              </w:rPr>
            </w:pPr>
            <w:r>
              <w:rPr>
                <w:color w:val="231F20"/>
                <w:sz w:val="16"/>
              </w:rPr>
              <w:t>177,469,069</w:t>
            </w:r>
          </w:p>
        </w:tc>
      </w:tr>
      <w:tr>
        <w:trPr>
          <w:trHeight w:val="260" w:hRule="exact"/>
        </w:trPr>
        <w:tc>
          <w:tcPr>
            <w:tcW w:w="3800" w:type="dxa"/>
            <w:shd w:val="clear" w:color="auto" w:fill="D1D3D4"/>
          </w:tcPr>
          <w:p>
            <w:pPr>
              <w:pStyle w:val="TableParagraph"/>
              <w:spacing w:before="50"/>
              <w:ind w:left="160"/>
              <w:rPr>
                <w:sz w:val="16"/>
              </w:rPr>
            </w:pPr>
            <w:r>
              <w:rPr>
                <w:color w:val="231F20"/>
                <w:sz w:val="16"/>
              </w:rPr>
              <w:t>Seats per trip (6)</w:t>
            </w:r>
          </w:p>
        </w:tc>
        <w:tc>
          <w:tcPr>
            <w:tcW w:w="1000" w:type="dxa"/>
            <w:shd w:val="clear" w:color="auto" w:fill="D1D3D4"/>
          </w:tcPr>
          <w:p>
            <w:pPr>
              <w:pStyle w:val="TableParagraph"/>
              <w:spacing w:before="50"/>
              <w:ind w:right="119"/>
              <w:jc w:val="right"/>
              <w:rPr>
                <w:sz w:val="16"/>
              </w:rPr>
            </w:pPr>
            <w:r>
              <w:rPr>
                <w:color w:val="231F20"/>
                <w:sz w:val="16"/>
              </w:rPr>
              <w:t>145.94</w:t>
            </w:r>
          </w:p>
        </w:tc>
        <w:tc>
          <w:tcPr>
            <w:tcW w:w="1080" w:type="dxa"/>
            <w:shd w:val="clear" w:color="auto" w:fill="D1D3D4"/>
          </w:tcPr>
          <w:p>
            <w:pPr>
              <w:pStyle w:val="TableParagraph"/>
              <w:spacing w:before="50"/>
              <w:ind w:left="520"/>
              <w:rPr>
                <w:sz w:val="16"/>
              </w:rPr>
            </w:pPr>
            <w:r>
              <w:rPr>
                <w:color w:val="231F20"/>
                <w:sz w:val="16"/>
              </w:rPr>
              <w:t>143.16</w:t>
            </w:r>
          </w:p>
        </w:tc>
        <w:tc>
          <w:tcPr>
            <w:tcW w:w="1080" w:type="dxa"/>
            <w:shd w:val="clear" w:color="auto" w:fill="D1D3D4"/>
          </w:tcPr>
          <w:p>
            <w:pPr>
              <w:pStyle w:val="TableParagraph"/>
              <w:spacing w:before="50"/>
              <w:ind w:right="119"/>
              <w:jc w:val="right"/>
              <w:rPr>
                <w:sz w:val="16"/>
              </w:rPr>
            </w:pPr>
            <w:r>
              <w:rPr>
                <w:color w:val="231F20"/>
                <w:sz w:val="16"/>
              </w:rPr>
              <w:t>139.83</w:t>
            </w:r>
          </w:p>
        </w:tc>
        <w:tc>
          <w:tcPr>
            <w:tcW w:w="1080" w:type="dxa"/>
            <w:shd w:val="clear" w:color="auto" w:fill="D1D3D4"/>
          </w:tcPr>
          <w:p>
            <w:pPr>
              <w:pStyle w:val="TableParagraph"/>
              <w:spacing w:before="50"/>
              <w:ind w:left="520"/>
              <w:rPr>
                <w:sz w:val="16"/>
              </w:rPr>
            </w:pPr>
            <w:r>
              <w:rPr>
                <w:color w:val="231F20"/>
                <w:sz w:val="16"/>
              </w:rPr>
              <w:t>135.92</w:t>
            </w:r>
          </w:p>
        </w:tc>
        <w:tc>
          <w:tcPr>
            <w:tcW w:w="1080" w:type="dxa"/>
            <w:shd w:val="clear" w:color="auto" w:fill="D1D3D4"/>
          </w:tcPr>
          <w:p>
            <w:pPr>
              <w:pStyle w:val="TableParagraph"/>
              <w:spacing w:before="50"/>
              <w:ind w:right="118"/>
              <w:jc w:val="right"/>
              <w:rPr>
                <w:sz w:val="16"/>
              </w:rPr>
            </w:pPr>
            <w:r>
              <w:rPr>
                <w:color w:val="231F20"/>
                <w:sz w:val="16"/>
              </w:rPr>
              <w:t>134.65</w:t>
            </w:r>
          </w:p>
        </w:tc>
      </w:tr>
      <w:tr>
        <w:trPr>
          <w:trHeight w:val="260" w:hRule="exact"/>
        </w:trPr>
        <w:tc>
          <w:tcPr>
            <w:tcW w:w="3800" w:type="dxa"/>
          </w:tcPr>
          <w:p>
            <w:pPr>
              <w:pStyle w:val="TableParagraph"/>
              <w:spacing w:before="50"/>
              <w:ind w:left="160"/>
              <w:rPr>
                <w:sz w:val="16"/>
              </w:rPr>
            </w:pPr>
            <w:r>
              <w:rPr>
                <w:color w:val="231F20"/>
                <w:sz w:val="16"/>
              </w:rPr>
              <w:t>Average passenger fare (12)</w:t>
            </w:r>
          </w:p>
        </w:tc>
        <w:tc>
          <w:tcPr>
            <w:tcW w:w="1000" w:type="dxa"/>
          </w:tcPr>
          <w:p>
            <w:pPr>
              <w:pStyle w:val="TableParagraph"/>
              <w:tabs>
                <w:tab w:pos="439" w:val="left" w:leader="none"/>
              </w:tabs>
              <w:spacing w:before="50"/>
              <w:rPr>
                <w:sz w:val="16"/>
              </w:rPr>
            </w:pPr>
            <w:r>
              <w:rPr>
                <w:color w:val="231F20"/>
                <w:sz w:val="16"/>
              </w:rPr>
              <w:t>$</w:t>
              <w:tab/>
              <w:t>154.85</w:t>
            </w:r>
          </w:p>
        </w:tc>
        <w:tc>
          <w:tcPr>
            <w:tcW w:w="1080" w:type="dxa"/>
          </w:tcPr>
          <w:p>
            <w:pPr>
              <w:pStyle w:val="TableParagraph"/>
              <w:tabs>
                <w:tab w:pos="519" w:val="left" w:leader="none"/>
              </w:tabs>
              <w:spacing w:before="50"/>
              <w:ind w:left="80"/>
              <w:rPr>
                <w:sz w:val="16"/>
              </w:rPr>
            </w:pPr>
            <w:r>
              <w:rPr>
                <w:color w:val="231F20"/>
                <w:sz w:val="16"/>
              </w:rPr>
              <w:t>$</w:t>
              <w:tab/>
              <w:t>159.80</w:t>
            </w:r>
          </w:p>
        </w:tc>
        <w:tc>
          <w:tcPr>
            <w:tcW w:w="1080" w:type="dxa"/>
          </w:tcPr>
          <w:p>
            <w:pPr>
              <w:pStyle w:val="TableParagraph"/>
              <w:tabs>
                <w:tab w:pos="519" w:val="left" w:leader="none"/>
              </w:tabs>
              <w:spacing w:before="50"/>
              <w:ind w:left="80"/>
              <w:rPr>
                <w:sz w:val="16"/>
              </w:rPr>
            </w:pPr>
            <w:r>
              <w:rPr>
                <w:color w:val="231F20"/>
                <w:sz w:val="16"/>
              </w:rPr>
              <w:t>$</w:t>
              <w:tab/>
              <w:t>154.72</w:t>
            </w:r>
          </w:p>
        </w:tc>
        <w:tc>
          <w:tcPr>
            <w:tcW w:w="1080" w:type="dxa"/>
          </w:tcPr>
          <w:p>
            <w:pPr>
              <w:pStyle w:val="TableParagraph"/>
              <w:tabs>
                <w:tab w:pos="519" w:val="left" w:leader="none"/>
              </w:tabs>
              <w:spacing w:before="50"/>
              <w:ind w:left="80"/>
              <w:rPr>
                <w:sz w:val="16"/>
              </w:rPr>
            </w:pPr>
            <w:r>
              <w:rPr>
                <w:color w:val="231F20"/>
                <w:sz w:val="16"/>
              </w:rPr>
              <w:t>$</w:t>
              <w:tab/>
              <w:t>147.17</w:t>
            </w:r>
          </w:p>
        </w:tc>
        <w:tc>
          <w:tcPr>
            <w:tcW w:w="1080" w:type="dxa"/>
          </w:tcPr>
          <w:p>
            <w:pPr>
              <w:pStyle w:val="TableParagraph"/>
              <w:tabs>
                <w:tab w:pos="519" w:val="left" w:leader="none"/>
              </w:tabs>
              <w:spacing w:before="50"/>
              <w:ind w:left="80"/>
              <w:rPr>
                <w:sz w:val="16"/>
              </w:rPr>
            </w:pPr>
            <w:r>
              <w:rPr>
                <w:color w:val="231F20"/>
                <w:sz w:val="16"/>
              </w:rPr>
              <w:t>$</w:t>
              <w:tab/>
              <w:t>141.90</w:t>
            </w:r>
          </w:p>
        </w:tc>
      </w:tr>
      <w:tr>
        <w:trPr>
          <w:trHeight w:val="260" w:hRule="exact"/>
        </w:trPr>
        <w:tc>
          <w:tcPr>
            <w:tcW w:w="3800" w:type="dxa"/>
            <w:shd w:val="clear" w:color="auto" w:fill="D1D3D4"/>
          </w:tcPr>
          <w:p>
            <w:pPr>
              <w:pStyle w:val="TableParagraph"/>
              <w:spacing w:before="50"/>
              <w:ind w:left="160"/>
              <w:rPr>
                <w:sz w:val="16"/>
              </w:rPr>
            </w:pPr>
            <w:r>
              <w:rPr>
                <w:color w:val="231F20"/>
                <w:sz w:val="16"/>
              </w:rPr>
              <w:t>Passenger revenue yield per RPM (cents) (7)(12)</w:t>
            </w:r>
          </w:p>
        </w:tc>
        <w:tc>
          <w:tcPr>
            <w:tcW w:w="1000" w:type="dxa"/>
            <w:shd w:val="clear" w:color="auto" w:fill="D1D3D4"/>
          </w:tcPr>
          <w:p>
            <w:pPr>
              <w:pStyle w:val="TableParagraph"/>
              <w:spacing w:before="50"/>
              <w:ind w:right="119"/>
              <w:jc w:val="right"/>
              <w:rPr>
                <w:sz w:val="16"/>
              </w:rPr>
            </w:pPr>
            <w:r>
              <w:rPr>
                <w:color w:val="231F20"/>
                <w:sz w:val="16"/>
              </w:rPr>
              <w:t>15.57</w:t>
            </w:r>
          </w:p>
        </w:tc>
        <w:tc>
          <w:tcPr>
            <w:tcW w:w="1080" w:type="dxa"/>
            <w:shd w:val="clear" w:color="auto" w:fill="D1D3D4"/>
          </w:tcPr>
          <w:p>
            <w:pPr>
              <w:pStyle w:val="TableParagraph"/>
              <w:spacing w:before="50"/>
              <w:ind w:left="600"/>
              <w:rPr>
                <w:sz w:val="16"/>
              </w:rPr>
            </w:pPr>
            <w:r>
              <w:rPr>
                <w:color w:val="231F20"/>
                <w:sz w:val="16"/>
              </w:rPr>
              <w:t>16.34</w:t>
            </w:r>
          </w:p>
        </w:tc>
        <w:tc>
          <w:tcPr>
            <w:tcW w:w="1080" w:type="dxa"/>
            <w:shd w:val="clear" w:color="auto" w:fill="D1D3D4"/>
          </w:tcPr>
          <w:p>
            <w:pPr>
              <w:pStyle w:val="TableParagraph"/>
              <w:spacing w:before="50"/>
              <w:ind w:right="119"/>
              <w:jc w:val="right"/>
              <w:rPr>
                <w:sz w:val="16"/>
              </w:rPr>
            </w:pPr>
            <w:r>
              <w:rPr>
                <w:color w:val="231F20"/>
                <w:sz w:val="16"/>
              </w:rPr>
              <w:t>16.02</w:t>
            </w:r>
          </w:p>
        </w:tc>
        <w:tc>
          <w:tcPr>
            <w:tcW w:w="1080" w:type="dxa"/>
            <w:shd w:val="clear" w:color="auto" w:fill="D1D3D4"/>
          </w:tcPr>
          <w:p>
            <w:pPr>
              <w:pStyle w:val="TableParagraph"/>
              <w:spacing w:before="50"/>
              <w:ind w:left="600"/>
              <w:rPr>
                <w:sz w:val="16"/>
              </w:rPr>
            </w:pPr>
            <w:r>
              <w:rPr>
                <w:color w:val="231F20"/>
                <w:sz w:val="16"/>
              </w:rPr>
              <w:t>15.64</w:t>
            </w:r>
          </w:p>
        </w:tc>
        <w:tc>
          <w:tcPr>
            <w:tcW w:w="1080" w:type="dxa"/>
            <w:shd w:val="clear" w:color="auto" w:fill="D1D3D4"/>
          </w:tcPr>
          <w:p>
            <w:pPr>
              <w:pStyle w:val="TableParagraph"/>
              <w:spacing w:before="50"/>
              <w:ind w:right="118"/>
              <w:jc w:val="right"/>
              <w:rPr>
                <w:sz w:val="16"/>
              </w:rPr>
            </w:pPr>
            <w:r>
              <w:rPr>
                <w:color w:val="231F20"/>
                <w:sz w:val="16"/>
              </w:rPr>
              <w:t>15.12</w:t>
            </w:r>
          </w:p>
        </w:tc>
      </w:tr>
      <w:tr>
        <w:trPr>
          <w:trHeight w:val="260" w:hRule="exact"/>
        </w:trPr>
        <w:tc>
          <w:tcPr>
            <w:tcW w:w="3800" w:type="dxa"/>
          </w:tcPr>
          <w:p>
            <w:pPr>
              <w:pStyle w:val="TableParagraph"/>
              <w:spacing w:before="50"/>
              <w:ind w:left="160"/>
              <w:rPr>
                <w:sz w:val="16"/>
              </w:rPr>
            </w:pPr>
            <w:r>
              <w:rPr>
                <w:color w:val="231F20"/>
                <w:sz w:val="16"/>
              </w:rPr>
              <w:t>Operating revenue per ASM (cents) (8)</w:t>
            </w:r>
          </w:p>
        </w:tc>
        <w:tc>
          <w:tcPr>
            <w:tcW w:w="1000" w:type="dxa"/>
          </w:tcPr>
          <w:p>
            <w:pPr>
              <w:pStyle w:val="TableParagraph"/>
              <w:spacing w:before="50"/>
              <w:ind w:right="119"/>
              <w:jc w:val="right"/>
              <w:rPr>
                <w:sz w:val="16"/>
              </w:rPr>
            </w:pPr>
            <w:r>
              <w:rPr>
                <w:color w:val="231F20"/>
                <w:sz w:val="16"/>
              </w:rPr>
              <w:t>13.98</w:t>
            </w:r>
          </w:p>
        </w:tc>
        <w:tc>
          <w:tcPr>
            <w:tcW w:w="1080" w:type="dxa"/>
          </w:tcPr>
          <w:p>
            <w:pPr>
              <w:pStyle w:val="TableParagraph"/>
              <w:spacing w:before="50"/>
              <w:ind w:left="600"/>
              <w:rPr>
                <w:sz w:val="16"/>
              </w:rPr>
            </w:pPr>
            <w:r>
              <w:rPr>
                <w:color w:val="231F20"/>
                <w:sz w:val="16"/>
              </w:rPr>
              <w:t>14.20</w:t>
            </w:r>
          </w:p>
        </w:tc>
        <w:tc>
          <w:tcPr>
            <w:tcW w:w="1080" w:type="dxa"/>
          </w:tcPr>
          <w:p>
            <w:pPr>
              <w:pStyle w:val="TableParagraph"/>
              <w:spacing w:before="50"/>
              <w:ind w:right="119"/>
              <w:jc w:val="right"/>
              <w:rPr>
                <w:sz w:val="16"/>
              </w:rPr>
            </w:pPr>
            <w:r>
              <w:rPr>
                <w:color w:val="231F20"/>
                <w:sz w:val="16"/>
              </w:rPr>
              <w:t>13.58</w:t>
            </w:r>
          </w:p>
        </w:tc>
        <w:tc>
          <w:tcPr>
            <w:tcW w:w="1080" w:type="dxa"/>
          </w:tcPr>
          <w:p>
            <w:pPr>
              <w:pStyle w:val="TableParagraph"/>
              <w:spacing w:before="50"/>
              <w:ind w:left="600"/>
              <w:rPr>
                <w:sz w:val="16"/>
              </w:rPr>
            </w:pPr>
            <w:r>
              <w:rPr>
                <w:color w:val="231F20"/>
                <w:sz w:val="16"/>
              </w:rPr>
              <w:t>13.34</w:t>
            </w:r>
          </w:p>
        </w:tc>
        <w:tc>
          <w:tcPr>
            <w:tcW w:w="1080" w:type="dxa"/>
          </w:tcPr>
          <w:p>
            <w:pPr>
              <w:pStyle w:val="TableParagraph"/>
              <w:spacing w:before="50"/>
              <w:ind w:right="118"/>
              <w:jc w:val="right"/>
              <w:rPr>
                <w:sz w:val="16"/>
              </w:rPr>
            </w:pPr>
            <w:r>
              <w:rPr>
                <w:color w:val="231F20"/>
                <w:sz w:val="16"/>
              </w:rPr>
              <w:t>12.99</w:t>
            </w:r>
          </w:p>
        </w:tc>
      </w:tr>
      <w:tr>
        <w:trPr>
          <w:trHeight w:val="260" w:hRule="exact"/>
        </w:trPr>
        <w:tc>
          <w:tcPr>
            <w:tcW w:w="3800" w:type="dxa"/>
            <w:shd w:val="clear" w:color="auto" w:fill="D1D3D4"/>
          </w:tcPr>
          <w:p>
            <w:pPr>
              <w:pStyle w:val="TableParagraph"/>
              <w:spacing w:before="50"/>
              <w:ind w:left="160"/>
              <w:rPr>
                <w:sz w:val="16"/>
              </w:rPr>
            </w:pPr>
            <w:r>
              <w:rPr>
                <w:color w:val="231F20"/>
                <w:sz w:val="16"/>
              </w:rPr>
              <w:t>Passenger revenue per ASM (cents) (9)(12)</w:t>
            </w:r>
          </w:p>
        </w:tc>
        <w:tc>
          <w:tcPr>
            <w:tcW w:w="1000" w:type="dxa"/>
            <w:shd w:val="clear" w:color="auto" w:fill="D1D3D4"/>
          </w:tcPr>
          <w:p>
            <w:pPr>
              <w:pStyle w:val="TableParagraph"/>
              <w:spacing w:before="50"/>
              <w:ind w:right="119"/>
              <w:jc w:val="right"/>
              <w:rPr>
                <w:sz w:val="16"/>
              </w:rPr>
            </w:pPr>
            <w:r>
              <w:rPr>
                <w:color w:val="231F20"/>
                <w:sz w:val="16"/>
              </w:rPr>
              <w:t>13.02</w:t>
            </w:r>
          </w:p>
        </w:tc>
        <w:tc>
          <w:tcPr>
            <w:tcW w:w="1080" w:type="dxa"/>
            <w:shd w:val="clear" w:color="auto" w:fill="D1D3D4"/>
          </w:tcPr>
          <w:p>
            <w:pPr>
              <w:pStyle w:val="TableParagraph"/>
              <w:spacing w:before="50"/>
              <w:ind w:left="600"/>
              <w:rPr>
                <w:sz w:val="16"/>
              </w:rPr>
            </w:pPr>
            <w:r>
              <w:rPr>
                <w:color w:val="231F20"/>
                <w:sz w:val="16"/>
              </w:rPr>
              <w:t>13.48</w:t>
            </w:r>
          </w:p>
        </w:tc>
        <w:tc>
          <w:tcPr>
            <w:tcW w:w="1080" w:type="dxa"/>
            <w:shd w:val="clear" w:color="auto" w:fill="D1D3D4"/>
          </w:tcPr>
          <w:p>
            <w:pPr>
              <w:pStyle w:val="TableParagraph"/>
              <w:spacing w:before="50"/>
              <w:ind w:right="119"/>
              <w:jc w:val="right"/>
              <w:rPr>
                <w:sz w:val="16"/>
              </w:rPr>
            </w:pPr>
            <w:r>
              <w:rPr>
                <w:color w:val="231F20"/>
                <w:sz w:val="16"/>
              </w:rPr>
              <w:t>12.83</w:t>
            </w:r>
          </w:p>
        </w:tc>
        <w:tc>
          <w:tcPr>
            <w:tcW w:w="1080" w:type="dxa"/>
            <w:shd w:val="clear" w:color="auto" w:fill="D1D3D4"/>
          </w:tcPr>
          <w:p>
            <w:pPr>
              <w:pStyle w:val="TableParagraph"/>
              <w:spacing w:before="50"/>
              <w:ind w:left="600"/>
              <w:rPr>
                <w:sz w:val="16"/>
              </w:rPr>
            </w:pPr>
            <w:r>
              <w:rPr>
                <w:color w:val="231F20"/>
                <w:sz w:val="16"/>
              </w:rPr>
              <w:t>12.56</w:t>
            </w:r>
          </w:p>
        </w:tc>
        <w:tc>
          <w:tcPr>
            <w:tcW w:w="1080" w:type="dxa"/>
            <w:shd w:val="clear" w:color="auto" w:fill="D1D3D4"/>
          </w:tcPr>
          <w:p>
            <w:pPr>
              <w:pStyle w:val="TableParagraph"/>
              <w:spacing w:before="50"/>
              <w:ind w:right="118"/>
              <w:jc w:val="right"/>
              <w:rPr>
                <w:sz w:val="16"/>
              </w:rPr>
            </w:pPr>
            <w:r>
              <w:rPr>
                <w:color w:val="231F20"/>
                <w:sz w:val="16"/>
              </w:rPr>
              <w:t>12.24</w:t>
            </w:r>
          </w:p>
        </w:tc>
      </w:tr>
      <w:tr>
        <w:trPr>
          <w:trHeight w:val="260" w:hRule="exact"/>
        </w:trPr>
        <w:tc>
          <w:tcPr>
            <w:tcW w:w="3800" w:type="dxa"/>
          </w:tcPr>
          <w:p>
            <w:pPr>
              <w:pStyle w:val="TableParagraph"/>
              <w:spacing w:before="50"/>
              <w:ind w:left="160"/>
              <w:rPr>
                <w:sz w:val="16"/>
              </w:rPr>
            </w:pPr>
            <w:r>
              <w:rPr>
                <w:color w:val="231F20"/>
                <w:sz w:val="16"/>
              </w:rPr>
              <w:t>Operating expenses per ASM (cents) (10)</w:t>
            </w:r>
          </w:p>
        </w:tc>
        <w:tc>
          <w:tcPr>
            <w:tcW w:w="1000" w:type="dxa"/>
          </w:tcPr>
          <w:p>
            <w:pPr>
              <w:pStyle w:val="TableParagraph"/>
              <w:spacing w:before="50"/>
              <w:ind w:right="117"/>
              <w:jc w:val="right"/>
              <w:rPr>
                <w:sz w:val="16"/>
              </w:rPr>
            </w:pPr>
            <w:r>
              <w:rPr>
                <w:color w:val="231F20"/>
                <w:sz w:val="16"/>
              </w:rPr>
              <w:t>11.18</w:t>
            </w:r>
          </w:p>
        </w:tc>
        <w:tc>
          <w:tcPr>
            <w:tcW w:w="1080" w:type="dxa"/>
          </w:tcPr>
          <w:p>
            <w:pPr>
              <w:pStyle w:val="TableParagraph"/>
              <w:spacing w:before="50"/>
              <w:ind w:left="600"/>
              <w:rPr>
                <w:sz w:val="16"/>
              </w:rPr>
            </w:pPr>
            <w:r>
              <w:rPr>
                <w:color w:val="231F20"/>
                <w:sz w:val="16"/>
              </w:rPr>
              <w:t>12.50</w:t>
            </w:r>
          </w:p>
        </w:tc>
        <w:tc>
          <w:tcPr>
            <w:tcW w:w="1080" w:type="dxa"/>
          </w:tcPr>
          <w:p>
            <w:pPr>
              <w:pStyle w:val="TableParagraph"/>
              <w:spacing w:before="50"/>
              <w:ind w:right="117"/>
              <w:jc w:val="right"/>
              <w:rPr>
                <w:sz w:val="16"/>
              </w:rPr>
            </w:pPr>
            <w:r>
              <w:rPr>
                <w:color w:val="231F20"/>
                <w:sz w:val="16"/>
              </w:rPr>
              <w:t>12.60</w:t>
            </w:r>
          </w:p>
        </w:tc>
        <w:tc>
          <w:tcPr>
            <w:tcW w:w="1080" w:type="dxa"/>
          </w:tcPr>
          <w:p>
            <w:pPr>
              <w:pStyle w:val="TableParagraph"/>
              <w:spacing w:before="50"/>
              <w:ind w:left="600"/>
              <w:rPr>
                <w:sz w:val="16"/>
              </w:rPr>
            </w:pPr>
            <w:r>
              <w:rPr>
                <w:color w:val="231F20"/>
                <w:sz w:val="16"/>
              </w:rPr>
              <w:t>12.85</w:t>
            </w:r>
          </w:p>
        </w:tc>
        <w:tc>
          <w:tcPr>
            <w:tcW w:w="1080" w:type="dxa"/>
          </w:tcPr>
          <w:p>
            <w:pPr>
              <w:pStyle w:val="TableParagraph"/>
              <w:spacing w:before="50"/>
              <w:ind w:right="118"/>
              <w:jc w:val="right"/>
              <w:rPr>
                <w:sz w:val="16"/>
              </w:rPr>
            </w:pPr>
            <w:r>
              <w:rPr>
                <w:color w:val="231F20"/>
                <w:sz w:val="16"/>
              </w:rPr>
              <w:t>12.41</w:t>
            </w:r>
          </w:p>
        </w:tc>
      </w:tr>
      <w:tr>
        <w:trPr>
          <w:trHeight w:val="260" w:hRule="exact"/>
        </w:trPr>
        <w:tc>
          <w:tcPr>
            <w:tcW w:w="3800" w:type="dxa"/>
            <w:shd w:val="clear" w:color="auto" w:fill="D1D3D4"/>
          </w:tcPr>
          <w:p>
            <w:pPr>
              <w:pStyle w:val="TableParagraph"/>
              <w:spacing w:before="50"/>
              <w:ind w:left="160"/>
              <w:rPr>
                <w:sz w:val="16"/>
              </w:rPr>
            </w:pPr>
            <w:r>
              <w:rPr>
                <w:color w:val="231F20"/>
                <w:sz w:val="16"/>
              </w:rPr>
              <w:t>Operating expenses per ASM, excluding fuel (cents)</w:t>
            </w:r>
          </w:p>
        </w:tc>
        <w:tc>
          <w:tcPr>
            <w:tcW w:w="1000" w:type="dxa"/>
            <w:shd w:val="clear" w:color="auto" w:fill="D1D3D4"/>
          </w:tcPr>
          <w:p>
            <w:pPr>
              <w:pStyle w:val="TableParagraph"/>
              <w:spacing w:before="50"/>
              <w:ind w:right="117"/>
              <w:jc w:val="right"/>
              <w:rPr>
                <w:sz w:val="16"/>
              </w:rPr>
            </w:pPr>
            <w:r>
              <w:rPr>
                <w:color w:val="231F20"/>
                <w:sz w:val="16"/>
              </w:rPr>
              <w:t>8.61</w:t>
            </w:r>
          </w:p>
        </w:tc>
        <w:tc>
          <w:tcPr>
            <w:tcW w:w="1080" w:type="dxa"/>
            <w:shd w:val="clear" w:color="auto" w:fill="D1D3D4"/>
          </w:tcPr>
          <w:p>
            <w:pPr>
              <w:pStyle w:val="TableParagraph"/>
              <w:spacing w:before="50"/>
              <w:ind w:left="680"/>
              <w:rPr>
                <w:sz w:val="16"/>
              </w:rPr>
            </w:pPr>
            <w:r>
              <w:rPr>
                <w:color w:val="231F20"/>
                <w:sz w:val="16"/>
              </w:rPr>
              <w:t>8.46</w:t>
            </w:r>
          </w:p>
        </w:tc>
        <w:tc>
          <w:tcPr>
            <w:tcW w:w="1080" w:type="dxa"/>
            <w:shd w:val="clear" w:color="auto" w:fill="D1D3D4"/>
          </w:tcPr>
          <w:p>
            <w:pPr>
              <w:pStyle w:val="TableParagraph"/>
              <w:spacing w:before="50"/>
              <w:ind w:right="117"/>
              <w:jc w:val="right"/>
              <w:rPr>
                <w:sz w:val="16"/>
              </w:rPr>
            </w:pPr>
            <w:r>
              <w:rPr>
                <w:color w:val="231F20"/>
                <w:sz w:val="16"/>
              </w:rPr>
              <w:t>8.18</w:t>
            </w:r>
          </w:p>
        </w:tc>
        <w:tc>
          <w:tcPr>
            <w:tcW w:w="1080" w:type="dxa"/>
            <w:shd w:val="clear" w:color="auto" w:fill="D1D3D4"/>
          </w:tcPr>
          <w:p>
            <w:pPr>
              <w:pStyle w:val="TableParagraph"/>
              <w:spacing w:before="50"/>
              <w:ind w:left="680"/>
              <w:rPr>
                <w:sz w:val="16"/>
              </w:rPr>
            </w:pPr>
            <w:r>
              <w:rPr>
                <w:color w:val="231F20"/>
                <w:sz w:val="16"/>
              </w:rPr>
              <w:t>8.07</w:t>
            </w:r>
          </w:p>
        </w:tc>
        <w:tc>
          <w:tcPr>
            <w:tcW w:w="1080" w:type="dxa"/>
            <w:shd w:val="clear" w:color="auto" w:fill="D1D3D4"/>
          </w:tcPr>
          <w:p>
            <w:pPr>
              <w:pStyle w:val="TableParagraph"/>
              <w:spacing w:before="50"/>
              <w:ind w:right="118"/>
              <w:jc w:val="right"/>
              <w:rPr>
                <w:sz w:val="16"/>
              </w:rPr>
            </w:pPr>
            <w:r>
              <w:rPr>
                <w:color w:val="231F20"/>
                <w:sz w:val="16"/>
              </w:rPr>
              <w:t>7.73</w:t>
            </w:r>
          </w:p>
        </w:tc>
      </w:tr>
      <w:tr>
        <w:trPr>
          <w:trHeight w:val="460" w:hRule="exact"/>
        </w:trPr>
        <w:tc>
          <w:tcPr>
            <w:tcW w:w="3800" w:type="dxa"/>
          </w:tcPr>
          <w:p>
            <w:pPr>
              <w:pStyle w:val="TableParagraph"/>
              <w:spacing w:line="261" w:lineRule="auto" w:before="50"/>
              <w:ind w:left="320" w:hanging="160"/>
              <w:rPr>
                <w:sz w:val="16"/>
              </w:rPr>
            </w:pPr>
            <w:r>
              <w:rPr>
                <w:color w:val="231F20"/>
                <w:sz w:val="16"/>
              </w:rPr>
              <w:t>Operating expenses per ASM, excluding fuel and profitsharing (cents)</w:t>
            </w:r>
          </w:p>
        </w:tc>
        <w:tc>
          <w:tcPr>
            <w:tcW w:w="1000" w:type="dxa"/>
          </w:tcPr>
          <w:p>
            <w:pPr>
              <w:pStyle w:val="TableParagraph"/>
              <w:spacing w:before="9"/>
              <w:rPr>
                <w:b/>
                <w:sz w:val="21"/>
              </w:rPr>
            </w:pPr>
          </w:p>
          <w:p>
            <w:pPr>
              <w:pStyle w:val="TableParagraph"/>
              <w:spacing w:before="0"/>
              <w:ind w:right="119"/>
              <w:jc w:val="right"/>
              <w:rPr>
                <w:sz w:val="16"/>
              </w:rPr>
            </w:pPr>
            <w:r>
              <w:rPr>
                <w:color w:val="231F20"/>
                <w:sz w:val="16"/>
              </w:rPr>
              <w:t>8.17</w:t>
            </w:r>
          </w:p>
        </w:tc>
        <w:tc>
          <w:tcPr>
            <w:tcW w:w="1080" w:type="dxa"/>
          </w:tcPr>
          <w:p>
            <w:pPr>
              <w:pStyle w:val="TableParagraph"/>
              <w:spacing w:before="9"/>
              <w:rPr>
                <w:b/>
                <w:sz w:val="21"/>
              </w:rPr>
            </w:pPr>
          </w:p>
          <w:p>
            <w:pPr>
              <w:pStyle w:val="TableParagraph"/>
              <w:spacing w:before="0"/>
              <w:ind w:left="680"/>
              <w:rPr>
                <w:sz w:val="16"/>
              </w:rPr>
            </w:pPr>
            <w:r>
              <w:rPr>
                <w:color w:val="231F20"/>
                <w:sz w:val="16"/>
              </w:rPr>
              <w:t>8.19</w:t>
            </w:r>
          </w:p>
        </w:tc>
        <w:tc>
          <w:tcPr>
            <w:tcW w:w="1080" w:type="dxa"/>
          </w:tcPr>
          <w:p>
            <w:pPr>
              <w:pStyle w:val="TableParagraph"/>
              <w:spacing w:before="9"/>
              <w:rPr>
                <w:b/>
                <w:sz w:val="21"/>
              </w:rPr>
            </w:pPr>
          </w:p>
          <w:p>
            <w:pPr>
              <w:pStyle w:val="TableParagraph"/>
              <w:spacing w:before="0"/>
              <w:ind w:right="119"/>
              <w:jc w:val="right"/>
              <w:rPr>
                <w:sz w:val="16"/>
              </w:rPr>
            </w:pPr>
            <w:r>
              <w:rPr>
                <w:color w:val="231F20"/>
                <w:sz w:val="16"/>
              </w:rPr>
              <w:t>8.01</w:t>
            </w:r>
          </w:p>
        </w:tc>
        <w:tc>
          <w:tcPr>
            <w:tcW w:w="1080" w:type="dxa"/>
          </w:tcPr>
          <w:p>
            <w:pPr>
              <w:pStyle w:val="TableParagraph"/>
              <w:spacing w:before="9"/>
              <w:rPr>
                <w:b/>
                <w:sz w:val="21"/>
              </w:rPr>
            </w:pPr>
          </w:p>
          <w:p>
            <w:pPr>
              <w:pStyle w:val="TableParagraph"/>
              <w:spacing w:before="0"/>
              <w:ind w:left="680"/>
              <w:rPr>
                <w:sz w:val="16"/>
              </w:rPr>
            </w:pPr>
            <w:r>
              <w:rPr>
                <w:color w:val="231F20"/>
                <w:sz w:val="16"/>
              </w:rPr>
              <w:t>7.98</w:t>
            </w:r>
          </w:p>
        </w:tc>
        <w:tc>
          <w:tcPr>
            <w:tcW w:w="1080" w:type="dxa"/>
          </w:tcPr>
          <w:p>
            <w:pPr>
              <w:pStyle w:val="TableParagraph"/>
              <w:spacing w:before="9"/>
              <w:rPr>
                <w:b/>
                <w:sz w:val="21"/>
              </w:rPr>
            </w:pPr>
          </w:p>
          <w:p>
            <w:pPr>
              <w:pStyle w:val="TableParagraph"/>
              <w:spacing w:before="0"/>
              <w:ind w:right="118"/>
              <w:jc w:val="right"/>
              <w:rPr>
                <w:sz w:val="16"/>
              </w:rPr>
            </w:pPr>
            <w:r>
              <w:rPr>
                <w:color w:val="231F20"/>
                <w:sz w:val="16"/>
              </w:rPr>
              <w:t>7.65</w:t>
            </w:r>
          </w:p>
        </w:tc>
      </w:tr>
      <w:tr>
        <w:trPr>
          <w:trHeight w:val="260" w:hRule="exact"/>
        </w:trPr>
        <w:tc>
          <w:tcPr>
            <w:tcW w:w="3800" w:type="dxa"/>
            <w:shd w:val="clear" w:color="auto" w:fill="D1D3D4"/>
          </w:tcPr>
          <w:p>
            <w:pPr>
              <w:pStyle w:val="TableParagraph"/>
              <w:spacing w:before="50"/>
              <w:ind w:left="160"/>
              <w:rPr>
                <w:sz w:val="16"/>
              </w:rPr>
            </w:pPr>
            <w:r>
              <w:rPr>
                <w:color w:val="231F20"/>
                <w:sz w:val="16"/>
              </w:rPr>
              <w:t>Fuel costs per gallon, including fuel tax</w:t>
            </w:r>
          </w:p>
        </w:tc>
        <w:tc>
          <w:tcPr>
            <w:tcW w:w="1000" w:type="dxa"/>
            <w:shd w:val="clear" w:color="auto" w:fill="D1D3D4"/>
          </w:tcPr>
          <w:p>
            <w:pPr>
              <w:pStyle w:val="TableParagraph"/>
              <w:tabs>
                <w:tab w:pos="599" w:val="left" w:leader="none"/>
              </w:tabs>
              <w:spacing w:before="50"/>
              <w:rPr>
                <w:sz w:val="16"/>
              </w:rPr>
            </w:pPr>
            <w:r>
              <w:rPr>
                <w:color w:val="231F20"/>
                <w:sz w:val="16"/>
              </w:rPr>
              <w:t>$</w:t>
              <w:tab/>
              <w:t>1.90</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2.93</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3.16</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3.30</w:t>
            </w:r>
          </w:p>
        </w:tc>
        <w:tc>
          <w:tcPr>
            <w:tcW w:w="1080" w:type="dxa"/>
            <w:shd w:val="clear" w:color="auto" w:fill="D1D3D4"/>
          </w:tcPr>
          <w:p>
            <w:pPr>
              <w:pStyle w:val="TableParagraph"/>
              <w:tabs>
                <w:tab w:pos="679" w:val="left" w:leader="none"/>
              </w:tabs>
              <w:spacing w:before="50"/>
              <w:ind w:left="80"/>
              <w:rPr>
                <w:sz w:val="16"/>
              </w:rPr>
            </w:pPr>
            <w:r>
              <w:rPr>
                <w:color w:val="231F20"/>
                <w:sz w:val="16"/>
              </w:rPr>
              <w:t>$</w:t>
              <w:tab/>
              <w:t>3.19</w:t>
            </w:r>
          </w:p>
        </w:tc>
      </w:tr>
      <w:tr>
        <w:trPr>
          <w:trHeight w:val="260" w:hRule="exact"/>
        </w:trPr>
        <w:tc>
          <w:tcPr>
            <w:tcW w:w="3800" w:type="dxa"/>
          </w:tcPr>
          <w:p>
            <w:pPr>
              <w:pStyle w:val="TableParagraph"/>
              <w:spacing w:before="50"/>
              <w:ind w:left="160"/>
              <w:rPr>
                <w:sz w:val="16"/>
              </w:rPr>
            </w:pPr>
            <w:r>
              <w:rPr>
                <w:color w:val="231F20"/>
                <w:sz w:val="16"/>
              </w:rPr>
              <w:t>Fuel costs per gallon, including fuel tax, economic</w:t>
            </w:r>
          </w:p>
        </w:tc>
        <w:tc>
          <w:tcPr>
            <w:tcW w:w="1000" w:type="dxa"/>
          </w:tcPr>
          <w:p>
            <w:pPr>
              <w:pStyle w:val="TableParagraph"/>
              <w:tabs>
                <w:tab w:pos="599" w:val="left" w:leader="none"/>
              </w:tabs>
              <w:spacing w:before="50"/>
              <w:rPr>
                <w:sz w:val="16"/>
              </w:rPr>
            </w:pPr>
            <w:r>
              <w:rPr>
                <w:color w:val="231F20"/>
                <w:sz w:val="16"/>
              </w:rPr>
              <w:t>$</w:t>
              <w:tab/>
              <w:t>2.07</w:t>
            </w:r>
          </w:p>
        </w:tc>
        <w:tc>
          <w:tcPr>
            <w:tcW w:w="1080" w:type="dxa"/>
          </w:tcPr>
          <w:p>
            <w:pPr>
              <w:pStyle w:val="TableParagraph"/>
              <w:tabs>
                <w:tab w:pos="679" w:val="left" w:leader="none"/>
              </w:tabs>
              <w:spacing w:before="50"/>
              <w:ind w:left="80"/>
              <w:rPr>
                <w:sz w:val="16"/>
              </w:rPr>
            </w:pPr>
            <w:r>
              <w:rPr>
                <w:color w:val="231F20"/>
                <w:sz w:val="16"/>
              </w:rPr>
              <w:t>$</w:t>
              <w:tab/>
              <w:t>2.92</w:t>
            </w:r>
          </w:p>
        </w:tc>
        <w:tc>
          <w:tcPr>
            <w:tcW w:w="1080" w:type="dxa"/>
          </w:tcPr>
          <w:p>
            <w:pPr>
              <w:pStyle w:val="TableParagraph"/>
              <w:tabs>
                <w:tab w:pos="679" w:val="left" w:leader="none"/>
              </w:tabs>
              <w:spacing w:before="50"/>
              <w:ind w:left="80"/>
              <w:rPr>
                <w:sz w:val="16"/>
              </w:rPr>
            </w:pPr>
            <w:r>
              <w:rPr>
                <w:color w:val="231F20"/>
                <w:sz w:val="16"/>
              </w:rPr>
              <w:t>$</w:t>
              <w:tab/>
              <w:t>3.12</w:t>
            </w:r>
          </w:p>
        </w:tc>
        <w:tc>
          <w:tcPr>
            <w:tcW w:w="1080" w:type="dxa"/>
          </w:tcPr>
          <w:p>
            <w:pPr>
              <w:pStyle w:val="TableParagraph"/>
              <w:tabs>
                <w:tab w:pos="679" w:val="left" w:leader="none"/>
              </w:tabs>
              <w:spacing w:before="50"/>
              <w:ind w:left="80"/>
              <w:rPr>
                <w:sz w:val="16"/>
              </w:rPr>
            </w:pPr>
            <w:r>
              <w:rPr>
                <w:color w:val="231F20"/>
                <w:sz w:val="16"/>
              </w:rPr>
              <w:t>$</w:t>
              <w:tab/>
              <w:t>3.28</w:t>
            </w:r>
          </w:p>
        </w:tc>
        <w:tc>
          <w:tcPr>
            <w:tcW w:w="1080" w:type="dxa"/>
          </w:tcPr>
          <w:p>
            <w:pPr>
              <w:pStyle w:val="TableParagraph"/>
              <w:tabs>
                <w:tab w:pos="679" w:val="left" w:leader="none"/>
              </w:tabs>
              <w:spacing w:before="50"/>
              <w:ind w:left="80"/>
              <w:rPr>
                <w:sz w:val="16"/>
              </w:rPr>
            </w:pPr>
            <w:r>
              <w:rPr>
                <w:color w:val="231F20"/>
                <w:sz w:val="16"/>
              </w:rPr>
              <w:t>$</w:t>
              <w:tab/>
              <w:t>3.19</w:t>
            </w:r>
          </w:p>
        </w:tc>
      </w:tr>
      <w:tr>
        <w:trPr>
          <w:trHeight w:val="260" w:hRule="exact"/>
        </w:trPr>
        <w:tc>
          <w:tcPr>
            <w:tcW w:w="3800" w:type="dxa"/>
            <w:shd w:val="clear" w:color="auto" w:fill="D1D3D4"/>
          </w:tcPr>
          <w:p>
            <w:pPr>
              <w:pStyle w:val="TableParagraph"/>
              <w:spacing w:before="50"/>
              <w:ind w:left="160"/>
              <w:rPr>
                <w:sz w:val="16"/>
              </w:rPr>
            </w:pPr>
            <w:r>
              <w:rPr>
                <w:color w:val="231F20"/>
                <w:sz w:val="16"/>
              </w:rPr>
              <w:t>Fuel consumed, in gallons (millions)</w:t>
            </w:r>
          </w:p>
        </w:tc>
        <w:tc>
          <w:tcPr>
            <w:tcW w:w="1000" w:type="dxa"/>
            <w:shd w:val="clear" w:color="auto" w:fill="D1D3D4"/>
          </w:tcPr>
          <w:p>
            <w:pPr>
              <w:pStyle w:val="TableParagraph"/>
              <w:spacing w:before="50"/>
              <w:ind w:right="117"/>
              <w:jc w:val="right"/>
              <w:rPr>
                <w:sz w:val="16"/>
              </w:rPr>
            </w:pPr>
            <w:r>
              <w:rPr>
                <w:color w:val="231F20"/>
                <w:sz w:val="16"/>
              </w:rPr>
              <w:t>1,901</w:t>
            </w:r>
          </w:p>
        </w:tc>
        <w:tc>
          <w:tcPr>
            <w:tcW w:w="1080" w:type="dxa"/>
            <w:shd w:val="clear" w:color="auto" w:fill="D1D3D4"/>
          </w:tcPr>
          <w:p>
            <w:pPr>
              <w:pStyle w:val="TableParagraph"/>
              <w:spacing w:before="50"/>
              <w:ind w:left="600"/>
              <w:rPr>
                <w:sz w:val="16"/>
              </w:rPr>
            </w:pPr>
            <w:r>
              <w:rPr>
                <w:color w:val="231F20"/>
                <w:sz w:val="16"/>
              </w:rPr>
              <w:t>1,801</w:t>
            </w:r>
          </w:p>
        </w:tc>
        <w:tc>
          <w:tcPr>
            <w:tcW w:w="1080" w:type="dxa"/>
            <w:shd w:val="clear" w:color="auto" w:fill="D1D3D4"/>
          </w:tcPr>
          <w:p>
            <w:pPr>
              <w:pStyle w:val="TableParagraph"/>
              <w:spacing w:before="50"/>
              <w:ind w:right="117"/>
              <w:jc w:val="right"/>
              <w:rPr>
                <w:sz w:val="16"/>
              </w:rPr>
            </w:pPr>
            <w:r>
              <w:rPr>
                <w:color w:val="231F20"/>
                <w:sz w:val="16"/>
              </w:rPr>
              <w:t>1,818</w:t>
            </w:r>
          </w:p>
        </w:tc>
        <w:tc>
          <w:tcPr>
            <w:tcW w:w="1080" w:type="dxa"/>
            <w:shd w:val="clear" w:color="auto" w:fill="D1D3D4"/>
          </w:tcPr>
          <w:p>
            <w:pPr>
              <w:pStyle w:val="TableParagraph"/>
              <w:spacing w:before="50"/>
              <w:ind w:left="600"/>
              <w:rPr>
                <w:sz w:val="16"/>
              </w:rPr>
            </w:pPr>
            <w:r>
              <w:rPr>
                <w:color w:val="231F20"/>
                <w:sz w:val="16"/>
              </w:rPr>
              <w:t>1,847</w:t>
            </w:r>
          </w:p>
        </w:tc>
        <w:tc>
          <w:tcPr>
            <w:tcW w:w="1080" w:type="dxa"/>
            <w:shd w:val="clear" w:color="auto" w:fill="D1D3D4"/>
          </w:tcPr>
          <w:p>
            <w:pPr>
              <w:pStyle w:val="TableParagraph"/>
              <w:spacing w:before="50"/>
              <w:ind w:right="118"/>
              <w:jc w:val="right"/>
              <w:rPr>
                <w:sz w:val="16"/>
              </w:rPr>
            </w:pPr>
            <w:r>
              <w:rPr>
                <w:color w:val="231F20"/>
                <w:sz w:val="16"/>
              </w:rPr>
              <w:t>1,764</w:t>
            </w:r>
          </w:p>
        </w:tc>
      </w:tr>
      <w:tr>
        <w:trPr>
          <w:trHeight w:val="260" w:hRule="exact"/>
        </w:trPr>
        <w:tc>
          <w:tcPr>
            <w:tcW w:w="3800" w:type="dxa"/>
          </w:tcPr>
          <w:p>
            <w:pPr>
              <w:pStyle w:val="TableParagraph"/>
              <w:spacing w:before="50"/>
              <w:ind w:left="160"/>
              <w:rPr>
                <w:sz w:val="16"/>
              </w:rPr>
            </w:pPr>
            <w:r>
              <w:rPr>
                <w:color w:val="231F20"/>
                <w:sz w:val="16"/>
              </w:rPr>
              <w:t>Active fulltime equivalent Employees</w:t>
            </w:r>
          </w:p>
        </w:tc>
        <w:tc>
          <w:tcPr>
            <w:tcW w:w="1000" w:type="dxa"/>
          </w:tcPr>
          <w:p>
            <w:pPr>
              <w:pStyle w:val="TableParagraph"/>
              <w:spacing w:before="50"/>
              <w:ind w:right="119"/>
              <w:jc w:val="right"/>
              <w:rPr>
                <w:sz w:val="16"/>
              </w:rPr>
            </w:pPr>
            <w:r>
              <w:rPr>
                <w:color w:val="231F20"/>
                <w:sz w:val="16"/>
              </w:rPr>
              <w:t>49,583</w:t>
            </w:r>
          </w:p>
        </w:tc>
        <w:tc>
          <w:tcPr>
            <w:tcW w:w="1080" w:type="dxa"/>
          </w:tcPr>
          <w:p>
            <w:pPr>
              <w:pStyle w:val="TableParagraph"/>
              <w:spacing w:before="50"/>
              <w:ind w:left="520"/>
              <w:rPr>
                <w:sz w:val="16"/>
              </w:rPr>
            </w:pPr>
            <w:r>
              <w:rPr>
                <w:color w:val="231F20"/>
                <w:sz w:val="16"/>
              </w:rPr>
              <w:t>46,278</w:t>
            </w:r>
          </w:p>
        </w:tc>
        <w:tc>
          <w:tcPr>
            <w:tcW w:w="1080" w:type="dxa"/>
          </w:tcPr>
          <w:p>
            <w:pPr>
              <w:pStyle w:val="TableParagraph"/>
              <w:spacing w:before="50"/>
              <w:ind w:right="119"/>
              <w:jc w:val="right"/>
              <w:rPr>
                <w:sz w:val="16"/>
              </w:rPr>
            </w:pPr>
            <w:r>
              <w:rPr>
                <w:color w:val="231F20"/>
                <w:sz w:val="16"/>
              </w:rPr>
              <w:t>44,381</w:t>
            </w:r>
          </w:p>
        </w:tc>
        <w:tc>
          <w:tcPr>
            <w:tcW w:w="1080" w:type="dxa"/>
          </w:tcPr>
          <w:p>
            <w:pPr>
              <w:pStyle w:val="TableParagraph"/>
              <w:spacing w:before="50"/>
              <w:ind w:left="520"/>
              <w:rPr>
                <w:sz w:val="16"/>
              </w:rPr>
            </w:pPr>
            <w:r>
              <w:rPr>
                <w:color w:val="231F20"/>
                <w:sz w:val="16"/>
              </w:rPr>
              <w:t>45,861</w:t>
            </w:r>
          </w:p>
        </w:tc>
        <w:tc>
          <w:tcPr>
            <w:tcW w:w="1080" w:type="dxa"/>
          </w:tcPr>
          <w:p>
            <w:pPr>
              <w:pStyle w:val="TableParagraph"/>
              <w:spacing w:before="50"/>
              <w:ind w:right="118"/>
              <w:jc w:val="right"/>
              <w:rPr>
                <w:sz w:val="16"/>
              </w:rPr>
            </w:pPr>
            <w:r>
              <w:rPr>
                <w:color w:val="231F20"/>
                <w:sz w:val="16"/>
              </w:rPr>
              <w:t>45,392</w:t>
            </w:r>
          </w:p>
        </w:tc>
      </w:tr>
      <w:tr>
        <w:trPr>
          <w:trHeight w:val="260" w:hRule="exact"/>
        </w:trPr>
        <w:tc>
          <w:tcPr>
            <w:tcW w:w="3800" w:type="dxa"/>
            <w:shd w:val="clear" w:color="auto" w:fill="D1D3D4"/>
          </w:tcPr>
          <w:p>
            <w:pPr>
              <w:pStyle w:val="TableParagraph"/>
              <w:spacing w:before="50"/>
              <w:ind w:left="160"/>
              <w:rPr>
                <w:sz w:val="16"/>
              </w:rPr>
            </w:pPr>
            <w:r>
              <w:rPr>
                <w:color w:val="231F20"/>
                <w:sz w:val="16"/>
              </w:rPr>
              <w:t>Aircraft at end of period (11)</w:t>
            </w:r>
          </w:p>
        </w:tc>
        <w:tc>
          <w:tcPr>
            <w:tcW w:w="1000" w:type="dxa"/>
            <w:shd w:val="clear" w:color="auto" w:fill="D1D3D4"/>
          </w:tcPr>
          <w:p>
            <w:pPr>
              <w:pStyle w:val="TableParagraph"/>
              <w:spacing w:before="50"/>
              <w:ind w:right="117"/>
              <w:jc w:val="right"/>
              <w:rPr>
                <w:sz w:val="16"/>
              </w:rPr>
            </w:pPr>
            <w:r>
              <w:rPr>
                <w:color w:val="231F20"/>
                <w:sz w:val="16"/>
              </w:rPr>
              <w:t>704</w:t>
            </w:r>
          </w:p>
        </w:tc>
        <w:tc>
          <w:tcPr>
            <w:tcW w:w="1080" w:type="dxa"/>
            <w:shd w:val="clear" w:color="auto" w:fill="D1D3D4"/>
          </w:tcPr>
          <w:p>
            <w:pPr>
              <w:pStyle w:val="TableParagraph"/>
              <w:spacing w:before="50"/>
              <w:ind w:right="117"/>
              <w:jc w:val="right"/>
              <w:rPr>
                <w:sz w:val="16"/>
              </w:rPr>
            </w:pPr>
            <w:r>
              <w:rPr>
                <w:color w:val="231F20"/>
                <w:sz w:val="16"/>
              </w:rPr>
              <w:t>665</w:t>
            </w:r>
          </w:p>
        </w:tc>
        <w:tc>
          <w:tcPr>
            <w:tcW w:w="1080" w:type="dxa"/>
            <w:shd w:val="clear" w:color="auto" w:fill="D1D3D4"/>
          </w:tcPr>
          <w:p>
            <w:pPr>
              <w:pStyle w:val="TableParagraph"/>
              <w:spacing w:before="50"/>
              <w:ind w:right="117"/>
              <w:jc w:val="right"/>
              <w:rPr>
                <w:sz w:val="16"/>
              </w:rPr>
            </w:pPr>
            <w:r>
              <w:rPr>
                <w:color w:val="231F20"/>
                <w:sz w:val="16"/>
              </w:rPr>
              <w:t>681</w:t>
            </w:r>
          </w:p>
        </w:tc>
        <w:tc>
          <w:tcPr>
            <w:tcW w:w="1080" w:type="dxa"/>
            <w:shd w:val="clear" w:color="auto" w:fill="D1D3D4"/>
          </w:tcPr>
          <w:p>
            <w:pPr>
              <w:pStyle w:val="TableParagraph"/>
              <w:spacing w:before="50"/>
              <w:ind w:right="117"/>
              <w:jc w:val="right"/>
              <w:rPr>
                <w:sz w:val="16"/>
              </w:rPr>
            </w:pPr>
            <w:r>
              <w:rPr>
                <w:color w:val="231F20"/>
                <w:sz w:val="16"/>
              </w:rPr>
              <w:t>694</w:t>
            </w:r>
          </w:p>
        </w:tc>
        <w:tc>
          <w:tcPr>
            <w:tcW w:w="1080" w:type="dxa"/>
            <w:shd w:val="clear" w:color="auto" w:fill="D1D3D4"/>
          </w:tcPr>
          <w:p>
            <w:pPr>
              <w:pStyle w:val="TableParagraph"/>
              <w:spacing w:before="50"/>
              <w:ind w:right="118"/>
              <w:jc w:val="right"/>
              <w:rPr>
                <w:sz w:val="16"/>
              </w:rPr>
            </w:pPr>
            <w:r>
              <w:rPr>
                <w:color w:val="231F20"/>
                <w:sz w:val="16"/>
              </w:rPr>
              <w:t>698</w:t>
            </w:r>
          </w:p>
        </w:tc>
      </w:tr>
    </w:tbl>
    <w:p>
      <w:pPr>
        <w:pStyle w:val="BodyText"/>
        <w:spacing w:before="1"/>
        <w:rPr>
          <w:b/>
          <w:sz w:val="17"/>
        </w:rPr>
      </w:pPr>
    </w:p>
    <w:p>
      <w:pPr>
        <w:pStyle w:val="ListParagraph"/>
        <w:numPr>
          <w:ilvl w:val="1"/>
          <w:numId w:val="6"/>
        </w:numPr>
        <w:tabs>
          <w:tab w:pos="500" w:val="left" w:leader="none"/>
        </w:tabs>
        <w:spacing w:line="261" w:lineRule="auto" w:before="95" w:after="0"/>
        <w:ind w:left="500" w:right="117" w:hanging="320"/>
        <w:jc w:val="left"/>
        <w:rPr>
          <w:sz w:val="16"/>
        </w:rPr>
      </w:pPr>
      <w:r>
        <w:rPr>
          <w:color w:val="231F20"/>
          <w:sz w:val="16"/>
        </w:rPr>
        <w:t>Historical amounts have been restated to align with current presentation. See Note 1 to the Consolidated Financial Statements for  further</w:t>
      </w:r>
      <w:r>
        <w:rPr>
          <w:color w:val="231F20"/>
          <w:spacing w:val="-2"/>
          <w:sz w:val="16"/>
        </w:rPr>
        <w:t> </w:t>
      </w:r>
      <w:r>
        <w:rPr>
          <w:color w:val="231F20"/>
          <w:sz w:val="16"/>
        </w:rPr>
        <w:t>information.</w:t>
      </w:r>
    </w:p>
    <w:p>
      <w:pPr>
        <w:pStyle w:val="ListParagraph"/>
        <w:numPr>
          <w:ilvl w:val="1"/>
          <w:numId w:val="6"/>
        </w:numPr>
        <w:tabs>
          <w:tab w:pos="500" w:val="left" w:leader="none"/>
        </w:tabs>
        <w:spacing w:line="261" w:lineRule="auto" w:before="0" w:after="0"/>
        <w:ind w:left="50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1"/>
          <w:numId w:val="6"/>
        </w:numPr>
        <w:tabs>
          <w:tab w:pos="500" w:val="left" w:leader="none"/>
        </w:tabs>
        <w:spacing w:line="261" w:lineRule="auto" w:before="0" w:after="0"/>
        <w:ind w:left="50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1"/>
          <w:numId w:val="6"/>
        </w:numPr>
        <w:tabs>
          <w:tab w:pos="500" w:val="left" w:leader="none"/>
        </w:tabs>
        <w:spacing w:line="240" w:lineRule="auto" w:before="0" w:after="0"/>
        <w:ind w:left="50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1"/>
          <w:numId w:val="6"/>
        </w:numPr>
        <w:tabs>
          <w:tab w:pos="500" w:val="left" w:leader="none"/>
        </w:tabs>
        <w:spacing w:line="261" w:lineRule="auto" w:before="16" w:after="0"/>
        <w:ind w:left="500" w:right="117" w:hanging="320"/>
        <w:jc w:val="left"/>
        <w:rPr>
          <w:sz w:val="16"/>
        </w:rPr>
      </w:pPr>
      <w:r>
        <w:rPr>
          <w:color w:val="231F20"/>
          <w:sz w:val="16"/>
        </w:rPr>
        <w:t>Seats flown is calculated using total number of seats available by aircraft type multiplied by the total trips flown by the same aircraft type during a particular</w:t>
      </w:r>
      <w:r>
        <w:rPr>
          <w:color w:val="231F20"/>
          <w:spacing w:val="-6"/>
          <w:sz w:val="16"/>
        </w:rPr>
        <w:t> </w:t>
      </w:r>
      <w:r>
        <w:rPr>
          <w:color w:val="231F20"/>
          <w:sz w:val="16"/>
        </w:rPr>
        <w:t>period.</w:t>
      </w:r>
    </w:p>
    <w:p>
      <w:pPr>
        <w:spacing w:after="0" w:line="261" w:lineRule="auto"/>
        <w:jc w:val="left"/>
        <w:rPr>
          <w:sz w:val="16"/>
        </w:rPr>
        <w:sectPr>
          <w:type w:val="continuous"/>
          <w:pgSz w:w="11880" w:h="15480"/>
          <w:pgMar w:top="1260" w:bottom="280" w:left="1280" w:right="1260"/>
        </w:sectPr>
      </w:pPr>
    </w:p>
    <w:p>
      <w:pPr>
        <w:pStyle w:val="ListParagraph"/>
        <w:numPr>
          <w:ilvl w:val="1"/>
          <w:numId w:val="6"/>
        </w:numPr>
        <w:tabs>
          <w:tab w:pos="420" w:val="left" w:leader="none"/>
        </w:tabs>
        <w:spacing w:line="240" w:lineRule="auto" w:before="70" w:after="0"/>
        <w:ind w:left="420" w:right="0" w:hanging="320"/>
        <w:jc w:val="left"/>
        <w:rPr>
          <w:sz w:val="16"/>
        </w:rPr>
      </w:pPr>
      <w:r>
        <w:rPr>
          <w:color w:val="231F20"/>
          <w:sz w:val="16"/>
        </w:rPr>
        <w:t>Seats per trip is calculated using seats flown divided by trips flown. Also referred to as</w:t>
      </w:r>
      <w:r>
        <w:rPr>
          <w:color w:val="231F20"/>
          <w:spacing w:val="-20"/>
          <w:sz w:val="16"/>
        </w:rPr>
        <w:t> </w:t>
      </w:r>
      <w:r>
        <w:rPr>
          <w:color w:val="231F20"/>
          <w:sz w:val="16"/>
        </w:rPr>
        <w:t>“gauge.”</w:t>
      </w:r>
    </w:p>
    <w:p>
      <w:pPr>
        <w:pStyle w:val="ListParagraph"/>
        <w:numPr>
          <w:ilvl w:val="1"/>
          <w:numId w:val="6"/>
        </w:numPr>
        <w:tabs>
          <w:tab w:pos="420" w:val="left" w:leader="none"/>
        </w:tabs>
        <w:spacing w:line="261" w:lineRule="auto" w:before="15" w:after="0"/>
        <w:ind w:left="420" w:right="117" w:hanging="320"/>
        <w:jc w:val="both"/>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1"/>
          <w:numId w:val="6"/>
        </w:numPr>
        <w:tabs>
          <w:tab w:pos="420" w:val="left" w:leader="none"/>
        </w:tabs>
        <w:spacing w:line="261" w:lineRule="auto" w:before="0" w:after="0"/>
        <w:ind w:left="420" w:right="115" w:hanging="320"/>
        <w:jc w:val="both"/>
        <w:rPr>
          <w:sz w:val="16"/>
        </w:rPr>
      </w:pPr>
      <w:r>
        <w:rPr>
          <w:color w:val="231F20"/>
          <w:sz w:val="16"/>
        </w:rPr>
        <w:t>Calculated as operating revenues, excluding special items, divided by available seat miles. Also referred to as “RASM” or “operating unit revenues,” this is a measure of operating revenue production based on the total available seat miles flown during a particular  period. Year ended 2015 RASM excludes a $172 million one-time non-cash special revenue adjustment. Additional information regarding this special item is provided in the Note Regarding Use of Non-GAAP Financial Measures and a reconciliation of revenue excluding special items related to accounting changes in the accompanying</w:t>
      </w:r>
      <w:r>
        <w:rPr>
          <w:color w:val="231F20"/>
          <w:spacing w:val="-16"/>
          <w:sz w:val="16"/>
        </w:rPr>
        <w:t> </w:t>
      </w:r>
      <w:r>
        <w:rPr>
          <w:color w:val="231F20"/>
          <w:sz w:val="16"/>
        </w:rPr>
        <w:t>pages.</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Aircraft in the Company’s fleet at end of period, less Boeing 717-200s removed from service in preparation for transition out of the fleet.</w:t>
      </w:r>
    </w:p>
    <w:p>
      <w:pPr>
        <w:pStyle w:val="ListParagraph"/>
        <w:numPr>
          <w:ilvl w:val="1"/>
          <w:numId w:val="6"/>
        </w:numPr>
        <w:tabs>
          <w:tab w:pos="420" w:val="left" w:leader="none"/>
        </w:tabs>
        <w:spacing w:line="261" w:lineRule="auto" w:before="0" w:after="0"/>
        <w:ind w:left="420" w:right="117" w:hanging="320"/>
        <w:jc w:val="both"/>
        <w:rPr>
          <w:sz w:val="16"/>
        </w:rPr>
      </w:pPr>
      <w:r>
        <w:rPr>
          <w:color w:val="231F20"/>
          <w:sz w:val="16"/>
        </w:rPr>
        <w:t>Refer to Note 1 to the Consolidated Financial Statements for additional information regarding the impact from the July 2015 amended co-branded credit card agreement with Chase Bank USA,</w:t>
      </w:r>
      <w:r>
        <w:rPr>
          <w:color w:val="231F20"/>
          <w:spacing w:val="-7"/>
          <w:sz w:val="16"/>
        </w:rPr>
        <w:t> </w:t>
      </w:r>
      <w:r>
        <w:rPr>
          <w:color w:val="231F20"/>
          <w:sz w:val="16"/>
        </w:rPr>
        <w:t>N.A.</w:t>
      </w:r>
    </w:p>
    <w:p>
      <w:pPr>
        <w:spacing w:after="0" w:line="261" w:lineRule="auto"/>
        <w:jc w:val="both"/>
        <w:rPr>
          <w:sz w:val="16"/>
        </w:rPr>
        <w:sectPr>
          <w:pgSz w:w="11880" w:h="15480"/>
          <w:pgMar w:header="0" w:footer="1240" w:top="1240" w:bottom="1420" w:left="1360" w:right="1260"/>
        </w:sectPr>
      </w:pPr>
    </w:p>
    <w:p>
      <w:pPr>
        <w:pStyle w:val="Heading2"/>
        <w:tabs>
          <w:tab w:pos="1419" w:val="left" w:leader="none"/>
        </w:tabs>
        <w:spacing w:line="247" w:lineRule="auto" w:before="74"/>
        <w:ind w:left="100" w:right="796"/>
      </w:pPr>
      <w:bookmarkStart w:name="Item 7. Management's Discussion and Anal" w:id="11"/>
      <w:bookmarkEnd w:id="11"/>
      <w:r>
        <w:rPr>
          <w:b w:val="0"/>
          <w:i w:val="0"/>
        </w:rPr>
      </w:r>
      <w:r>
        <w:rPr>
          <w:i w:val="0"/>
          <w:color w:val="231F20"/>
        </w:rPr>
        <w:t>Item 7</w:t>
      </w:r>
      <w:r>
        <w:rPr>
          <w:b w:val="0"/>
          <w:i w:val="0"/>
          <w:color w:val="231F20"/>
        </w:rPr>
        <w:t>.</w:t>
        <w:tab/>
      </w:r>
      <w:r>
        <w:rPr>
          <w:i/>
          <w:color w:val="231F20"/>
        </w:rPr>
        <w:t>Management’s Discussion and Analysis of Financial Condition and</w:t>
      </w:r>
      <w:r>
        <w:rPr>
          <w:i/>
          <w:color w:val="231F20"/>
          <w:spacing w:val="-5"/>
        </w:rPr>
        <w:t> </w:t>
      </w:r>
      <w:r>
        <w:rPr>
          <w:i/>
          <w:color w:val="231F20"/>
        </w:rPr>
        <w:t>Results of</w:t>
      </w:r>
      <w:r>
        <w:rPr>
          <w:color w:val="231F20"/>
        </w:rPr>
        <w:t> Operations</w:t>
      </w:r>
    </w:p>
    <w:p>
      <w:pPr>
        <w:spacing w:line="247" w:lineRule="auto" w:before="215"/>
        <w:ind w:left="100" w:right="131" w:firstLine="0"/>
        <w:jc w:val="left"/>
        <w:rPr>
          <w:b/>
          <w:sz w:val="22"/>
        </w:rPr>
      </w:pPr>
      <w:r>
        <w:rPr>
          <w:b/>
          <w:color w:val="231F20"/>
          <w:sz w:val="22"/>
        </w:rPr>
        <w:t>Reconciliation of Reported Amounts to Non-GAAP Financial Measures (unaudited) (in millions, except per share and per ASM amounts)</w:t>
      </w:r>
    </w:p>
    <w:p>
      <w:pPr>
        <w:tabs>
          <w:tab w:pos="7399" w:val="left" w:leader="none"/>
          <w:tab w:pos="8444" w:val="left" w:leader="none"/>
        </w:tabs>
        <w:spacing w:line="302" w:lineRule="auto" w:before="173"/>
        <w:ind w:left="6240" w:right="302" w:hanging="230"/>
        <w:jc w:val="right"/>
        <w:rPr>
          <w:b/>
          <w:sz w:val="18"/>
        </w:rPr>
      </w:pPr>
      <w:r>
        <w:rPr/>
        <w:pict>
          <v:line style="position:absolute;mso-position-horizontal-relative:page;mso-position-vertical-relative:paragraph;z-index:-393232" from="361pt,20.552368pt" to="467pt,20.552368pt" stroked="true" strokeweight="1pt" strokecolor="#231f20">
            <v:stroke dashstyle="solid"/>
            <w10:wrap type="none"/>
          </v:line>
        </w:pict>
      </w:r>
      <w:r>
        <w:rPr/>
        <w:pict>
          <v:shape style="position:absolute;margin-left:69pt;margin-top:33.552368pt;width:456.5pt;height:525.15pt;mso-position-horizontal-relative:page;mso-position-vertical-relative:paragraph;z-index:22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1060"/>
                    <w:gridCol w:w="100"/>
                    <w:gridCol w:w="960"/>
                    <w:gridCol w:w="200"/>
                    <w:gridCol w:w="960"/>
                  </w:tblGrid>
                  <w:tr>
                    <w:trPr>
                      <w:trHeight w:val="254" w:hRule="exact"/>
                    </w:trPr>
                    <w:tc>
                      <w:tcPr>
                        <w:tcW w:w="5840" w:type="dxa"/>
                        <w:shd w:val="clear" w:color="auto" w:fill="D1D3D4"/>
                      </w:tcPr>
                      <w:p>
                        <w:pPr>
                          <w:pStyle w:val="TableParagraph"/>
                          <w:spacing w:before="16"/>
                          <w:ind w:left="60"/>
                          <w:rPr>
                            <w:b/>
                            <w:sz w:val="18"/>
                          </w:rPr>
                        </w:pPr>
                        <w:r>
                          <w:rPr>
                            <w:b/>
                            <w:color w:val="231F20"/>
                            <w:sz w:val="18"/>
                          </w:rPr>
                          <w:t>Total operating revenues, as reported</w:t>
                        </w:r>
                      </w:p>
                    </w:tc>
                    <w:tc>
                      <w:tcPr>
                        <w:tcW w:w="1060" w:type="dxa"/>
                        <w:tcBorders>
                          <w:top w:val="single" w:sz="8" w:space="0" w:color="231F20"/>
                        </w:tcBorders>
                        <w:shd w:val="clear" w:color="auto" w:fill="D1D3D4"/>
                      </w:tcPr>
                      <w:p>
                        <w:pPr>
                          <w:pStyle w:val="TableParagraph"/>
                          <w:tabs>
                            <w:tab w:pos="404" w:val="left" w:leader="none"/>
                          </w:tabs>
                          <w:spacing w:before="16"/>
                          <w:rPr>
                            <w:sz w:val="18"/>
                          </w:rPr>
                        </w:pPr>
                        <w:r>
                          <w:rPr>
                            <w:color w:val="231F20"/>
                            <w:sz w:val="18"/>
                          </w:rPr>
                          <w:t>$</w:t>
                          <w:tab/>
                          <w:t>19,820</w:t>
                        </w:r>
                      </w:p>
                    </w:tc>
                    <w:tc>
                      <w:tcPr>
                        <w:tcW w:w="100" w:type="dxa"/>
                        <w:shd w:val="clear" w:color="auto" w:fill="D1D3D4"/>
                      </w:tcPr>
                      <w:p>
                        <w:pPr/>
                      </w:p>
                    </w:tc>
                    <w:tc>
                      <w:tcPr>
                        <w:tcW w:w="960" w:type="dxa"/>
                        <w:tcBorders>
                          <w:top w:val="single" w:sz="8" w:space="0" w:color="231F20"/>
                        </w:tcBorders>
                        <w:shd w:val="clear" w:color="auto" w:fill="D1D3D4"/>
                      </w:tcPr>
                      <w:p>
                        <w:pPr>
                          <w:pStyle w:val="TableParagraph"/>
                          <w:tabs>
                            <w:tab w:pos="404" w:val="left" w:leader="none"/>
                          </w:tabs>
                          <w:spacing w:before="16"/>
                          <w:rPr>
                            <w:sz w:val="18"/>
                          </w:rPr>
                        </w:pPr>
                        <w:r>
                          <w:rPr>
                            <w:color w:val="231F20"/>
                            <w:sz w:val="18"/>
                          </w:rPr>
                          <w:t>$</w:t>
                          <w:tab/>
                          <w:t>18,605</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Deduct: Special revenue adjustment</w:t>
                        </w:r>
                      </w:p>
                    </w:tc>
                    <w:tc>
                      <w:tcPr>
                        <w:tcW w:w="1060" w:type="dxa"/>
                        <w:tcBorders>
                          <w:bottom w:val="single" w:sz="4" w:space="0" w:color="231F20"/>
                        </w:tcBorders>
                      </w:tcPr>
                      <w:p>
                        <w:pPr>
                          <w:pStyle w:val="TableParagraph"/>
                          <w:spacing w:before="16"/>
                          <w:ind w:right="98"/>
                          <w:jc w:val="right"/>
                          <w:rPr>
                            <w:sz w:val="18"/>
                          </w:rPr>
                        </w:pPr>
                        <w:r>
                          <w:rPr>
                            <w:color w:val="231F20"/>
                            <w:sz w:val="18"/>
                          </w:rPr>
                          <w:t>(172)</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200" w:type="dxa"/>
                      </w:tcPr>
                      <w:p>
                        <w:pPr/>
                      </w:p>
                    </w:tc>
                    <w:tc>
                      <w:tcPr>
                        <w:tcW w:w="960" w:type="dxa"/>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Operating revenues, Non-GAAP</w:t>
                        </w:r>
                      </w:p>
                    </w:tc>
                    <w:tc>
                      <w:tcPr>
                        <w:tcW w:w="10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19,648</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18,605</w:t>
                        </w:r>
                      </w:p>
                    </w:tc>
                    <w:tc>
                      <w:tcPr>
                        <w:tcW w:w="2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5.6 %</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Fuel and oil expense, unhedged</w:t>
                        </w:r>
                      </w:p>
                    </w:tc>
                    <w:tc>
                      <w:tcPr>
                        <w:tcW w:w="1060" w:type="dxa"/>
                        <w:shd w:val="clear" w:color="auto" w:fill="D1D3D4"/>
                      </w:tcPr>
                      <w:p>
                        <w:pPr>
                          <w:pStyle w:val="TableParagraph"/>
                          <w:tabs>
                            <w:tab w:pos="494" w:val="left" w:leader="none"/>
                          </w:tabs>
                          <w:spacing w:before="16"/>
                          <w:rPr>
                            <w:sz w:val="18"/>
                          </w:rPr>
                        </w:pPr>
                        <w:r>
                          <w:rPr>
                            <w:color w:val="231F20"/>
                            <w:sz w:val="18"/>
                          </w:rPr>
                          <w:t>$</w:t>
                          <w:tab/>
                          <w:t>3,362</w:t>
                        </w:r>
                      </w:p>
                    </w:tc>
                    <w:tc>
                      <w:tcPr>
                        <w:tcW w:w="100" w:type="dxa"/>
                        <w:shd w:val="clear" w:color="auto" w:fill="D1D3D4"/>
                      </w:tcPr>
                      <w:p>
                        <w:pPr/>
                      </w:p>
                    </w:tc>
                    <w:tc>
                      <w:tcPr>
                        <w:tcW w:w="960" w:type="dxa"/>
                        <w:shd w:val="clear" w:color="auto" w:fill="D1D3D4"/>
                      </w:tcPr>
                      <w:p>
                        <w:pPr>
                          <w:pStyle w:val="TableParagraph"/>
                          <w:tabs>
                            <w:tab w:pos="494" w:val="left" w:leader="none"/>
                          </w:tabs>
                          <w:spacing w:before="16"/>
                          <w:rPr>
                            <w:sz w:val="18"/>
                          </w:rPr>
                        </w:pPr>
                        <w:r>
                          <w:rPr>
                            <w:color w:val="231F20"/>
                            <w:sz w:val="18"/>
                          </w:rPr>
                          <w:t>$</w:t>
                          <w:tab/>
                          <w:t>5,321</w:t>
                        </w:r>
                      </w:p>
                    </w:tc>
                    <w:tc>
                      <w:tcPr>
                        <w:tcW w:w="200" w:type="dxa"/>
                        <w:shd w:val="clear" w:color="auto" w:fill="D1D3D4"/>
                      </w:tcPr>
                      <w:p>
                        <w:pPr/>
                      </w:p>
                    </w:tc>
                    <w:tc>
                      <w:tcPr>
                        <w:tcW w:w="960" w:type="dxa"/>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(Deduct): Fuel hedge losses (gains) included in Fuel and oil expense</w:t>
                        </w:r>
                      </w:p>
                    </w:tc>
                    <w:tc>
                      <w:tcPr>
                        <w:tcW w:w="1060" w:type="dxa"/>
                        <w:tcBorders>
                          <w:bottom w:val="single" w:sz="4" w:space="0" w:color="231F20"/>
                        </w:tcBorders>
                      </w:tcPr>
                      <w:p>
                        <w:pPr>
                          <w:pStyle w:val="TableParagraph"/>
                          <w:spacing w:before="16"/>
                          <w:ind w:right="157"/>
                          <w:jc w:val="right"/>
                          <w:rPr>
                            <w:sz w:val="18"/>
                          </w:rPr>
                        </w:pPr>
                        <w:r>
                          <w:rPr>
                            <w:color w:val="231F20"/>
                            <w:sz w:val="18"/>
                          </w:rPr>
                          <w:t>254</w:t>
                        </w:r>
                      </w:p>
                    </w:tc>
                    <w:tc>
                      <w:tcPr>
                        <w:tcW w:w="100" w:type="dxa"/>
                      </w:tcPr>
                      <w:p>
                        <w:pPr/>
                      </w:p>
                    </w:tc>
                    <w:tc>
                      <w:tcPr>
                        <w:tcW w:w="960" w:type="dxa"/>
                        <w:tcBorders>
                          <w:bottom w:val="single" w:sz="4" w:space="0" w:color="231F20"/>
                        </w:tcBorders>
                      </w:tcPr>
                      <w:p>
                        <w:pPr>
                          <w:pStyle w:val="TableParagraph"/>
                          <w:spacing w:before="16"/>
                          <w:jc w:val="right"/>
                          <w:rPr>
                            <w:sz w:val="18"/>
                          </w:rPr>
                        </w:pPr>
                        <w:r>
                          <w:rPr>
                            <w:color w:val="231F20"/>
                            <w:sz w:val="18"/>
                          </w:rPr>
                          <w:t>(28)</w:t>
                        </w:r>
                      </w:p>
                    </w:tc>
                    <w:tc>
                      <w:tcPr>
                        <w:tcW w:w="200" w:type="dxa"/>
                      </w:tcPr>
                      <w:p>
                        <w:pPr/>
                      </w:p>
                    </w:tc>
                    <w:tc>
                      <w:tcPr>
                        <w:tcW w:w="960" w:type="dxa"/>
                      </w:tcPr>
                      <w:p>
                        <w:pPr/>
                      </w:p>
                    </w:tc>
                  </w:tr>
                  <w:tr>
                    <w:trPr>
                      <w:trHeight w:val="249" w:hRule="exact"/>
                    </w:trPr>
                    <w:tc>
                      <w:tcPr>
                        <w:tcW w:w="5840" w:type="dxa"/>
                        <w:shd w:val="clear" w:color="auto" w:fill="D1D3D4"/>
                      </w:tcPr>
                      <w:p>
                        <w:pPr>
                          <w:pStyle w:val="TableParagraph"/>
                          <w:spacing w:before="16"/>
                          <w:ind w:left="60"/>
                          <w:rPr>
                            <w:b/>
                            <w:sz w:val="18"/>
                          </w:rPr>
                        </w:pPr>
                        <w:r>
                          <w:rPr>
                            <w:b/>
                            <w:color w:val="231F20"/>
                            <w:sz w:val="18"/>
                          </w:rPr>
                          <w:t>Fuel and oil expense, as reported</w:t>
                        </w:r>
                      </w:p>
                    </w:tc>
                    <w:tc>
                      <w:tcPr>
                        <w:tcW w:w="10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3,616</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5,293</w:t>
                        </w:r>
                      </w:p>
                    </w:tc>
                    <w:tc>
                      <w:tcPr>
                        <w:tcW w:w="200" w:type="dxa"/>
                        <w:shd w:val="clear" w:color="auto" w:fill="D1D3D4"/>
                      </w:tcPr>
                      <w:p>
                        <w:pPr/>
                      </w:p>
                    </w:tc>
                    <w:tc>
                      <w:tcPr>
                        <w:tcW w:w="960" w:type="dxa"/>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(Deduct): Net impact from fuel contracts</w:t>
                        </w:r>
                      </w:p>
                    </w:tc>
                    <w:tc>
                      <w:tcPr>
                        <w:tcW w:w="1060" w:type="dxa"/>
                        <w:tcBorders>
                          <w:bottom w:val="single" w:sz="4" w:space="0" w:color="231F20"/>
                        </w:tcBorders>
                      </w:tcPr>
                      <w:p>
                        <w:pPr>
                          <w:pStyle w:val="TableParagraph"/>
                          <w:spacing w:before="16"/>
                          <w:ind w:right="157"/>
                          <w:jc w:val="right"/>
                          <w:rPr>
                            <w:sz w:val="18"/>
                          </w:rPr>
                        </w:pPr>
                        <w:r>
                          <w:rPr>
                            <w:color w:val="231F20"/>
                            <w:sz w:val="18"/>
                          </w:rPr>
                          <w:t>323</w:t>
                        </w:r>
                      </w:p>
                    </w:tc>
                    <w:tc>
                      <w:tcPr>
                        <w:tcW w:w="100" w:type="dxa"/>
                      </w:tcPr>
                      <w:p>
                        <w:pPr/>
                      </w:p>
                    </w:tc>
                    <w:tc>
                      <w:tcPr>
                        <w:tcW w:w="960" w:type="dxa"/>
                        <w:tcBorders>
                          <w:bottom w:val="single" w:sz="4" w:space="0" w:color="231F20"/>
                        </w:tcBorders>
                      </w:tcPr>
                      <w:p>
                        <w:pPr>
                          <w:pStyle w:val="TableParagraph"/>
                          <w:spacing w:before="16"/>
                          <w:jc w:val="right"/>
                          <w:rPr>
                            <w:sz w:val="18"/>
                          </w:rPr>
                        </w:pPr>
                        <w:r>
                          <w:rPr>
                            <w:color w:val="231F20"/>
                            <w:sz w:val="18"/>
                          </w:rPr>
                          <w:t>(28)</w:t>
                        </w:r>
                      </w:p>
                    </w:tc>
                    <w:tc>
                      <w:tcPr>
                        <w:tcW w:w="200" w:type="dxa"/>
                      </w:tcPr>
                      <w:p>
                        <w:pPr/>
                      </w:p>
                    </w:tc>
                    <w:tc>
                      <w:tcPr>
                        <w:tcW w:w="960" w:type="dxa"/>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Fuel and oil expense, non-GAAP</w:t>
                        </w:r>
                      </w:p>
                    </w:tc>
                    <w:tc>
                      <w:tcPr>
                        <w:tcW w:w="10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3,939</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16"/>
                          <w:rPr>
                            <w:sz w:val="18"/>
                          </w:rPr>
                        </w:pPr>
                        <w:r>
                          <w:rPr>
                            <w:color w:val="231F20"/>
                            <w:sz w:val="18"/>
                          </w:rPr>
                          <w:t>$</w:t>
                          <w:tab/>
                          <w:t>5,265</w:t>
                        </w:r>
                      </w:p>
                    </w:tc>
                    <w:tc>
                      <w:tcPr>
                        <w:tcW w:w="2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(25.2)%</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Total operating expenses, as reported</w:t>
                        </w:r>
                      </w:p>
                    </w:tc>
                    <w:tc>
                      <w:tcPr>
                        <w:tcW w:w="1060" w:type="dxa"/>
                        <w:shd w:val="clear" w:color="auto" w:fill="D1D3D4"/>
                      </w:tcPr>
                      <w:p>
                        <w:pPr>
                          <w:pStyle w:val="TableParagraph"/>
                          <w:tabs>
                            <w:tab w:pos="404" w:val="left" w:leader="none"/>
                          </w:tabs>
                          <w:spacing w:before="16"/>
                          <w:rPr>
                            <w:sz w:val="18"/>
                          </w:rPr>
                        </w:pPr>
                        <w:r>
                          <w:rPr>
                            <w:color w:val="231F20"/>
                            <w:sz w:val="18"/>
                          </w:rPr>
                          <w:t>$</w:t>
                          <w:tab/>
                          <w:t>15,704</w:t>
                        </w:r>
                      </w:p>
                    </w:tc>
                    <w:tc>
                      <w:tcPr>
                        <w:tcW w:w="100" w:type="dxa"/>
                        <w:shd w:val="clear" w:color="auto" w:fill="D1D3D4"/>
                      </w:tcPr>
                      <w:p>
                        <w:pPr/>
                      </w:p>
                    </w:tc>
                    <w:tc>
                      <w:tcPr>
                        <w:tcW w:w="960" w:type="dxa"/>
                        <w:shd w:val="clear" w:color="auto" w:fill="D1D3D4"/>
                      </w:tcPr>
                      <w:p>
                        <w:pPr>
                          <w:pStyle w:val="TableParagraph"/>
                          <w:tabs>
                            <w:tab w:pos="404" w:val="left" w:leader="none"/>
                          </w:tabs>
                          <w:spacing w:before="16"/>
                          <w:rPr>
                            <w:sz w:val="18"/>
                          </w:rPr>
                        </w:pPr>
                        <w:r>
                          <w:rPr>
                            <w:color w:val="231F20"/>
                            <w:sz w:val="18"/>
                          </w:rPr>
                          <w:t>$</w:t>
                          <w:tab/>
                          <w:t>16,380</w:t>
                        </w:r>
                      </w:p>
                    </w:tc>
                    <w:tc>
                      <w:tcPr>
                        <w:tcW w:w="200" w:type="dxa"/>
                        <w:shd w:val="clear" w:color="auto" w:fill="D1D3D4"/>
                      </w:tcPr>
                      <w:p>
                        <w:pPr/>
                      </w:p>
                    </w:tc>
                    <w:tc>
                      <w:tcPr>
                        <w:tcW w:w="960" w:type="dxa"/>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Union contract bonuses</w:t>
                        </w:r>
                      </w:p>
                    </w:tc>
                    <w:tc>
                      <w:tcPr>
                        <w:tcW w:w="1060" w:type="dxa"/>
                      </w:tcPr>
                      <w:p>
                        <w:pPr>
                          <w:pStyle w:val="TableParagraph"/>
                          <w:spacing w:before="16"/>
                          <w:ind w:right="98"/>
                          <w:jc w:val="right"/>
                          <w:rPr>
                            <w:sz w:val="18"/>
                          </w:rPr>
                        </w:pPr>
                        <w:r>
                          <w:rPr>
                            <w:color w:val="231F20"/>
                            <w:sz w:val="18"/>
                          </w:rPr>
                          <w:t>(334)</w:t>
                        </w:r>
                      </w:p>
                    </w:tc>
                    <w:tc>
                      <w:tcPr>
                        <w:tcW w:w="100" w:type="dxa"/>
                      </w:tcPr>
                      <w:p>
                        <w:pPr/>
                      </w:p>
                    </w:tc>
                    <w:tc>
                      <w:tcPr>
                        <w:tcW w:w="960" w:type="dxa"/>
                      </w:tcPr>
                      <w:p>
                        <w:pPr>
                          <w:pStyle w:val="TableParagraph"/>
                          <w:spacing w:before="16"/>
                          <w:jc w:val="right"/>
                          <w:rPr>
                            <w:sz w:val="18"/>
                          </w:rPr>
                        </w:pPr>
                        <w:r>
                          <w:rPr>
                            <w:color w:val="231F20"/>
                            <w:sz w:val="18"/>
                          </w:rPr>
                          <w:t>(9)</w:t>
                        </w:r>
                      </w:p>
                    </w:tc>
                    <w:tc>
                      <w:tcPr>
                        <w:tcW w:w="200" w:type="dxa"/>
                      </w:tcPr>
                      <w:p>
                        <w:pPr/>
                      </w:p>
                    </w:tc>
                    <w:tc>
                      <w:tcPr>
                        <w:tcW w:w="960" w:type="dxa"/>
                      </w:tcPr>
                      <w:p>
                        <w:pPr/>
                      </w:p>
                    </w:tc>
                  </w:tr>
                  <w:tr>
                    <w:trPr>
                      <w:trHeight w:val="428" w:hRule="exact"/>
                    </w:trPr>
                    <w:tc>
                      <w:tcPr>
                        <w:tcW w:w="5840" w:type="dxa"/>
                        <w:shd w:val="clear" w:color="auto" w:fill="D1D3D4"/>
                      </w:tcPr>
                      <w:p>
                        <w:pPr>
                          <w:pStyle w:val="TableParagraph"/>
                          <w:spacing w:line="184" w:lineRule="exact" w:before="37"/>
                          <w:ind w:left="240" w:right="666" w:hanging="180"/>
                          <w:rPr>
                            <w:sz w:val="18"/>
                          </w:rPr>
                        </w:pPr>
                        <w:r>
                          <w:rPr>
                            <w:color w:val="231F20"/>
                            <w:sz w:val="18"/>
                          </w:rPr>
                          <w:t>Add (Deduct): Reclassification between Fuel and oil and Other (gains) losses, net, associated with current period settled contracts</w:t>
                        </w:r>
                      </w:p>
                    </w:tc>
                    <w:tc>
                      <w:tcPr>
                        <w:tcW w:w="1060" w:type="dxa"/>
                        <w:shd w:val="clear" w:color="auto" w:fill="D1D3D4"/>
                      </w:tcPr>
                      <w:p>
                        <w:pPr>
                          <w:pStyle w:val="TableParagraph"/>
                          <w:spacing w:before="4"/>
                          <w:rPr>
                            <w:b/>
                            <w:sz w:val="17"/>
                          </w:rPr>
                        </w:pPr>
                      </w:p>
                      <w:p>
                        <w:pPr>
                          <w:pStyle w:val="TableParagraph"/>
                          <w:spacing w:before="0"/>
                          <w:ind w:right="157"/>
                          <w:jc w:val="right"/>
                          <w:rPr>
                            <w:sz w:val="18"/>
                          </w:rPr>
                        </w:pPr>
                        <w:r>
                          <w:rPr>
                            <w:color w:val="231F20"/>
                            <w:sz w:val="18"/>
                          </w:rPr>
                          <w:t>72</w:t>
                        </w:r>
                      </w:p>
                    </w:tc>
                    <w:tc>
                      <w:tcPr>
                        <w:tcW w:w="100" w:type="dxa"/>
                        <w:shd w:val="clear" w:color="auto" w:fill="D1D3D4"/>
                      </w:tcPr>
                      <w:p>
                        <w:pPr/>
                      </w:p>
                    </w:tc>
                    <w:tc>
                      <w:tcPr>
                        <w:tcW w:w="960" w:type="dxa"/>
                        <w:shd w:val="clear" w:color="auto" w:fill="D1D3D4"/>
                      </w:tcPr>
                      <w:p>
                        <w:pPr>
                          <w:pStyle w:val="TableParagraph"/>
                          <w:spacing w:before="4"/>
                          <w:rPr>
                            <w:b/>
                            <w:sz w:val="17"/>
                          </w:rPr>
                        </w:pPr>
                      </w:p>
                      <w:p>
                        <w:pPr>
                          <w:pStyle w:val="TableParagraph"/>
                          <w:spacing w:before="0"/>
                          <w:jc w:val="right"/>
                          <w:rPr>
                            <w:sz w:val="18"/>
                          </w:rPr>
                        </w:pPr>
                        <w:r>
                          <w:rPr>
                            <w:color w:val="231F20"/>
                            <w:sz w:val="18"/>
                          </w:rPr>
                          <w:t>(4)</w:t>
                        </w:r>
                      </w:p>
                    </w:tc>
                    <w:tc>
                      <w:tcPr>
                        <w:tcW w:w="200" w:type="dxa"/>
                        <w:shd w:val="clear" w:color="auto" w:fill="D1D3D4"/>
                      </w:tcPr>
                      <w:p>
                        <w:pPr/>
                      </w:p>
                    </w:tc>
                    <w:tc>
                      <w:tcPr>
                        <w:tcW w:w="960" w:type="dxa"/>
                        <w:shd w:val="clear" w:color="auto" w:fill="D1D3D4"/>
                      </w:tcPr>
                      <w:p>
                        <w:pPr/>
                      </w:p>
                    </w:tc>
                  </w:tr>
                  <w:tr>
                    <w:trPr>
                      <w:trHeight w:val="223" w:hRule="exact"/>
                    </w:trPr>
                    <w:tc>
                      <w:tcPr>
                        <w:tcW w:w="5840" w:type="dxa"/>
                      </w:tcPr>
                      <w:p>
                        <w:pPr>
                          <w:pStyle w:val="TableParagraph"/>
                          <w:spacing w:before="16"/>
                          <w:ind w:left="60"/>
                          <w:rPr>
                            <w:sz w:val="18"/>
                          </w:rPr>
                        </w:pPr>
                        <w:r>
                          <w:rPr>
                            <w:color w:val="231F20"/>
                            <w:sz w:val="18"/>
                          </w:rPr>
                          <w:t>Add (Deduct): Contracts settling in the current period, but for which gains</w:t>
                        </w: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05" w:hRule="exact"/>
                    </w:trPr>
                    <w:tc>
                      <w:tcPr>
                        <w:tcW w:w="5840" w:type="dxa"/>
                      </w:tcPr>
                      <w:p>
                        <w:pPr>
                          <w:pStyle w:val="TableParagraph"/>
                          <w:spacing w:line="201" w:lineRule="exact" w:before="0"/>
                          <w:ind w:left="240"/>
                          <w:rPr>
                            <w:sz w:val="18"/>
                          </w:rPr>
                        </w:pPr>
                        <w:r>
                          <w:rPr>
                            <w:color w:val="231F20"/>
                            <w:sz w:val="18"/>
                          </w:rPr>
                          <w:t>and/or (losses) have been recognized in a prior period*</w:t>
                        </w:r>
                      </w:p>
                    </w:tc>
                    <w:tc>
                      <w:tcPr>
                        <w:tcW w:w="1060" w:type="dxa"/>
                      </w:tcPr>
                      <w:p>
                        <w:pPr>
                          <w:pStyle w:val="TableParagraph"/>
                          <w:spacing w:line="201" w:lineRule="exact" w:before="0"/>
                          <w:ind w:right="157"/>
                          <w:jc w:val="right"/>
                          <w:rPr>
                            <w:sz w:val="18"/>
                          </w:rPr>
                        </w:pPr>
                        <w:r>
                          <w:rPr>
                            <w:color w:val="231F20"/>
                            <w:sz w:val="18"/>
                          </w:rPr>
                          <w:t>251</w:t>
                        </w:r>
                      </w:p>
                    </w:tc>
                    <w:tc>
                      <w:tcPr>
                        <w:tcW w:w="100" w:type="dxa"/>
                      </w:tcPr>
                      <w:p>
                        <w:pPr/>
                      </w:p>
                    </w:tc>
                    <w:tc>
                      <w:tcPr>
                        <w:tcW w:w="960" w:type="dxa"/>
                      </w:tcPr>
                      <w:p>
                        <w:pPr>
                          <w:pStyle w:val="TableParagraph"/>
                          <w:spacing w:line="201" w:lineRule="exact" w:before="0"/>
                          <w:jc w:val="right"/>
                          <w:rPr>
                            <w:sz w:val="18"/>
                          </w:rPr>
                        </w:pPr>
                        <w:r>
                          <w:rPr>
                            <w:color w:val="231F20"/>
                            <w:sz w:val="18"/>
                          </w:rPr>
                          <w:t>(24)</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Deduct: Acquisition and integration costs</w:t>
                        </w:r>
                      </w:p>
                    </w:tc>
                    <w:tc>
                      <w:tcPr>
                        <w:tcW w:w="1060" w:type="dxa"/>
                        <w:shd w:val="clear" w:color="auto" w:fill="D1D3D4"/>
                      </w:tcPr>
                      <w:p>
                        <w:pPr>
                          <w:pStyle w:val="TableParagraph"/>
                          <w:spacing w:before="16"/>
                          <w:ind w:right="98"/>
                          <w:jc w:val="right"/>
                          <w:rPr>
                            <w:sz w:val="18"/>
                          </w:rPr>
                        </w:pPr>
                        <w:r>
                          <w:rPr>
                            <w:color w:val="231F20"/>
                            <w:sz w:val="18"/>
                          </w:rPr>
                          <w:t>(39)</w:t>
                        </w:r>
                      </w:p>
                    </w:tc>
                    <w:tc>
                      <w:tcPr>
                        <w:tcW w:w="100" w:type="dxa"/>
                        <w:shd w:val="clear" w:color="auto" w:fill="D1D3D4"/>
                      </w:tcPr>
                      <w:p>
                        <w:pPr/>
                      </w:p>
                    </w:tc>
                    <w:tc>
                      <w:tcPr>
                        <w:tcW w:w="960" w:type="dxa"/>
                        <w:shd w:val="clear" w:color="auto" w:fill="D1D3D4"/>
                      </w:tcPr>
                      <w:p>
                        <w:pPr>
                          <w:pStyle w:val="TableParagraph"/>
                          <w:spacing w:before="16"/>
                          <w:jc w:val="right"/>
                          <w:rPr>
                            <w:sz w:val="18"/>
                          </w:rPr>
                        </w:pPr>
                        <w:r>
                          <w:rPr>
                            <w:color w:val="231F20"/>
                            <w:sz w:val="18"/>
                          </w:rPr>
                          <w:t>(126)</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Add: Litigation settlement</w:t>
                        </w:r>
                      </w:p>
                    </w:tc>
                    <w:tc>
                      <w:tcPr>
                        <w:tcW w:w="1060" w:type="dxa"/>
                        <w:tcBorders>
                          <w:bottom w:val="single" w:sz="4" w:space="0" w:color="231F20"/>
                        </w:tcBorders>
                      </w:tcPr>
                      <w:p>
                        <w:pPr>
                          <w:pStyle w:val="TableParagraph"/>
                          <w:spacing w:before="16"/>
                          <w:ind w:right="157"/>
                          <w:jc w:val="right"/>
                          <w:rPr>
                            <w:sz w:val="18"/>
                          </w:rPr>
                        </w:pPr>
                        <w:r>
                          <w:rPr>
                            <w:color w:val="231F20"/>
                            <w:sz w:val="18"/>
                          </w:rPr>
                          <w:t>37</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1160" w:type="dxa"/>
                        <w:gridSpan w:val="2"/>
                      </w:tcPr>
                      <w:p>
                        <w:pPr/>
                      </w:p>
                    </w:tc>
                  </w:tr>
                  <w:tr>
                    <w:trPr>
                      <w:trHeight w:val="280" w:hRule="exact"/>
                    </w:trPr>
                    <w:tc>
                      <w:tcPr>
                        <w:tcW w:w="5840" w:type="dxa"/>
                        <w:shd w:val="clear" w:color="auto" w:fill="D1D3D4"/>
                      </w:tcPr>
                      <w:p>
                        <w:pPr>
                          <w:pStyle w:val="TableParagraph"/>
                          <w:spacing w:before="16"/>
                          <w:ind w:left="60"/>
                          <w:rPr>
                            <w:b/>
                            <w:sz w:val="18"/>
                          </w:rPr>
                        </w:pPr>
                        <w:r>
                          <w:rPr>
                            <w:b/>
                            <w:color w:val="231F20"/>
                            <w:sz w:val="18"/>
                          </w:rPr>
                          <w:t>Total operating expenses, non-GAAP</w:t>
                        </w:r>
                      </w:p>
                    </w:tc>
                    <w:tc>
                      <w:tcPr>
                        <w:tcW w:w="10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15,691</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16"/>
                          <w:rPr>
                            <w:sz w:val="18"/>
                          </w:rPr>
                        </w:pPr>
                        <w:r>
                          <w:rPr>
                            <w:color w:val="231F20"/>
                            <w:sz w:val="18"/>
                          </w:rPr>
                          <w:t>$</w:t>
                          <w:tab/>
                          <w:t>16,217</w:t>
                        </w:r>
                      </w:p>
                    </w:tc>
                    <w:tc>
                      <w:tcPr>
                        <w:tcW w:w="1160" w:type="dxa"/>
                        <w:gridSpan w:val="2"/>
                        <w:shd w:val="clear" w:color="auto" w:fill="D1D3D4"/>
                      </w:tcPr>
                      <w:p>
                        <w:pPr>
                          <w:pStyle w:val="TableParagraph"/>
                          <w:spacing w:before="16"/>
                          <w:ind w:left="664"/>
                          <w:rPr>
                            <w:sz w:val="18"/>
                          </w:rPr>
                        </w:pPr>
                        <w:r>
                          <w:rPr>
                            <w:color w:val="231F20"/>
                            <w:sz w:val="18"/>
                          </w:rPr>
                          <w:t>(3.2)%</w:t>
                        </w:r>
                      </w:p>
                    </w:tc>
                  </w:tr>
                  <w:tr>
                    <w:trPr>
                      <w:trHeight w:val="273" w:hRule="exact"/>
                    </w:trPr>
                    <w:tc>
                      <w:tcPr>
                        <w:tcW w:w="5840" w:type="dxa"/>
                      </w:tcPr>
                      <w:p>
                        <w:pPr/>
                      </w:p>
                    </w:tc>
                    <w:tc>
                      <w:tcPr>
                        <w:tcW w:w="1060" w:type="dxa"/>
                      </w:tcPr>
                      <w:p>
                        <w:pPr/>
                      </w:p>
                    </w:tc>
                    <w:tc>
                      <w:tcPr>
                        <w:tcW w:w="100" w:type="dxa"/>
                      </w:tcPr>
                      <w:p>
                        <w:pPr/>
                      </w:p>
                    </w:tc>
                    <w:tc>
                      <w:tcPr>
                        <w:tcW w:w="960" w:type="dxa"/>
                      </w:tcPr>
                      <w:p>
                        <w:pPr/>
                      </w:p>
                    </w:tc>
                    <w:tc>
                      <w:tcPr>
                        <w:tcW w:w="1160" w:type="dxa"/>
                        <w:gridSpan w:val="2"/>
                      </w:tcPr>
                      <w:p>
                        <w:pPr/>
                      </w:p>
                    </w:tc>
                  </w:tr>
                  <w:tr>
                    <w:trPr>
                      <w:trHeight w:val="244" w:hRule="exact"/>
                    </w:trPr>
                    <w:tc>
                      <w:tcPr>
                        <w:tcW w:w="5840" w:type="dxa"/>
                        <w:shd w:val="clear" w:color="auto" w:fill="D1D3D4"/>
                      </w:tcPr>
                      <w:p>
                        <w:pPr>
                          <w:pStyle w:val="TableParagraph"/>
                          <w:spacing w:before="16"/>
                          <w:ind w:left="60"/>
                          <w:rPr>
                            <w:b/>
                            <w:sz w:val="18"/>
                          </w:rPr>
                        </w:pPr>
                        <w:r>
                          <w:rPr>
                            <w:b/>
                            <w:color w:val="231F20"/>
                            <w:sz w:val="18"/>
                          </w:rPr>
                          <w:t>Operating income, as reported</w:t>
                        </w:r>
                      </w:p>
                    </w:tc>
                    <w:tc>
                      <w:tcPr>
                        <w:tcW w:w="1060" w:type="dxa"/>
                        <w:shd w:val="clear" w:color="auto" w:fill="D1D3D4"/>
                      </w:tcPr>
                      <w:p>
                        <w:pPr>
                          <w:pStyle w:val="TableParagraph"/>
                          <w:tabs>
                            <w:tab w:pos="494" w:val="left" w:leader="none"/>
                          </w:tabs>
                          <w:spacing w:before="16"/>
                          <w:rPr>
                            <w:sz w:val="18"/>
                          </w:rPr>
                        </w:pPr>
                        <w:r>
                          <w:rPr>
                            <w:color w:val="231F20"/>
                            <w:sz w:val="18"/>
                          </w:rPr>
                          <w:t>$</w:t>
                          <w:tab/>
                          <w:t>4,116</w:t>
                        </w:r>
                      </w:p>
                    </w:tc>
                    <w:tc>
                      <w:tcPr>
                        <w:tcW w:w="100" w:type="dxa"/>
                        <w:shd w:val="clear" w:color="auto" w:fill="D1D3D4"/>
                      </w:tcPr>
                      <w:p>
                        <w:pPr/>
                      </w:p>
                    </w:tc>
                    <w:tc>
                      <w:tcPr>
                        <w:tcW w:w="960" w:type="dxa"/>
                        <w:shd w:val="clear" w:color="auto" w:fill="D1D3D4"/>
                      </w:tcPr>
                      <w:p>
                        <w:pPr>
                          <w:pStyle w:val="TableParagraph"/>
                          <w:tabs>
                            <w:tab w:pos="494" w:val="left" w:leader="none"/>
                          </w:tabs>
                          <w:spacing w:before="16"/>
                          <w:rPr>
                            <w:sz w:val="18"/>
                          </w:rPr>
                        </w:pPr>
                        <w:r>
                          <w:rPr>
                            <w:color w:val="231F20"/>
                            <w:sz w:val="18"/>
                          </w:rPr>
                          <w:t>$</w:t>
                          <w:tab/>
                          <w:t>2,225</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Special revenue adjustment</w:t>
                        </w:r>
                      </w:p>
                    </w:tc>
                    <w:tc>
                      <w:tcPr>
                        <w:tcW w:w="1060" w:type="dxa"/>
                      </w:tcPr>
                      <w:p>
                        <w:pPr>
                          <w:pStyle w:val="TableParagraph"/>
                          <w:spacing w:before="16"/>
                          <w:ind w:right="98"/>
                          <w:jc w:val="right"/>
                          <w:rPr>
                            <w:sz w:val="18"/>
                          </w:rPr>
                        </w:pPr>
                        <w:r>
                          <w:rPr>
                            <w:color w:val="231F20"/>
                            <w:sz w:val="18"/>
                          </w:rPr>
                          <w:t>(172)</w:t>
                        </w:r>
                      </w:p>
                    </w:tc>
                    <w:tc>
                      <w:tcPr>
                        <w:tcW w:w="100" w:type="dxa"/>
                      </w:tcPr>
                      <w:p>
                        <w:pPr/>
                      </w:p>
                    </w:tc>
                    <w:tc>
                      <w:tcPr>
                        <w:tcW w:w="960" w:type="dxa"/>
                      </w:tcPr>
                      <w:p>
                        <w:pPr>
                          <w:pStyle w:val="TableParagraph"/>
                          <w:tabs>
                            <w:tab w:pos="719" w:val="left" w:leader="none"/>
                          </w:tabs>
                          <w:spacing w:before="16"/>
                          <w:ind w:left="-1"/>
                          <w:rPr>
                            <w:sz w:val="18"/>
                          </w:rPr>
                        </w:pPr>
                        <w:r>
                          <w:rPr>
                            <w:color w:val="231F20"/>
                            <w:sz w:val="18"/>
                          </w:rPr>
                          <w:t>$</w:t>
                          <w:tab/>
                          <w:t>—</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Union contract bonuses</w:t>
                        </w:r>
                      </w:p>
                    </w:tc>
                    <w:tc>
                      <w:tcPr>
                        <w:tcW w:w="1060" w:type="dxa"/>
                        <w:shd w:val="clear" w:color="auto" w:fill="D1D3D4"/>
                      </w:tcPr>
                      <w:p>
                        <w:pPr>
                          <w:pStyle w:val="TableParagraph"/>
                          <w:spacing w:before="16"/>
                          <w:ind w:right="157"/>
                          <w:jc w:val="right"/>
                          <w:rPr>
                            <w:sz w:val="18"/>
                          </w:rPr>
                        </w:pPr>
                        <w:r>
                          <w:rPr>
                            <w:color w:val="231F20"/>
                            <w:sz w:val="18"/>
                          </w:rPr>
                          <w:t>334</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9</w:t>
                        </w:r>
                      </w:p>
                    </w:tc>
                    <w:tc>
                      <w:tcPr>
                        <w:tcW w:w="1160" w:type="dxa"/>
                        <w:gridSpan w:val="2"/>
                        <w:shd w:val="clear" w:color="auto" w:fill="D1D3D4"/>
                      </w:tcPr>
                      <w:p>
                        <w:pPr/>
                      </w:p>
                    </w:tc>
                  </w:tr>
                  <w:tr>
                    <w:trPr>
                      <w:trHeight w:val="634" w:hRule="exact"/>
                    </w:trPr>
                    <w:tc>
                      <w:tcPr>
                        <w:tcW w:w="5840" w:type="dxa"/>
                      </w:tcPr>
                      <w:p>
                        <w:pPr>
                          <w:pStyle w:val="TableParagraph"/>
                          <w:spacing w:line="184" w:lineRule="exact" w:before="37"/>
                          <w:ind w:left="240" w:right="666" w:hanging="180"/>
                          <w:rPr>
                            <w:sz w:val="18"/>
                          </w:rPr>
                        </w:pPr>
                        <w:r>
                          <w:rPr>
                            <w:color w:val="231F20"/>
                            <w:sz w:val="18"/>
                          </w:rPr>
                          <w:t>Add (Deduct): Reclassification between Fuel and oil and Other (gains) losses, net, associated with current period settled contracts</w:t>
                        </w:r>
                      </w:p>
                      <w:p>
                        <w:pPr>
                          <w:pStyle w:val="TableParagraph"/>
                          <w:spacing w:before="39"/>
                          <w:ind w:left="60"/>
                          <w:rPr>
                            <w:sz w:val="18"/>
                          </w:rPr>
                        </w:pPr>
                        <w:r>
                          <w:rPr>
                            <w:color w:val="231F20"/>
                            <w:sz w:val="18"/>
                          </w:rPr>
                          <w:t>Add (Deduct): Contracts settling in the current period, but for which gains</w:t>
                        </w:r>
                      </w:p>
                    </w:tc>
                    <w:tc>
                      <w:tcPr>
                        <w:tcW w:w="1060" w:type="dxa"/>
                      </w:tcPr>
                      <w:p>
                        <w:pPr>
                          <w:pStyle w:val="TableParagraph"/>
                          <w:spacing w:before="4"/>
                          <w:rPr>
                            <w:b/>
                            <w:sz w:val="17"/>
                          </w:rPr>
                        </w:pPr>
                      </w:p>
                      <w:p>
                        <w:pPr>
                          <w:pStyle w:val="TableParagraph"/>
                          <w:spacing w:before="0"/>
                          <w:ind w:right="98"/>
                          <w:jc w:val="right"/>
                          <w:rPr>
                            <w:sz w:val="18"/>
                          </w:rPr>
                        </w:pPr>
                        <w:r>
                          <w:rPr>
                            <w:color w:val="231F20"/>
                            <w:sz w:val="18"/>
                          </w:rPr>
                          <w:t>(72)</w:t>
                        </w:r>
                      </w:p>
                    </w:tc>
                    <w:tc>
                      <w:tcPr>
                        <w:tcW w:w="100" w:type="dxa"/>
                      </w:tcPr>
                      <w:p>
                        <w:pPr/>
                      </w:p>
                    </w:tc>
                    <w:tc>
                      <w:tcPr>
                        <w:tcW w:w="960" w:type="dxa"/>
                      </w:tcPr>
                      <w:p>
                        <w:pPr>
                          <w:pStyle w:val="TableParagraph"/>
                          <w:spacing w:before="4"/>
                          <w:rPr>
                            <w:b/>
                            <w:sz w:val="17"/>
                          </w:rPr>
                        </w:pPr>
                      </w:p>
                      <w:p>
                        <w:pPr>
                          <w:pStyle w:val="TableParagraph"/>
                          <w:spacing w:before="0"/>
                          <w:ind w:right="58"/>
                          <w:jc w:val="right"/>
                          <w:rPr>
                            <w:sz w:val="18"/>
                          </w:rPr>
                        </w:pPr>
                        <w:r>
                          <w:rPr>
                            <w:color w:val="231F20"/>
                            <w:sz w:val="18"/>
                          </w:rPr>
                          <w:t>4</w:t>
                        </w:r>
                      </w:p>
                    </w:tc>
                    <w:tc>
                      <w:tcPr>
                        <w:tcW w:w="1160" w:type="dxa"/>
                        <w:gridSpan w:val="2"/>
                      </w:tcPr>
                      <w:p>
                        <w:pPr/>
                      </w:p>
                    </w:tc>
                  </w:tr>
                  <w:tr>
                    <w:trPr>
                      <w:trHeight w:val="223" w:hRule="exact"/>
                    </w:trPr>
                    <w:tc>
                      <w:tcPr>
                        <w:tcW w:w="5840" w:type="dxa"/>
                        <w:shd w:val="clear" w:color="auto" w:fill="D1D3D4"/>
                      </w:tcPr>
                      <w:p>
                        <w:pPr>
                          <w:pStyle w:val="TableParagraph"/>
                          <w:spacing w:line="201" w:lineRule="exact" w:before="0"/>
                          <w:ind w:left="240"/>
                          <w:rPr>
                            <w:sz w:val="18"/>
                          </w:rPr>
                        </w:pPr>
                        <w:r>
                          <w:rPr>
                            <w:color w:val="231F20"/>
                            <w:sz w:val="18"/>
                          </w:rPr>
                          <w:t>and/or (losses) have been recognized in a prior period*</w:t>
                        </w:r>
                      </w:p>
                    </w:tc>
                    <w:tc>
                      <w:tcPr>
                        <w:tcW w:w="1060" w:type="dxa"/>
                        <w:shd w:val="clear" w:color="auto" w:fill="D1D3D4"/>
                      </w:tcPr>
                      <w:p>
                        <w:pPr>
                          <w:pStyle w:val="TableParagraph"/>
                          <w:spacing w:line="201" w:lineRule="exact" w:before="0"/>
                          <w:ind w:right="98"/>
                          <w:jc w:val="right"/>
                          <w:rPr>
                            <w:sz w:val="18"/>
                          </w:rPr>
                        </w:pPr>
                        <w:r>
                          <w:rPr>
                            <w:color w:val="231F20"/>
                            <w:sz w:val="18"/>
                          </w:rPr>
                          <w:t>(251)</w:t>
                        </w:r>
                      </w:p>
                    </w:tc>
                    <w:tc>
                      <w:tcPr>
                        <w:tcW w:w="100" w:type="dxa"/>
                        <w:shd w:val="clear" w:color="auto" w:fill="D1D3D4"/>
                      </w:tcPr>
                      <w:p>
                        <w:pPr/>
                      </w:p>
                    </w:tc>
                    <w:tc>
                      <w:tcPr>
                        <w:tcW w:w="960" w:type="dxa"/>
                        <w:shd w:val="clear" w:color="auto" w:fill="D1D3D4"/>
                      </w:tcPr>
                      <w:p>
                        <w:pPr>
                          <w:pStyle w:val="TableParagraph"/>
                          <w:spacing w:line="201" w:lineRule="exact" w:before="0"/>
                          <w:ind w:right="58"/>
                          <w:jc w:val="right"/>
                          <w:rPr>
                            <w:sz w:val="18"/>
                          </w:rPr>
                        </w:pPr>
                        <w:r>
                          <w:rPr>
                            <w:color w:val="231F20"/>
                            <w:sz w:val="18"/>
                          </w:rPr>
                          <w:t>24</w:t>
                        </w:r>
                      </w:p>
                    </w:tc>
                    <w:tc>
                      <w:tcPr>
                        <w:tcW w:w="1160" w:type="dxa"/>
                        <w:gridSpan w:val="2"/>
                        <w:shd w:val="clear" w:color="auto" w:fill="D1D3D4"/>
                      </w:tcPr>
                      <w:p>
                        <w:pPr/>
                      </w:p>
                    </w:tc>
                  </w:tr>
                  <w:tr>
                    <w:trPr>
                      <w:trHeight w:val="243" w:hRule="exact"/>
                    </w:trPr>
                    <w:tc>
                      <w:tcPr>
                        <w:tcW w:w="5840" w:type="dxa"/>
                      </w:tcPr>
                      <w:p>
                        <w:pPr>
                          <w:pStyle w:val="TableParagraph"/>
                          <w:spacing w:before="15"/>
                          <w:ind w:left="60"/>
                          <w:rPr>
                            <w:sz w:val="18"/>
                          </w:rPr>
                        </w:pPr>
                        <w:r>
                          <w:rPr>
                            <w:color w:val="231F20"/>
                            <w:sz w:val="18"/>
                          </w:rPr>
                          <w:t>Add: Acquisition and integration costs</w:t>
                        </w:r>
                      </w:p>
                    </w:tc>
                    <w:tc>
                      <w:tcPr>
                        <w:tcW w:w="1060" w:type="dxa"/>
                      </w:tcPr>
                      <w:p>
                        <w:pPr>
                          <w:pStyle w:val="TableParagraph"/>
                          <w:spacing w:before="15"/>
                          <w:ind w:right="157"/>
                          <w:jc w:val="right"/>
                          <w:rPr>
                            <w:sz w:val="18"/>
                          </w:rPr>
                        </w:pPr>
                        <w:r>
                          <w:rPr>
                            <w:color w:val="231F20"/>
                            <w:sz w:val="18"/>
                          </w:rPr>
                          <w:t>39</w:t>
                        </w:r>
                      </w:p>
                    </w:tc>
                    <w:tc>
                      <w:tcPr>
                        <w:tcW w:w="100" w:type="dxa"/>
                      </w:tcPr>
                      <w:p>
                        <w:pPr/>
                      </w:p>
                    </w:tc>
                    <w:tc>
                      <w:tcPr>
                        <w:tcW w:w="960" w:type="dxa"/>
                      </w:tcPr>
                      <w:p>
                        <w:pPr>
                          <w:pStyle w:val="TableParagraph"/>
                          <w:spacing w:before="15"/>
                          <w:ind w:right="58"/>
                          <w:jc w:val="right"/>
                          <w:rPr>
                            <w:sz w:val="18"/>
                          </w:rPr>
                        </w:pPr>
                        <w:r>
                          <w:rPr>
                            <w:color w:val="231F20"/>
                            <w:sz w:val="18"/>
                          </w:rPr>
                          <w:t>126</w:t>
                        </w:r>
                      </w:p>
                    </w:tc>
                    <w:tc>
                      <w:tcPr>
                        <w:tcW w:w="1160" w:type="dxa"/>
                        <w:gridSpan w:val="2"/>
                      </w:tcPr>
                      <w:p>
                        <w:pPr/>
                      </w:p>
                    </w:tc>
                  </w:tr>
                  <w:tr>
                    <w:trPr>
                      <w:trHeight w:val="259" w:hRule="exact"/>
                    </w:trPr>
                    <w:tc>
                      <w:tcPr>
                        <w:tcW w:w="5840" w:type="dxa"/>
                        <w:shd w:val="clear" w:color="auto" w:fill="D1D3D4"/>
                      </w:tcPr>
                      <w:p>
                        <w:pPr>
                          <w:pStyle w:val="TableParagraph"/>
                          <w:spacing w:before="16"/>
                          <w:ind w:left="60"/>
                          <w:rPr>
                            <w:sz w:val="18"/>
                          </w:rPr>
                        </w:pPr>
                        <w:r>
                          <w:rPr>
                            <w:color w:val="231F20"/>
                            <w:sz w:val="18"/>
                          </w:rPr>
                          <w:t>Deduct: Litigation settlement</w:t>
                        </w:r>
                      </w:p>
                    </w:tc>
                    <w:tc>
                      <w:tcPr>
                        <w:tcW w:w="1060" w:type="dxa"/>
                        <w:tcBorders>
                          <w:bottom w:val="single" w:sz="4" w:space="0" w:color="231F20"/>
                        </w:tcBorders>
                        <w:shd w:val="clear" w:color="auto" w:fill="D1D3D4"/>
                      </w:tcPr>
                      <w:p>
                        <w:pPr>
                          <w:pStyle w:val="TableParagraph"/>
                          <w:spacing w:before="16"/>
                          <w:ind w:right="98"/>
                          <w:jc w:val="right"/>
                          <w:rPr>
                            <w:sz w:val="18"/>
                          </w:rPr>
                        </w:pPr>
                        <w:r>
                          <w:rPr>
                            <w:color w:val="231F20"/>
                            <w:sz w:val="18"/>
                          </w:rPr>
                          <w:t>(37)</w:t>
                        </w:r>
                      </w:p>
                    </w:tc>
                    <w:tc>
                      <w:tcPr>
                        <w:tcW w:w="100" w:type="dxa"/>
                        <w:shd w:val="clear" w:color="auto" w:fill="D1D3D4"/>
                      </w:tcPr>
                      <w:p>
                        <w:pPr/>
                      </w:p>
                    </w:tc>
                    <w:tc>
                      <w:tcPr>
                        <w:tcW w:w="960" w:type="dxa"/>
                        <w:tcBorders>
                          <w:bottom w:val="single" w:sz="4" w:space="0" w:color="231F20"/>
                        </w:tcBorders>
                        <w:shd w:val="clear" w:color="auto" w:fill="D1D3D4"/>
                      </w:tcPr>
                      <w:p>
                        <w:pPr>
                          <w:pStyle w:val="TableParagraph"/>
                          <w:spacing w:before="16"/>
                          <w:ind w:right="58"/>
                          <w:jc w:val="right"/>
                          <w:rPr>
                            <w:sz w:val="18"/>
                          </w:rPr>
                        </w:pPr>
                        <w:r>
                          <w:rPr>
                            <w:color w:val="231F20"/>
                            <w:sz w:val="18"/>
                          </w:rPr>
                          <w:t>—</w:t>
                        </w:r>
                      </w:p>
                    </w:tc>
                    <w:tc>
                      <w:tcPr>
                        <w:tcW w:w="1160" w:type="dxa"/>
                        <w:gridSpan w:val="2"/>
                        <w:shd w:val="clear" w:color="auto" w:fill="D1D3D4"/>
                      </w:tcPr>
                      <w:p>
                        <w:pPr/>
                      </w:p>
                    </w:tc>
                  </w:tr>
                  <w:tr>
                    <w:trPr>
                      <w:trHeight w:val="297" w:hRule="exact"/>
                    </w:trPr>
                    <w:tc>
                      <w:tcPr>
                        <w:tcW w:w="5840" w:type="dxa"/>
                      </w:tcPr>
                      <w:p>
                        <w:pPr>
                          <w:pStyle w:val="TableParagraph"/>
                          <w:spacing w:before="36"/>
                          <w:ind w:left="60"/>
                          <w:rPr>
                            <w:b/>
                            <w:sz w:val="18"/>
                          </w:rPr>
                        </w:pPr>
                        <w:r>
                          <w:rPr>
                            <w:b/>
                            <w:color w:val="231F20"/>
                            <w:sz w:val="18"/>
                          </w:rPr>
                          <w:t>Operating income, non-GAAP</w:t>
                        </w:r>
                      </w:p>
                    </w:tc>
                    <w:tc>
                      <w:tcPr>
                        <w:tcW w:w="1060" w:type="dxa"/>
                        <w:tcBorders>
                          <w:top w:val="single" w:sz="4" w:space="0" w:color="231F20"/>
                        </w:tcBorders>
                      </w:tcPr>
                      <w:p>
                        <w:pPr>
                          <w:pStyle w:val="TableParagraph"/>
                          <w:tabs>
                            <w:tab w:pos="494" w:val="left" w:leader="none"/>
                          </w:tabs>
                          <w:spacing w:before="16"/>
                          <w:rPr>
                            <w:sz w:val="18"/>
                          </w:rPr>
                        </w:pPr>
                        <w:r>
                          <w:rPr>
                            <w:color w:val="231F20"/>
                            <w:sz w:val="18"/>
                          </w:rPr>
                          <w:t>$</w:t>
                          <w:tab/>
                          <w:t>3,957</w:t>
                        </w:r>
                      </w:p>
                    </w:tc>
                    <w:tc>
                      <w:tcPr>
                        <w:tcW w:w="100" w:type="dxa"/>
                      </w:tcPr>
                      <w:p>
                        <w:pPr/>
                      </w:p>
                    </w:tc>
                    <w:tc>
                      <w:tcPr>
                        <w:tcW w:w="960" w:type="dxa"/>
                        <w:tcBorders>
                          <w:top w:val="single" w:sz="4" w:space="0" w:color="231F20"/>
                        </w:tcBorders>
                      </w:tcPr>
                      <w:p>
                        <w:pPr>
                          <w:pStyle w:val="TableParagraph"/>
                          <w:tabs>
                            <w:tab w:pos="494" w:val="left" w:leader="none"/>
                          </w:tabs>
                          <w:spacing w:before="16"/>
                          <w:rPr>
                            <w:sz w:val="18"/>
                          </w:rPr>
                        </w:pPr>
                        <w:r>
                          <w:rPr>
                            <w:color w:val="231F20"/>
                            <w:sz w:val="18"/>
                          </w:rPr>
                          <w:t>$</w:t>
                          <w:tab/>
                          <w:t>2,388</w:t>
                        </w:r>
                      </w:p>
                    </w:tc>
                    <w:tc>
                      <w:tcPr>
                        <w:tcW w:w="1160" w:type="dxa"/>
                        <w:gridSpan w:val="2"/>
                      </w:tcPr>
                      <w:p>
                        <w:pPr>
                          <w:pStyle w:val="TableParagraph"/>
                          <w:spacing w:before="36"/>
                          <w:ind w:left="649"/>
                          <w:rPr>
                            <w:sz w:val="18"/>
                          </w:rPr>
                        </w:pPr>
                        <w:r>
                          <w:rPr>
                            <w:color w:val="231F20"/>
                            <w:sz w:val="18"/>
                          </w:rPr>
                          <w:t>65.7 %</w:t>
                        </w:r>
                      </w:p>
                    </w:tc>
                  </w:tr>
                  <w:tr>
                    <w:trPr>
                      <w:trHeight w:val="256" w:hRule="exact"/>
                    </w:trPr>
                    <w:tc>
                      <w:tcPr>
                        <w:tcW w:w="5840" w:type="dxa"/>
                        <w:shd w:val="clear" w:color="auto" w:fill="D1D3D4"/>
                      </w:tcPr>
                      <w:p>
                        <w:pPr/>
                      </w:p>
                    </w:tc>
                    <w:tc>
                      <w:tcPr>
                        <w:tcW w:w="1060" w:type="dxa"/>
                        <w:shd w:val="clear" w:color="auto" w:fill="D1D3D4"/>
                      </w:tcPr>
                      <w:p>
                        <w:pPr/>
                      </w:p>
                    </w:tc>
                    <w:tc>
                      <w:tcPr>
                        <w:tcW w:w="100" w:type="dxa"/>
                        <w:shd w:val="clear" w:color="auto" w:fill="D1D3D4"/>
                      </w:tcPr>
                      <w:p>
                        <w:pPr/>
                      </w:p>
                    </w:tc>
                    <w:tc>
                      <w:tcPr>
                        <w:tcW w:w="960" w:type="dxa"/>
                        <w:shd w:val="clear" w:color="auto" w:fill="D1D3D4"/>
                      </w:tcPr>
                      <w:p>
                        <w:pPr/>
                      </w:p>
                    </w:tc>
                    <w:tc>
                      <w:tcPr>
                        <w:tcW w:w="1160" w:type="dxa"/>
                        <w:gridSpan w:val="2"/>
                        <w:shd w:val="clear" w:color="auto" w:fill="D1D3D4"/>
                      </w:tcPr>
                      <w:p>
                        <w:pPr/>
                      </w:p>
                    </w:tc>
                  </w:tr>
                  <w:tr>
                    <w:trPr>
                      <w:trHeight w:val="364" w:hRule="exact"/>
                    </w:trPr>
                    <w:tc>
                      <w:tcPr>
                        <w:tcW w:w="5840" w:type="dxa"/>
                      </w:tcPr>
                      <w:p>
                        <w:pPr>
                          <w:pStyle w:val="TableParagraph"/>
                          <w:spacing w:before="136"/>
                          <w:ind w:left="60"/>
                          <w:rPr>
                            <w:b/>
                            <w:sz w:val="18"/>
                          </w:rPr>
                        </w:pPr>
                        <w:r>
                          <w:rPr>
                            <w:b/>
                            <w:color w:val="231F20"/>
                            <w:sz w:val="18"/>
                          </w:rPr>
                          <w:t>Net income, as reported</w:t>
                        </w:r>
                      </w:p>
                    </w:tc>
                    <w:tc>
                      <w:tcPr>
                        <w:tcW w:w="1060" w:type="dxa"/>
                      </w:tcPr>
                      <w:p>
                        <w:pPr>
                          <w:pStyle w:val="TableParagraph"/>
                          <w:tabs>
                            <w:tab w:pos="494" w:val="left" w:leader="none"/>
                          </w:tabs>
                          <w:spacing w:before="136"/>
                          <w:rPr>
                            <w:sz w:val="18"/>
                          </w:rPr>
                        </w:pPr>
                        <w:r>
                          <w:rPr>
                            <w:color w:val="231F20"/>
                            <w:sz w:val="18"/>
                          </w:rPr>
                          <w:t>$</w:t>
                          <w:tab/>
                          <w:t>2,181</w:t>
                        </w:r>
                      </w:p>
                    </w:tc>
                    <w:tc>
                      <w:tcPr>
                        <w:tcW w:w="100" w:type="dxa"/>
                      </w:tcPr>
                      <w:p>
                        <w:pPr/>
                      </w:p>
                    </w:tc>
                    <w:tc>
                      <w:tcPr>
                        <w:tcW w:w="960" w:type="dxa"/>
                      </w:tcPr>
                      <w:p>
                        <w:pPr>
                          <w:pStyle w:val="TableParagraph"/>
                          <w:tabs>
                            <w:tab w:pos="494" w:val="left" w:leader="none"/>
                          </w:tabs>
                          <w:spacing w:before="136"/>
                          <w:rPr>
                            <w:sz w:val="18"/>
                          </w:rPr>
                        </w:pPr>
                        <w:r>
                          <w:rPr>
                            <w:color w:val="231F20"/>
                            <w:sz w:val="18"/>
                          </w:rPr>
                          <w:t>$</w:t>
                          <w:tab/>
                          <w:t>1,136</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Deduct: Special revenue adjustment (a)</w:t>
                        </w:r>
                      </w:p>
                    </w:tc>
                    <w:tc>
                      <w:tcPr>
                        <w:tcW w:w="1060" w:type="dxa"/>
                        <w:shd w:val="clear" w:color="auto" w:fill="D1D3D4"/>
                      </w:tcPr>
                      <w:p>
                        <w:pPr>
                          <w:pStyle w:val="TableParagraph"/>
                          <w:spacing w:before="16"/>
                          <w:ind w:right="98"/>
                          <w:jc w:val="right"/>
                          <w:rPr>
                            <w:sz w:val="18"/>
                          </w:rPr>
                        </w:pPr>
                        <w:r>
                          <w:rPr>
                            <w:color w:val="231F20"/>
                            <w:sz w:val="18"/>
                          </w:rPr>
                          <w:t>(108)</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Add: Union contract bonuses (a)</w:t>
                        </w:r>
                      </w:p>
                    </w:tc>
                    <w:tc>
                      <w:tcPr>
                        <w:tcW w:w="1060" w:type="dxa"/>
                      </w:tcPr>
                      <w:p>
                        <w:pPr>
                          <w:pStyle w:val="TableParagraph"/>
                          <w:spacing w:before="16"/>
                          <w:ind w:right="157"/>
                          <w:jc w:val="right"/>
                          <w:rPr>
                            <w:sz w:val="18"/>
                          </w:rPr>
                        </w:pPr>
                        <w:r>
                          <w:rPr>
                            <w:color w:val="231F20"/>
                            <w:sz w:val="18"/>
                          </w:rPr>
                          <w:t>210</w:t>
                        </w:r>
                      </w:p>
                    </w:tc>
                    <w:tc>
                      <w:tcPr>
                        <w:tcW w:w="100" w:type="dxa"/>
                      </w:tcPr>
                      <w:p>
                        <w:pPr/>
                      </w:p>
                    </w:tc>
                    <w:tc>
                      <w:tcPr>
                        <w:tcW w:w="960" w:type="dxa"/>
                      </w:tcPr>
                      <w:p>
                        <w:pPr>
                          <w:pStyle w:val="TableParagraph"/>
                          <w:spacing w:before="16"/>
                          <w:ind w:right="58"/>
                          <w:jc w:val="right"/>
                          <w:rPr>
                            <w:sz w:val="18"/>
                          </w:rPr>
                        </w:pPr>
                        <w:r>
                          <w:rPr>
                            <w:color w:val="231F20"/>
                            <w:sz w:val="18"/>
                          </w:rPr>
                          <w:t>6</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Mark-to-market impact from fuel contracts settling in future periods</w:t>
                        </w:r>
                      </w:p>
                    </w:tc>
                    <w:tc>
                      <w:tcPr>
                        <w:tcW w:w="1060" w:type="dxa"/>
                        <w:shd w:val="clear" w:color="auto" w:fill="D1D3D4"/>
                      </w:tcPr>
                      <w:p>
                        <w:pPr>
                          <w:pStyle w:val="TableParagraph"/>
                          <w:spacing w:before="16"/>
                          <w:ind w:right="157"/>
                          <w:jc w:val="right"/>
                          <w:rPr>
                            <w:sz w:val="18"/>
                          </w:rPr>
                        </w:pPr>
                        <w:r>
                          <w:rPr>
                            <w:color w:val="231F20"/>
                            <w:sz w:val="18"/>
                          </w:rPr>
                          <w:t>373</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251</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Add (Deduct): Ineffectiveness from fuel hedges settling in future periods</w:t>
                        </w:r>
                      </w:p>
                    </w:tc>
                    <w:tc>
                      <w:tcPr>
                        <w:tcW w:w="1060" w:type="dxa"/>
                      </w:tcPr>
                      <w:p>
                        <w:pPr>
                          <w:pStyle w:val="TableParagraph"/>
                          <w:spacing w:before="16"/>
                          <w:ind w:right="98"/>
                          <w:jc w:val="right"/>
                          <w:rPr>
                            <w:sz w:val="18"/>
                          </w:rPr>
                        </w:pPr>
                        <w:r>
                          <w:rPr>
                            <w:color w:val="231F20"/>
                            <w:sz w:val="18"/>
                          </w:rPr>
                          <w:t>(9)</w:t>
                        </w:r>
                      </w:p>
                    </w:tc>
                    <w:tc>
                      <w:tcPr>
                        <w:tcW w:w="100" w:type="dxa"/>
                      </w:tcPr>
                      <w:p>
                        <w:pPr/>
                      </w:p>
                    </w:tc>
                    <w:tc>
                      <w:tcPr>
                        <w:tcW w:w="960" w:type="dxa"/>
                      </w:tcPr>
                      <w:p>
                        <w:pPr>
                          <w:pStyle w:val="TableParagraph"/>
                          <w:spacing w:before="16"/>
                          <w:ind w:right="58"/>
                          <w:jc w:val="right"/>
                          <w:rPr>
                            <w:sz w:val="18"/>
                          </w:rPr>
                        </w:pPr>
                        <w:r>
                          <w:rPr>
                            <w:color w:val="231F20"/>
                            <w:sz w:val="18"/>
                          </w:rPr>
                          <w:t>5</w:t>
                        </w:r>
                      </w:p>
                    </w:tc>
                    <w:tc>
                      <w:tcPr>
                        <w:tcW w:w="1160" w:type="dxa"/>
                        <w:gridSpan w:val="2"/>
                      </w:tcPr>
                      <w:p>
                        <w:pPr/>
                      </w:p>
                    </w:tc>
                  </w:tr>
                  <w:tr>
                    <w:trPr>
                      <w:trHeight w:val="428" w:hRule="exact"/>
                    </w:trPr>
                    <w:tc>
                      <w:tcPr>
                        <w:tcW w:w="5840" w:type="dxa"/>
                        <w:shd w:val="clear" w:color="auto" w:fill="D1D3D4"/>
                      </w:tcPr>
                      <w:p>
                        <w:pPr>
                          <w:pStyle w:val="TableParagraph"/>
                          <w:spacing w:line="184" w:lineRule="exact" w:before="37"/>
                          <w:ind w:left="240" w:right="346" w:hanging="180"/>
                          <w:rPr>
                            <w:sz w:val="18"/>
                          </w:rPr>
                        </w:pPr>
                        <w:r>
                          <w:rPr>
                            <w:color w:val="231F20"/>
                            <w:sz w:val="18"/>
                          </w:rPr>
                          <w:t>Add (Deduct): Other net impact of fuel contracts settling in the current or a prior period (excluding reclassifications)</w:t>
                        </w:r>
                      </w:p>
                    </w:tc>
                    <w:tc>
                      <w:tcPr>
                        <w:tcW w:w="1060" w:type="dxa"/>
                        <w:shd w:val="clear" w:color="auto" w:fill="D1D3D4"/>
                      </w:tcPr>
                      <w:p>
                        <w:pPr>
                          <w:pStyle w:val="TableParagraph"/>
                          <w:spacing w:before="4"/>
                          <w:rPr>
                            <w:b/>
                            <w:sz w:val="17"/>
                          </w:rPr>
                        </w:pPr>
                      </w:p>
                      <w:p>
                        <w:pPr>
                          <w:pStyle w:val="TableParagraph"/>
                          <w:spacing w:before="0"/>
                          <w:ind w:right="98"/>
                          <w:jc w:val="right"/>
                          <w:rPr>
                            <w:sz w:val="18"/>
                          </w:rPr>
                        </w:pPr>
                        <w:r>
                          <w:rPr>
                            <w:color w:val="231F20"/>
                            <w:sz w:val="18"/>
                          </w:rPr>
                          <w:t>(251)</w:t>
                        </w:r>
                      </w:p>
                    </w:tc>
                    <w:tc>
                      <w:tcPr>
                        <w:tcW w:w="100" w:type="dxa"/>
                        <w:shd w:val="clear" w:color="auto" w:fill="D1D3D4"/>
                      </w:tcPr>
                      <w:p>
                        <w:pPr/>
                      </w:p>
                    </w:tc>
                    <w:tc>
                      <w:tcPr>
                        <w:tcW w:w="960" w:type="dxa"/>
                        <w:shd w:val="clear" w:color="auto" w:fill="D1D3D4"/>
                      </w:tcPr>
                      <w:p>
                        <w:pPr>
                          <w:pStyle w:val="TableParagraph"/>
                          <w:spacing w:before="4"/>
                          <w:rPr>
                            <w:b/>
                            <w:sz w:val="17"/>
                          </w:rPr>
                        </w:pPr>
                      </w:p>
                      <w:p>
                        <w:pPr>
                          <w:pStyle w:val="TableParagraph"/>
                          <w:spacing w:before="0"/>
                          <w:ind w:right="58"/>
                          <w:jc w:val="right"/>
                          <w:rPr>
                            <w:sz w:val="18"/>
                          </w:rPr>
                        </w:pPr>
                        <w:r>
                          <w:rPr>
                            <w:color w:val="231F20"/>
                            <w:sz w:val="18"/>
                          </w:rPr>
                          <w:t>24</w:t>
                        </w:r>
                      </w:p>
                    </w:tc>
                    <w:tc>
                      <w:tcPr>
                        <w:tcW w:w="1160" w:type="dxa"/>
                        <w:gridSpan w:val="2"/>
                        <w:shd w:val="clear" w:color="auto" w:fill="D1D3D4"/>
                      </w:tcPr>
                      <w:p>
                        <w:pPr/>
                      </w:p>
                    </w:tc>
                  </w:tr>
                  <w:tr>
                    <w:trPr>
                      <w:trHeight w:val="244" w:hRule="exact"/>
                    </w:trPr>
                    <w:tc>
                      <w:tcPr>
                        <w:tcW w:w="5840" w:type="dxa"/>
                      </w:tcPr>
                      <w:p>
                        <w:pPr>
                          <w:pStyle w:val="TableParagraph"/>
                          <w:spacing w:before="16"/>
                          <w:ind w:left="60"/>
                          <w:rPr>
                            <w:sz w:val="18"/>
                          </w:rPr>
                        </w:pPr>
                        <w:r>
                          <w:rPr>
                            <w:color w:val="231F20"/>
                            <w:sz w:val="18"/>
                          </w:rPr>
                          <w:t>Deduct: Income tax impact of fuel contracts</w:t>
                        </w:r>
                      </w:p>
                    </w:tc>
                    <w:tc>
                      <w:tcPr>
                        <w:tcW w:w="1060" w:type="dxa"/>
                      </w:tcPr>
                      <w:p>
                        <w:pPr>
                          <w:pStyle w:val="TableParagraph"/>
                          <w:spacing w:before="16"/>
                          <w:ind w:right="98"/>
                          <w:jc w:val="right"/>
                          <w:rPr>
                            <w:sz w:val="18"/>
                          </w:rPr>
                        </w:pPr>
                        <w:r>
                          <w:rPr>
                            <w:color w:val="231F20"/>
                            <w:sz w:val="18"/>
                          </w:rPr>
                          <w:t>(42)</w:t>
                        </w:r>
                      </w:p>
                    </w:tc>
                    <w:tc>
                      <w:tcPr>
                        <w:tcW w:w="100" w:type="dxa"/>
                      </w:tcPr>
                      <w:p>
                        <w:pPr/>
                      </w:p>
                    </w:tc>
                    <w:tc>
                      <w:tcPr>
                        <w:tcW w:w="960" w:type="dxa"/>
                      </w:tcPr>
                      <w:p>
                        <w:pPr>
                          <w:pStyle w:val="TableParagraph"/>
                          <w:spacing w:before="16"/>
                          <w:jc w:val="right"/>
                          <w:rPr>
                            <w:sz w:val="18"/>
                          </w:rPr>
                        </w:pPr>
                        <w:r>
                          <w:rPr>
                            <w:color w:val="231F20"/>
                            <w:sz w:val="18"/>
                          </w:rPr>
                          <w:t>(104)</w:t>
                        </w:r>
                      </w:p>
                    </w:tc>
                    <w:tc>
                      <w:tcPr>
                        <w:tcW w:w="1160" w:type="dxa"/>
                        <w:gridSpan w:val="2"/>
                      </w:tcPr>
                      <w:p>
                        <w:pPr/>
                      </w:p>
                    </w:tc>
                  </w:tr>
                  <w:tr>
                    <w:trPr>
                      <w:trHeight w:val="244" w:hRule="exact"/>
                    </w:trPr>
                    <w:tc>
                      <w:tcPr>
                        <w:tcW w:w="5840" w:type="dxa"/>
                        <w:shd w:val="clear" w:color="auto" w:fill="D1D3D4"/>
                      </w:tcPr>
                      <w:p>
                        <w:pPr>
                          <w:pStyle w:val="TableParagraph"/>
                          <w:spacing w:before="16"/>
                          <w:ind w:left="60"/>
                          <w:rPr>
                            <w:sz w:val="18"/>
                          </w:rPr>
                        </w:pPr>
                        <w:r>
                          <w:rPr>
                            <w:color w:val="231F20"/>
                            <w:sz w:val="18"/>
                          </w:rPr>
                          <w:t>Add: Acquisition and integration costs (a)</w:t>
                        </w:r>
                      </w:p>
                    </w:tc>
                    <w:tc>
                      <w:tcPr>
                        <w:tcW w:w="1060" w:type="dxa"/>
                        <w:shd w:val="clear" w:color="auto" w:fill="D1D3D4"/>
                      </w:tcPr>
                      <w:p>
                        <w:pPr>
                          <w:pStyle w:val="TableParagraph"/>
                          <w:spacing w:before="16"/>
                          <w:ind w:right="157"/>
                          <w:jc w:val="right"/>
                          <w:rPr>
                            <w:sz w:val="18"/>
                          </w:rPr>
                        </w:pPr>
                        <w:r>
                          <w:rPr>
                            <w:color w:val="231F20"/>
                            <w:sz w:val="18"/>
                          </w:rPr>
                          <w:t>24</w:t>
                        </w:r>
                      </w:p>
                    </w:tc>
                    <w:tc>
                      <w:tcPr>
                        <w:tcW w:w="100" w:type="dxa"/>
                        <w:shd w:val="clear" w:color="auto" w:fill="D1D3D4"/>
                      </w:tcPr>
                      <w:p>
                        <w:pPr/>
                      </w:p>
                    </w:tc>
                    <w:tc>
                      <w:tcPr>
                        <w:tcW w:w="960" w:type="dxa"/>
                        <w:shd w:val="clear" w:color="auto" w:fill="D1D3D4"/>
                      </w:tcPr>
                      <w:p>
                        <w:pPr>
                          <w:pStyle w:val="TableParagraph"/>
                          <w:spacing w:before="16"/>
                          <w:ind w:right="58"/>
                          <w:jc w:val="right"/>
                          <w:rPr>
                            <w:sz w:val="18"/>
                          </w:rPr>
                        </w:pPr>
                        <w:r>
                          <w:rPr>
                            <w:color w:val="231F20"/>
                            <w:sz w:val="18"/>
                          </w:rPr>
                          <w:t>79</w:t>
                        </w:r>
                      </w:p>
                    </w:tc>
                    <w:tc>
                      <w:tcPr>
                        <w:tcW w:w="1160" w:type="dxa"/>
                        <w:gridSpan w:val="2"/>
                        <w:shd w:val="clear" w:color="auto" w:fill="D1D3D4"/>
                      </w:tcPr>
                      <w:p>
                        <w:pPr/>
                      </w:p>
                    </w:tc>
                  </w:tr>
                  <w:tr>
                    <w:trPr>
                      <w:trHeight w:val="259" w:hRule="exact"/>
                    </w:trPr>
                    <w:tc>
                      <w:tcPr>
                        <w:tcW w:w="5840" w:type="dxa"/>
                      </w:tcPr>
                      <w:p>
                        <w:pPr>
                          <w:pStyle w:val="TableParagraph"/>
                          <w:spacing w:before="16"/>
                          <w:ind w:left="60"/>
                          <w:rPr>
                            <w:sz w:val="18"/>
                          </w:rPr>
                        </w:pPr>
                        <w:r>
                          <w:rPr>
                            <w:color w:val="231F20"/>
                            <w:sz w:val="18"/>
                          </w:rPr>
                          <w:t>Deduct: Litigation settlement (a)</w:t>
                        </w:r>
                      </w:p>
                    </w:tc>
                    <w:tc>
                      <w:tcPr>
                        <w:tcW w:w="1060" w:type="dxa"/>
                        <w:tcBorders>
                          <w:bottom w:val="single" w:sz="4" w:space="0" w:color="231F20"/>
                        </w:tcBorders>
                      </w:tcPr>
                      <w:p>
                        <w:pPr>
                          <w:pStyle w:val="TableParagraph"/>
                          <w:spacing w:before="16"/>
                          <w:ind w:right="98"/>
                          <w:jc w:val="right"/>
                          <w:rPr>
                            <w:sz w:val="18"/>
                          </w:rPr>
                        </w:pPr>
                        <w:r>
                          <w:rPr>
                            <w:color w:val="231F20"/>
                            <w:sz w:val="18"/>
                          </w:rPr>
                          <w:t>(23)</w:t>
                        </w:r>
                      </w:p>
                    </w:tc>
                    <w:tc>
                      <w:tcPr>
                        <w:tcW w:w="100" w:type="dxa"/>
                      </w:tcPr>
                      <w:p>
                        <w:pPr/>
                      </w:p>
                    </w:tc>
                    <w:tc>
                      <w:tcPr>
                        <w:tcW w:w="960" w:type="dxa"/>
                        <w:tcBorders>
                          <w:bottom w:val="single" w:sz="4" w:space="0" w:color="231F20"/>
                        </w:tcBorders>
                      </w:tcPr>
                      <w:p>
                        <w:pPr>
                          <w:pStyle w:val="TableParagraph"/>
                          <w:spacing w:before="16"/>
                          <w:ind w:right="58"/>
                          <w:jc w:val="right"/>
                          <w:rPr>
                            <w:sz w:val="18"/>
                          </w:rPr>
                        </w:pPr>
                        <w:r>
                          <w:rPr>
                            <w:color w:val="231F20"/>
                            <w:sz w:val="18"/>
                          </w:rPr>
                          <w:t>—</w:t>
                        </w:r>
                      </w:p>
                    </w:tc>
                    <w:tc>
                      <w:tcPr>
                        <w:tcW w:w="1160" w:type="dxa"/>
                        <w:gridSpan w:val="2"/>
                      </w:tcPr>
                      <w:p>
                        <w:pPr/>
                      </w:p>
                    </w:tc>
                  </w:tr>
                  <w:tr>
                    <w:trPr>
                      <w:trHeight w:val="304" w:hRule="exact"/>
                    </w:trPr>
                    <w:tc>
                      <w:tcPr>
                        <w:tcW w:w="5840" w:type="dxa"/>
                        <w:shd w:val="clear" w:color="auto" w:fill="D1D3D4"/>
                      </w:tcPr>
                      <w:p>
                        <w:pPr>
                          <w:pStyle w:val="TableParagraph"/>
                          <w:spacing w:before="16"/>
                          <w:ind w:left="60"/>
                          <w:rPr>
                            <w:b/>
                            <w:sz w:val="18"/>
                          </w:rPr>
                        </w:pPr>
                        <w:r>
                          <w:rPr>
                            <w:b/>
                            <w:color w:val="231F20"/>
                            <w:sz w:val="18"/>
                          </w:rPr>
                          <w:t>Net income, non-GAAP</w:t>
                        </w:r>
                      </w:p>
                    </w:tc>
                    <w:tc>
                      <w:tcPr>
                        <w:tcW w:w="1060" w:type="dxa"/>
                        <w:tcBorders>
                          <w:top w:val="single" w:sz="4" w:space="0" w:color="231F20"/>
                          <w:bottom w:val="single" w:sz="4" w:space="0" w:color="231F20"/>
                        </w:tcBorders>
                        <w:shd w:val="clear" w:color="auto" w:fill="D1D3D4"/>
                      </w:tcPr>
                      <w:p>
                        <w:pPr>
                          <w:pStyle w:val="TableParagraph"/>
                          <w:tabs>
                            <w:tab w:pos="494" w:val="left" w:leader="none"/>
                          </w:tabs>
                          <w:spacing w:before="16"/>
                          <w:rPr>
                            <w:sz w:val="18"/>
                          </w:rPr>
                        </w:pPr>
                        <w:r>
                          <w:rPr>
                            <w:color w:val="231F20"/>
                            <w:sz w:val="18"/>
                          </w:rPr>
                          <w:t>$</w:t>
                          <w:tab/>
                          <w:t>2,355</w:t>
                        </w:r>
                      </w:p>
                    </w:tc>
                    <w:tc>
                      <w:tcPr>
                        <w:tcW w:w="1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tabs>
                            <w:tab w:pos="494" w:val="left" w:leader="none"/>
                          </w:tabs>
                          <w:spacing w:before="16"/>
                          <w:rPr>
                            <w:sz w:val="18"/>
                          </w:rPr>
                        </w:pPr>
                        <w:r>
                          <w:rPr>
                            <w:color w:val="231F20"/>
                            <w:sz w:val="18"/>
                          </w:rPr>
                          <w:t>$</w:t>
                          <w:tab/>
                          <w:t>1,397</w:t>
                        </w:r>
                      </w:p>
                    </w:tc>
                    <w:tc>
                      <w:tcPr>
                        <w:tcW w:w="1160" w:type="dxa"/>
                        <w:gridSpan w:val="2"/>
                        <w:shd w:val="clear" w:color="auto" w:fill="D1D3D4"/>
                      </w:tcPr>
                      <w:p>
                        <w:pPr>
                          <w:pStyle w:val="TableParagraph"/>
                          <w:spacing w:before="16"/>
                          <w:ind w:left="649"/>
                          <w:rPr>
                            <w:sz w:val="18"/>
                          </w:rPr>
                        </w:pPr>
                        <w:r>
                          <w:rPr>
                            <w:color w:val="231F20"/>
                            <w:sz w:val="18"/>
                          </w:rPr>
                          <w:t>68.6 %</w:t>
                        </w:r>
                      </w:p>
                    </w:tc>
                  </w:tr>
                </w:tbl>
                <w:p>
                  <w:pPr>
                    <w:pStyle w:val="BodyText"/>
                  </w:pPr>
                </w:p>
              </w:txbxContent>
            </v:textbox>
            <w10:wrap type="none"/>
          </v:shape>
        </w:pict>
      </w:r>
      <w:r>
        <w:rPr>
          <w:b/>
          <w:color w:val="231F20"/>
          <w:sz w:val="18"/>
        </w:rPr>
        <w:t>Year ended</w:t>
      </w:r>
      <w:r>
        <w:rPr>
          <w:b/>
          <w:color w:val="231F20"/>
          <w:spacing w:val="-1"/>
          <w:sz w:val="18"/>
        </w:rPr>
        <w:t> </w:t>
      </w:r>
      <w:r>
        <w:rPr>
          <w:b/>
          <w:color w:val="231F20"/>
          <w:sz w:val="18"/>
        </w:rPr>
        <w:t>December 31,</w:t>
        <w:tab/>
        <w:t>Percent</w:t>
      </w:r>
      <w:r>
        <w:rPr>
          <w:b/>
          <w:color w:val="231F20"/>
          <w:w w:val="100"/>
          <w:sz w:val="18"/>
        </w:rPr>
        <w:t> </w:t>
      </w:r>
      <w:r>
        <w:rPr>
          <w:b/>
          <w:color w:val="231F20"/>
          <w:sz w:val="18"/>
        </w:rPr>
        <w:t>2015</w:t>
        <w:tab/>
        <w:t>2014</w:t>
        <w:tab/>
      </w:r>
      <w:r>
        <w:rPr>
          <w:b/>
          <w:color w:val="231F20"/>
          <w:w w:val="95"/>
          <w:sz w:val="18"/>
        </w:rPr>
        <w:t>Change</w:t>
      </w:r>
    </w:p>
    <w:p>
      <w:pPr>
        <w:pStyle w:val="BodyText"/>
        <w:rPr>
          <w:b/>
          <w:sz w:val="20"/>
        </w:rPr>
      </w:pPr>
    </w:p>
    <w:p>
      <w:pPr>
        <w:pStyle w:val="BodyText"/>
        <w:rPr>
          <w:b/>
          <w:sz w:val="20"/>
        </w:rPr>
      </w:pPr>
    </w:p>
    <w:p>
      <w:pPr>
        <w:pStyle w:val="BodyText"/>
        <w:spacing w:before="10"/>
        <w:rPr>
          <w:b/>
          <w:sz w:val="21"/>
        </w:rPr>
      </w:pPr>
      <w:r>
        <w:rPr/>
        <w:pict>
          <v:group style="position:absolute;margin-left:360.75pt;margin-top:14.565322pt;width:48.5pt;height:2.5pt;mso-position-horizontal-relative:page;mso-position-vertical-relative:paragraph;z-index:1960;mso-wrap-distance-left:0;mso-wrap-distance-right:0" coordorigin="7215,291" coordsize="970,50">
            <v:line style="position:absolute" from="7220,296" to="8180,296" stroked="true" strokeweight=".5pt" strokecolor="#231f20">
              <v:stroke dashstyle="solid"/>
            </v:line>
            <v:line style="position:absolute" from="7220,336" to="8180,336" stroked="true" strokeweight=".5pt" strokecolor="#231f20">
              <v:stroke dashstyle="solid"/>
            </v:line>
            <w10:wrap type="topAndBottom"/>
          </v:group>
        </w:pict>
      </w:r>
      <w:r>
        <w:rPr/>
        <w:pict>
          <v:group style="position:absolute;margin-left:418.75pt;margin-top:14.565322pt;width:48.5pt;height:2.5pt;mso-position-horizontal-relative:page;mso-position-vertical-relative:paragraph;z-index:1984;mso-wrap-distance-left:0;mso-wrap-distance-right:0" coordorigin="8375,291" coordsize="970,50">
            <v:line style="position:absolute" from="8380,296" to="9340,296" stroked="true" strokeweight=".5pt" strokecolor="#231f20">
              <v:stroke dashstyle="solid"/>
            </v:line>
            <v:line style="position:absolute" from="8380,336" to="9340,33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r>
        <w:rPr/>
        <w:pict>
          <v:group style="position:absolute;margin-left:360.75pt;margin-top:16.754883pt;width:48.5pt;height:2.5pt;mso-position-horizontal-relative:page;mso-position-vertical-relative:paragraph;z-index:2008;mso-wrap-distance-left:0;mso-wrap-distance-right:0" coordorigin="7215,335" coordsize="970,50">
            <v:line style="position:absolute" from="7220,340" to="8180,340" stroked="true" strokeweight=".5pt" strokecolor="#231f20">
              <v:stroke dashstyle="solid"/>
            </v:line>
            <v:line style="position:absolute" from="7220,380" to="8180,380" stroked="true" strokeweight=".5pt" strokecolor="#231f20">
              <v:stroke dashstyle="solid"/>
            </v:line>
            <w10:wrap type="topAndBottom"/>
          </v:group>
        </w:pict>
      </w:r>
      <w:r>
        <w:rPr/>
        <w:pict>
          <v:group style="position:absolute;margin-left:418.75pt;margin-top:16.754883pt;width:48.5pt;height:2.5pt;mso-position-horizontal-relative:page;mso-position-vertical-relative:paragraph;z-index:2032;mso-wrap-distance-left:0;mso-wrap-distance-right:0" coordorigin="8375,335" coordsize="970,50">
            <v:line style="position:absolute" from="8380,340" to="9340,340" stroked="true" strokeweight=".5pt" strokecolor="#231f20">
              <v:stroke dashstyle="solid"/>
            </v:line>
            <v:line style="position:absolute" from="8380,380" to="9340,38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r>
        <w:rPr/>
        <w:pict>
          <v:group style="position:absolute;margin-left:360.75pt;margin-top:12.558789pt;width:48.5pt;height:2.5pt;mso-position-horizontal-relative:page;mso-position-vertical-relative:paragraph;z-index:2056;mso-wrap-distance-left:0;mso-wrap-distance-right:0" coordorigin="7215,251" coordsize="970,50">
            <v:line style="position:absolute" from="7220,256" to="8180,256" stroked="true" strokeweight=".5pt" strokecolor="#231f20">
              <v:stroke dashstyle="solid"/>
            </v:line>
            <v:line style="position:absolute" from="7220,296" to="8180,296" stroked="true" strokeweight=".5pt" strokecolor="#231f20">
              <v:stroke dashstyle="solid"/>
            </v:line>
            <w10:wrap type="topAndBottom"/>
          </v:group>
        </w:pict>
      </w:r>
      <w:r>
        <w:rPr/>
        <w:pict>
          <v:group style="position:absolute;margin-left:418.75pt;margin-top:12.558789pt;width:48.5pt;height:2.5pt;mso-position-horizontal-relative:page;mso-position-vertical-relative:paragraph;z-index:2080;mso-wrap-distance-left:0;mso-wrap-distance-right:0" coordorigin="8375,251" coordsize="970,50">
            <v:line style="position:absolute" from="8380,256" to="9340,256" stroked="true" strokeweight=".5pt" strokecolor="#231f20">
              <v:stroke dashstyle="solid"/>
            </v:line>
            <v:line style="position:absolute" from="8380,296" to="9340,29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r>
        <w:rPr/>
        <w:pict>
          <v:rect style="position:absolute;margin-left:69pt;margin-top:11.254883pt;width:456pt;height:21.4pt;mso-position-horizontal-relative:page;mso-position-vertical-relative:paragraph;z-index:2104;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spacing w:before="4"/>
        <w:rPr>
          <w:b/>
          <w:sz w:val="20"/>
        </w:rPr>
      </w:pPr>
      <w:r>
        <w:rPr/>
        <w:pict>
          <v:group style="position:absolute;margin-left:360.75pt;margin-top:13.651953pt;width:48.5pt;height:2.5pt;mso-position-horizontal-relative:page;mso-position-vertical-relative:paragraph;z-index:2128;mso-wrap-distance-left:0;mso-wrap-distance-right:0" coordorigin="7215,273" coordsize="970,50">
            <v:line style="position:absolute" from="7220,278" to="8180,278" stroked="true" strokeweight=".5pt" strokecolor="#231f20">
              <v:stroke dashstyle="solid"/>
            </v:line>
            <v:line style="position:absolute" from="7220,318" to="8180,318" stroked="true" strokeweight=".5pt" strokecolor="#231f20">
              <v:stroke dashstyle="solid"/>
            </v:line>
            <w10:wrap type="topAndBottom"/>
          </v:group>
        </w:pict>
      </w:r>
      <w:r>
        <w:rPr/>
        <w:pict>
          <v:group style="position:absolute;margin-left:418.75pt;margin-top:13.651953pt;width:48.5pt;height:2.5pt;mso-position-horizontal-relative:page;mso-position-vertical-relative:paragraph;z-index:2152;mso-wrap-distance-left:0;mso-wrap-distance-right:0" coordorigin="8375,273" coordsize="970,50">
            <v:line style="position:absolute" from="8380,278" to="9340,278" stroked="true" strokeweight=".5pt" strokecolor="#231f20">
              <v:stroke dashstyle="solid"/>
            </v:line>
            <v:line style="position:absolute" from="8380,318" to="9340,318"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6"/>
        </w:rPr>
      </w:pPr>
      <w:r>
        <w:rPr/>
        <w:pict>
          <v:line style="position:absolute;mso-position-horizontal-relative:page;mso-position-vertical-relative:paragraph;z-index:2176;mso-wrap-distance-left:0;mso-wrap-distance-right:0" from="361pt,11.711719pt" to="409pt,11.711719pt" stroked="true" strokeweight=".5pt" strokecolor="#231f20">
            <v:stroke dashstyle="solid"/>
            <w10:wrap type="topAndBottom"/>
          </v:line>
        </w:pict>
      </w:r>
      <w:r>
        <w:rPr/>
        <w:pict>
          <v:line style="position:absolute;mso-position-horizontal-relative:page;mso-position-vertical-relative:paragraph;z-index:2200;mso-wrap-distance-left:0;mso-wrap-distance-right:0" from="419pt,11.711719pt" to="467pt,11.711719pt" stroked="true" strokeweight=".5pt" strokecolor="#231f20">
            <v:stroke dashstyle="solid"/>
            <w10:wrap type="topAndBottom"/>
          </v:line>
        </w:pict>
      </w:r>
    </w:p>
    <w:p>
      <w:pPr>
        <w:spacing w:after="0"/>
        <w:rPr>
          <w:sz w:val="16"/>
        </w:rPr>
        <w:sectPr>
          <w:pgSz w:w="11880" w:h="15480"/>
          <w:pgMar w:header="0" w:footer="1240" w:top="1240" w:bottom="1420" w:left="1280" w:right="1260"/>
        </w:sectPr>
      </w:pPr>
    </w:p>
    <w:p>
      <w:pPr>
        <w:tabs>
          <w:tab w:pos="7399" w:val="left" w:leader="none"/>
          <w:tab w:pos="8444" w:val="left" w:leader="none"/>
        </w:tabs>
        <w:spacing w:line="302" w:lineRule="auto" w:before="72"/>
        <w:ind w:left="6240" w:right="302" w:hanging="230"/>
        <w:jc w:val="right"/>
        <w:rPr>
          <w:b/>
          <w:sz w:val="18"/>
        </w:rPr>
      </w:pPr>
      <w:r>
        <w:rPr/>
        <w:pict>
          <v:group style="position:absolute;margin-left:69pt;margin-top:28.002344pt;width:456.5pt;height:13.35pt;mso-position-horizontal-relative:page;mso-position-vertical-relative:paragraph;z-index:-393184" coordorigin="1380,560" coordsize="9130,267">
            <v:rect style="position:absolute;left:1380;top:580;width:9120;height:247" filled="true" fillcolor="#d1d3d4" stroked="false">
              <v:fill type="solid"/>
            </v:rect>
            <v:line style="position:absolute" from="7220,570" to="8180,570" stroked="true" strokeweight="1pt" strokecolor="#231f20">
              <v:stroke dashstyle="solid"/>
            </v:line>
            <v:line style="position:absolute" from="8380,570" to="9340,570" stroked="true" strokeweight="1pt" strokecolor="#231f20">
              <v:stroke dashstyle="solid"/>
            </v:line>
            <v:line style="position:absolute" from="9540,570" to="10500,570" stroked="true" strokeweight="1pt" strokecolor="#231f20">
              <v:stroke dashstyle="solid"/>
            </v:line>
            <w10:wrap type="none"/>
          </v:group>
        </w:pict>
      </w:r>
      <w:r>
        <w:rPr/>
        <w:pict>
          <v:line style="position:absolute;mso-position-horizontal-relative:page;mso-position-vertical-relative:paragraph;z-index:-393160" from="361pt,15.502344pt" to="467pt,15.502344pt" stroked="true" strokeweight="1pt" strokecolor="#231f20">
            <v:stroke dashstyle="solid"/>
            <w10:wrap type="none"/>
          </v:line>
        </w:pict>
      </w:r>
      <w:r>
        <w:rPr>
          <w:b/>
          <w:color w:val="231F20"/>
          <w:sz w:val="18"/>
        </w:rPr>
        <w:t>Year ended</w:t>
      </w:r>
      <w:r>
        <w:rPr>
          <w:b/>
          <w:color w:val="231F20"/>
          <w:spacing w:val="-1"/>
          <w:sz w:val="18"/>
        </w:rPr>
        <w:t> </w:t>
      </w:r>
      <w:r>
        <w:rPr>
          <w:b/>
          <w:color w:val="231F20"/>
          <w:sz w:val="18"/>
        </w:rPr>
        <w:t>December 31,</w:t>
        <w:tab/>
        <w:t>Percent</w:t>
      </w:r>
      <w:r>
        <w:rPr>
          <w:b/>
          <w:color w:val="231F20"/>
          <w:w w:val="100"/>
          <w:sz w:val="18"/>
        </w:rPr>
        <w:t> </w:t>
      </w:r>
      <w:r>
        <w:rPr>
          <w:b/>
          <w:color w:val="231F20"/>
          <w:sz w:val="18"/>
        </w:rPr>
        <w:t>2015</w:t>
        <w:tab/>
        <w:t>2014</w:t>
        <w:tab/>
      </w:r>
      <w:r>
        <w:rPr>
          <w:b/>
          <w:color w:val="231F20"/>
          <w:w w:val="95"/>
          <w:sz w:val="18"/>
        </w:rPr>
        <w:t>Change</w:t>
      </w:r>
    </w:p>
    <w:p>
      <w:pPr>
        <w:tabs>
          <w:tab w:pos="5939" w:val="left" w:leader="none"/>
          <w:tab w:pos="6524" w:val="left" w:leader="none"/>
          <w:tab w:pos="7099" w:val="left" w:leader="none"/>
          <w:tab w:pos="7999" w:val="right" w:leader="none"/>
        </w:tabs>
        <w:spacing w:before="8"/>
        <w:ind w:left="160" w:right="0" w:firstLine="0"/>
        <w:jc w:val="left"/>
        <w:rPr>
          <w:sz w:val="18"/>
        </w:rPr>
      </w:pPr>
      <w:r>
        <w:rPr>
          <w:b/>
          <w:color w:val="231F20"/>
          <w:sz w:val="18"/>
        </w:rPr>
        <w:t>Net income per share, diluted,</w:t>
      </w:r>
      <w:r>
        <w:rPr>
          <w:b/>
          <w:color w:val="231F20"/>
          <w:spacing w:val="-1"/>
          <w:sz w:val="18"/>
        </w:rPr>
        <w:t> </w:t>
      </w:r>
      <w:r>
        <w:rPr>
          <w:b/>
          <w:color w:val="231F20"/>
          <w:sz w:val="18"/>
        </w:rPr>
        <w:t>as reported</w:t>
        <w:tab/>
      </w:r>
      <w:r>
        <w:rPr>
          <w:color w:val="231F20"/>
          <w:sz w:val="18"/>
        </w:rPr>
        <w:t>$</w:t>
        <w:tab/>
        <w:t>3.27</w:t>
        <w:tab/>
        <w:t>$</w:t>
        <w:tab/>
        <w:t>1.64</w:t>
      </w:r>
    </w:p>
    <w:p>
      <w:pPr>
        <w:spacing w:line="217" w:lineRule="exact" w:before="38"/>
        <w:ind w:left="160" w:right="0" w:firstLine="0"/>
        <w:jc w:val="left"/>
        <w:rPr>
          <w:sz w:val="20"/>
        </w:rPr>
      </w:pPr>
      <w:r>
        <w:rPr>
          <w:color w:val="231F20"/>
          <w:sz w:val="20"/>
        </w:rPr>
        <w:t>Add: Net impact to net income above from fuel contracts divided by</w:t>
      </w:r>
    </w:p>
    <w:p>
      <w:pPr>
        <w:tabs>
          <w:tab w:pos="6482" w:val="left" w:leader="none"/>
          <w:tab w:pos="7992" w:val="right" w:leader="none"/>
        </w:tabs>
        <w:spacing w:line="217" w:lineRule="exact" w:before="0" w:after="17"/>
        <w:ind w:left="360" w:right="0" w:firstLine="0"/>
        <w:jc w:val="left"/>
        <w:rPr>
          <w:sz w:val="20"/>
        </w:rPr>
      </w:pPr>
      <w:r>
        <w:rPr/>
        <w:pict>
          <v:group style="position:absolute;margin-left:360.75pt;margin-top:38.736523pt;width:48.5pt;height:2.5pt;mso-position-horizontal-relative:page;mso-position-vertical-relative:paragraph;z-index:-393136" coordorigin="7215,775" coordsize="970,50">
            <v:line style="position:absolute" from="7220,780" to="8180,780" stroked="true" strokeweight=".5pt" strokecolor="#231f20">
              <v:stroke dashstyle="solid"/>
            </v:line>
            <v:line style="position:absolute" from="7220,820" to="8180,820" stroked="true" strokeweight=".5pt" strokecolor="#231f20">
              <v:stroke dashstyle="solid"/>
            </v:line>
            <w10:wrap type="none"/>
          </v:group>
        </w:pict>
      </w:r>
      <w:r>
        <w:rPr/>
        <w:pict>
          <v:group style="position:absolute;margin-left:418.75pt;margin-top:38.736523pt;width:48.5pt;height:2.5pt;mso-position-horizontal-relative:page;mso-position-vertical-relative:paragraph;z-index:-393112" coordorigin="8375,775" coordsize="970,50">
            <v:line style="position:absolute" from="8380,780" to="9340,780" stroked="true" strokeweight=".5pt" strokecolor="#231f20">
              <v:stroke dashstyle="solid"/>
            </v:line>
            <v:line style="position:absolute" from="8380,820" to="9340,820" stroked="true" strokeweight=".5pt" strokecolor="#231f20">
              <v:stroke dashstyle="solid"/>
            </v:line>
            <w10:wrap type="none"/>
          </v:group>
        </w:pict>
      </w:r>
      <w:r>
        <w:rPr>
          <w:color w:val="231F20"/>
          <w:sz w:val="20"/>
        </w:rPr>
        <w:t>dilutive</w:t>
      </w:r>
      <w:r>
        <w:rPr>
          <w:color w:val="231F20"/>
          <w:spacing w:val="1"/>
          <w:sz w:val="20"/>
        </w:rPr>
        <w:t> </w:t>
      </w:r>
      <w:r>
        <w:rPr>
          <w:color w:val="231F20"/>
          <w:sz w:val="20"/>
        </w:rPr>
        <w:t>shares</w:t>
      </w:r>
      <w:r>
        <w:rPr>
          <w:color w:val="231F20"/>
          <w:spacing w:val="1"/>
          <w:sz w:val="20"/>
        </w:rPr>
        <w:t> </w:t>
      </w:r>
      <w:r>
        <w:rPr>
          <w:color w:val="231F20"/>
          <w:sz w:val="20"/>
        </w:rPr>
        <w:t>(a)</w:t>
        <w:tab/>
        <w:t>0.06</w:t>
        <w:tab/>
        <w:t>0.25</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1160"/>
      </w:tblGrid>
      <w:tr>
        <w:trPr>
          <w:trHeight w:val="279" w:hRule="exact"/>
        </w:trPr>
        <w:tc>
          <w:tcPr>
            <w:tcW w:w="5840" w:type="dxa"/>
            <w:shd w:val="clear" w:color="auto" w:fill="D1D3D4"/>
          </w:tcPr>
          <w:p>
            <w:pPr>
              <w:pStyle w:val="TableParagraph"/>
              <w:spacing w:before="17"/>
              <w:ind w:left="60"/>
              <w:rPr>
                <w:sz w:val="20"/>
              </w:rPr>
            </w:pPr>
            <w:r>
              <w:rPr>
                <w:color w:val="231F20"/>
                <w:sz w:val="20"/>
              </w:rPr>
              <w:t>Add: Impact of special items (a)</w:t>
            </w:r>
          </w:p>
        </w:tc>
        <w:tc>
          <w:tcPr>
            <w:tcW w:w="960" w:type="dxa"/>
            <w:tcBorders>
              <w:bottom w:val="single" w:sz="4" w:space="0" w:color="231F20"/>
            </w:tcBorders>
            <w:shd w:val="clear" w:color="auto" w:fill="D1D3D4"/>
          </w:tcPr>
          <w:p>
            <w:pPr>
              <w:pStyle w:val="TableParagraph"/>
              <w:spacing w:before="17"/>
              <w:ind w:right="65"/>
              <w:jc w:val="right"/>
              <w:rPr>
                <w:sz w:val="20"/>
              </w:rPr>
            </w:pPr>
            <w:r>
              <w:rPr>
                <w:color w:val="231F20"/>
                <w:sz w:val="20"/>
              </w:rPr>
              <w:t>0.19</w:t>
            </w:r>
          </w:p>
        </w:tc>
        <w:tc>
          <w:tcPr>
            <w:tcW w:w="200" w:type="dxa"/>
            <w:shd w:val="clear" w:color="auto" w:fill="D1D3D4"/>
          </w:tcPr>
          <w:p>
            <w:pPr/>
          </w:p>
        </w:tc>
        <w:tc>
          <w:tcPr>
            <w:tcW w:w="960" w:type="dxa"/>
            <w:tcBorders>
              <w:bottom w:val="single" w:sz="4" w:space="0" w:color="231F20"/>
            </w:tcBorders>
            <w:shd w:val="clear" w:color="auto" w:fill="D1D3D4"/>
          </w:tcPr>
          <w:p>
            <w:pPr>
              <w:pStyle w:val="TableParagraph"/>
              <w:spacing w:before="17"/>
              <w:ind w:right="65"/>
              <w:jc w:val="right"/>
              <w:rPr>
                <w:sz w:val="20"/>
              </w:rPr>
            </w:pPr>
            <w:r>
              <w:rPr>
                <w:color w:val="231F20"/>
                <w:sz w:val="20"/>
              </w:rPr>
              <w:t>0.12</w:t>
            </w:r>
          </w:p>
        </w:tc>
        <w:tc>
          <w:tcPr>
            <w:tcW w:w="1160" w:type="dxa"/>
            <w:shd w:val="clear" w:color="auto" w:fill="D1D3D4"/>
          </w:tcPr>
          <w:p>
            <w:pPr/>
          </w:p>
        </w:tc>
      </w:tr>
      <w:tr>
        <w:trPr>
          <w:trHeight w:val="299" w:hRule="exact"/>
        </w:trPr>
        <w:tc>
          <w:tcPr>
            <w:tcW w:w="5840" w:type="dxa"/>
          </w:tcPr>
          <w:p>
            <w:pPr>
              <w:pStyle w:val="TableParagraph"/>
              <w:spacing w:before="39"/>
              <w:ind w:left="60"/>
              <w:rPr>
                <w:b/>
                <w:sz w:val="18"/>
              </w:rPr>
            </w:pPr>
            <w:r>
              <w:rPr>
                <w:b/>
                <w:color w:val="231F20"/>
                <w:sz w:val="18"/>
              </w:rPr>
              <w:t>Net income per share, diluted, non-GAAP</w:t>
            </w:r>
          </w:p>
        </w:tc>
        <w:tc>
          <w:tcPr>
            <w:tcW w:w="960" w:type="dxa"/>
            <w:tcBorders>
              <w:top w:val="single" w:sz="4" w:space="0" w:color="231F20"/>
            </w:tcBorders>
          </w:tcPr>
          <w:p>
            <w:pPr>
              <w:pStyle w:val="TableParagraph"/>
              <w:tabs>
                <w:tab w:pos="584" w:val="left" w:leader="none"/>
              </w:tabs>
              <w:spacing w:before="19"/>
              <w:rPr>
                <w:sz w:val="18"/>
              </w:rPr>
            </w:pPr>
            <w:r>
              <w:rPr>
                <w:color w:val="231F20"/>
                <w:sz w:val="18"/>
              </w:rPr>
              <w:t>$</w:t>
              <w:tab/>
              <w:t>3.52</w:t>
            </w:r>
          </w:p>
        </w:tc>
        <w:tc>
          <w:tcPr>
            <w:tcW w:w="200" w:type="dxa"/>
          </w:tcPr>
          <w:p>
            <w:pPr/>
          </w:p>
        </w:tc>
        <w:tc>
          <w:tcPr>
            <w:tcW w:w="960" w:type="dxa"/>
            <w:tcBorders>
              <w:top w:val="single" w:sz="4" w:space="0" w:color="231F20"/>
            </w:tcBorders>
          </w:tcPr>
          <w:p>
            <w:pPr>
              <w:pStyle w:val="TableParagraph"/>
              <w:tabs>
                <w:tab w:pos="584" w:val="left" w:leader="none"/>
              </w:tabs>
              <w:spacing w:before="19"/>
              <w:rPr>
                <w:sz w:val="18"/>
              </w:rPr>
            </w:pPr>
            <w:r>
              <w:rPr>
                <w:color w:val="231F20"/>
                <w:sz w:val="18"/>
              </w:rPr>
              <w:t>$</w:t>
              <w:tab/>
              <w:t>2.01</w:t>
            </w:r>
          </w:p>
        </w:tc>
        <w:tc>
          <w:tcPr>
            <w:tcW w:w="1160" w:type="dxa"/>
          </w:tcPr>
          <w:p>
            <w:pPr>
              <w:pStyle w:val="TableParagraph"/>
              <w:spacing w:before="39"/>
              <w:jc w:val="right"/>
              <w:rPr>
                <w:sz w:val="18"/>
              </w:rPr>
            </w:pPr>
            <w:r>
              <w:rPr>
                <w:color w:val="231F20"/>
                <w:sz w:val="18"/>
              </w:rPr>
              <w:t>75.1%</w:t>
            </w:r>
          </w:p>
        </w:tc>
      </w:tr>
      <w:tr>
        <w:trPr>
          <w:trHeight w:val="259" w:hRule="exact"/>
        </w:trPr>
        <w:tc>
          <w:tcPr>
            <w:tcW w:w="5840" w:type="dxa"/>
            <w:shd w:val="clear" w:color="auto" w:fill="D1D3D4"/>
          </w:tcPr>
          <w:p>
            <w:pPr/>
          </w:p>
        </w:tc>
        <w:tc>
          <w:tcPr>
            <w:tcW w:w="960" w:type="dxa"/>
            <w:shd w:val="clear" w:color="auto" w:fill="D1D3D4"/>
          </w:tcPr>
          <w:p>
            <w:pPr/>
          </w:p>
        </w:tc>
        <w:tc>
          <w:tcPr>
            <w:tcW w:w="200" w:type="dxa"/>
            <w:shd w:val="clear" w:color="auto" w:fill="D1D3D4"/>
          </w:tcPr>
          <w:p>
            <w:pPr/>
          </w:p>
        </w:tc>
        <w:tc>
          <w:tcPr>
            <w:tcW w:w="960" w:type="dxa"/>
            <w:shd w:val="clear" w:color="auto" w:fill="D1D3D4"/>
          </w:tcPr>
          <w:p>
            <w:pPr/>
          </w:p>
        </w:tc>
        <w:tc>
          <w:tcPr>
            <w:tcW w:w="1160" w:type="dxa"/>
            <w:shd w:val="clear" w:color="auto" w:fill="D1D3D4"/>
          </w:tcPr>
          <w:p>
            <w:pPr/>
          </w:p>
        </w:tc>
      </w:tr>
      <w:tr>
        <w:trPr>
          <w:trHeight w:val="247" w:hRule="exact"/>
        </w:trPr>
        <w:tc>
          <w:tcPr>
            <w:tcW w:w="5840" w:type="dxa"/>
          </w:tcPr>
          <w:p>
            <w:pPr>
              <w:pStyle w:val="TableParagraph"/>
              <w:spacing w:before="19"/>
              <w:ind w:left="60"/>
              <w:rPr>
                <w:b/>
                <w:sz w:val="18"/>
              </w:rPr>
            </w:pPr>
            <w:r>
              <w:rPr>
                <w:b/>
                <w:color w:val="231F20"/>
                <w:sz w:val="18"/>
              </w:rPr>
              <w:t>Operating expenses per ASM (cents)</w:t>
            </w:r>
          </w:p>
        </w:tc>
        <w:tc>
          <w:tcPr>
            <w:tcW w:w="960" w:type="dxa"/>
          </w:tcPr>
          <w:p>
            <w:pPr>
              <w:pStyle w:val="TableParagraph"/>
              <w:spacing w:before="19"/>
              <w:jc w:val="right"/>
              <w:rPr>
                <w:sz w:val="18"/>
              </w:rPr>
            </w:pPr>
            <w:r>
              <w:rPr>
                <w:color w:val="231F20"/>
                <w:sz w:val="18"/>
              </w:rPr>
              <w:t>11.18¢</w:t>
            </w:r>
          </w:p>
        </w:tc>
        <w:tc>
          <w:tcPr>
            <w:tcW w:w="200" w:type="dxa"/>
          </w:tcPr>
          <w:p>
            <w:pPr/>
          </w:p>
        </w:tc>
        <w:tc>
          <w:tcPr>
            <w:tcW w:w="960" w:type="dxa"/>
          </w:tcPr>
          <w:p>
            <w:pPr>
              <w:pStyle w:val="TableParagraph"/>
              <w:spacing w:before="19"/>
              <w:jc w:val="right"/>
              <w:rPr>
                <w:sz w:val="18"/>
              </w:rPr>
            </w:pPr>
            <w:r>
              <w:rPr>
                <w:color w:val="231F20"/>
                <w:sz w:val="18"/>
              </w:rPr>
              <w:t>12.50¢</w:t>
            </w:r>
          </w:p>
        </w:tc>
        <w:tc>
          <w:tcPr>
            <w:tcW w:w="1160" w:type="dxa"/>
          </w:tcPr>
          <w:p>
            <w:pPr/>
          </w:p>
        </w:tc>
      </w:tr>
      <w:tr>
        <w:trPr>
          <w:trHeight w:val="264" w:hRule="exact"/>
        </w:trPr>
        <w:tc>
          <w:tcPr>
            <w:tcW w:w="5840" w:type="dxa"/>
            <w:shd w:val="clear" w:color="auto" w:fill="D1D3D4"/>
          </w:tcPr>
          <w:p>
            <w:pPr>
              <w:pStyle w:val="TableParagraph"/>
              <w:spacing w:before="17"/>
              <w:ind w:left="60"/>
              <w:rPr>
                <w:sz w:val="20"/>
              </w:rPr>
            </w:pPr>
            <w:r>
              <w:rPr>
                <w:color w:val="231F20"/>
                <w:sz w:val="20"/>
              </w:rPr>
              <w:t>Deduct: Fuel expense divided by ASMs</w:t>
            </w:r>
          </w:p>
        </w:tc>
        <w:tc>
          <w:tcPr>
            <w:tcW w:w="960" w:type="dxa"/>
            <w:shd w:val="clear" w:color="auto" w:fill="D1D3D4"/>
          </w:tcPr>
          <w:p>
            <w:pPr>
              <w:pStyle w:val="TableParagraph"/>
              <w:spacing w:before="17"/>
              <w:jc w:val="right"/>
              <w:rPr>
                <w:sz w:val="20"/>
              </w:rPr>
            </w:pPr>
            <w:r>
              <w:rPr>
                <w:color w:val="231F20"/>
                <w:sz w:val="20"/>
              </w:rPr>
              <w:t>(2.57)</w:t>
            </w:r>
          </w:p>
        </w:tc>
        <w:tc>
          <w:tcPr>
            <w:tcW w:w="200" w:type="dxa"/>
            <w:shd w:val="clear" w:color="auto" w:fill="D1D3D4"/>
          </w:tcPr>
          <w:p>
            <w:pPr/>
          </w:p>
        </w:tc>
        <w:tc>
          <w:tcPr>
            <w:tcW w:w="960" w:type="dxa"/>
            <w:shd w:val="clear" w:color="auto" w:fill="D1D3D4"/>
          </w:tcPr>
          <w:p>
            <w:pPr>
              <w:pStyle w:val="TableParagraph"/>
              <w:spacing w:before="17"/>
              <w:jc w:val="right"/>
              <w:rPr>
                <w:sz w:val="20"/>
              </w:rPr>
            </w:pPr>
            <w:r>
              <w:rPr>
                <w:color w:val="231F20"/>
                <w:sz w:val="20"/>
              </w:rPr>
              <w:t>(4.04)</w:t>
            </w:r>
          </w:p>
        </w:tc>
        <w:tc>
          <w:tcPr>
            <w:tcW w:w="1160" w:type="dxa"/>
            <w:shd w:val="clear" w:color="auto" w:fill="D1D3D4"/>
          </w:tcPr>
          <w:p>
            <w:pPr/>
          </w:p>
        </w:tc>
      </w:tr>
      <w:tr>
        <w:trPr>
          <w:trHeight w:val="279" w:hRule="exact"/>
        </w:trPr>
        <w:tc>
          <w:tcPr>
            <w:tcW w:w="5840" w:type="dxa"/>
          </w:tcPr>
          <w:p>
            <w:pPr>
              <w:pStyle w:val="TableParagraph"/>
              <w:spacing w:before="17"/>
              <w:ind w:left="60"/>
              <w:rPr>
                <w:sz w:val="20"/>
              </w:rPr>
            </w:pPr>
            <w:r>
              <w:rPr>
                <w:color w:val="231F20"/>
                <w:sz w:val="20"/>
              </w:rPr>
              <w:t>Deduct: Impact of special items</w:t>
            </w:r>
          </w:p>
        </w:tc>
        <w:tc>
          <w:tcPr>
            <w:tcW w:w="960" w:type="dxa"/>
            <w:tcBorders>
              <w:bottom w:val="single" w:sz="4" w:space="0" w:color="231F20"/>
            </w:tcBorders>
          </w:tcPr>
          <w:p>
            <w:pPr>
              <w:pStyle w:val="TableParagraph"/>
              <w:spacing w:before="17"/>
              <w:jc w:val="right"/>
              <w:rPr>
                <w:sz w:val="20"/>
              </w:rPr>
            </w:pPr>
            <w:r>
              <w:rPr>
                <w:color w:val="231F20"/>
                <w:sz w:val="20"/>
              </w:rPr>
              <w:t>(0.24)</w:t>
            </w:r>
          </w:p>
        </w:tc>
        <w:tc>
          <w:tcPr>
            <w:tcW w:w="200" w:type="dxa"/>
          </w:tcPr>
          <w:p>
            <w:pPr/>
          </w:p>
        </w:tc>
        <w:tc>
          <w:tcPr>
            <w:tcW w:w="960" w:type="dxa"/>
            <w:tcBorders>
              <w:bottom w:val="single" w:sz="4" w:space="0" w:color="231F20"/>
            </w:tcBorders>
          </w:tcPr>
          <w:p>
            <w:pPr>
              <w:pStyle w:val="TableParagraph"/>
              <w:spacing w:before="17"/>
              <w:jc w:val="right"/>
              <w:rPr>
                <w:sz w:val="20"/>
              </w:rPr>
            </w:pPr>
            <w:r>
              <w:rPr>
                <w:color w:val="231F20"/>
                <w:sz w:val="20"/>
              </w:rPr>
              <w:t>(0.10)</w:t>
            </w:r>
          </w:p>
        </w:tc>
        <w:tc>
          <w:tcPr>
            <w:tcW w:w="1160" w:type="dxa"/>
          </w:tcPr>
          <w:p>
            <w:pPr/>
          </w:p>
        </w:tc>
      </w:tr>
      <w:tr>
        <w:trPr>
          <w:trHeight w:val="494" w:hRule="exact"/>
        </w:trPr>
        <w:tc>
          <w:tcPr>
            <w:tcW w:w="5840" w:type="dxa"/>
            <w:shd w:val="clear" w:color="auto" w:fill="D1D3D4"/>
          </w:tcPr>
          <w:p>
            <w:pPr>
              <w:pStyle w:val="TableParagraph"/>
              <w:spacing w:line="188" w:lineRule="exact" w:before="36"/>
              <w:ind w:left="240" w:right="489" w:hanging="180"/>
              <w:rPr>
                <w:b/>
                <w:sz w:val="18"/>
              </w:rPr>
            </w:pPr>
            <w:r>
              <w:rPr>
                <w:b/>
                <w:color w:val="231F20"/>
                <w:sz w:val="18"/>
              </w:rPr>
              <w:t>Operating expenses per ASM, non-GAAP, excluding fuel and special items (cents)</w:t>
            </w:r>
          </w:p>
        </w:tc>
        <w:tc>
          <w:tcPr>
            <w:tcW w:w="960" w:type="dxa"/>
            <w:tcBorders>
              <w:top w:val="single" w:sz="4" w:space="0" w:color="231F20"/>
              <w:bottom w:val="single" w:sz="4" w:space="0" w:color="231F20"/>
            </w:tcBorders>
            <w:shd w:val="clear" w:color="auto" w:fill="D1D3D4"/>
          </w:tcPr>
          <w:p>
            <w:pPr>
              <w:pStyle w:val="TableParagraph"/>
              <w:spacing w:before="10"/>
              <w:rPr>
                <w:sz w:val="17"/>
              </w:rPr>
            </w:pPr>
          </w:p>
          <w:p>
            <w:pPr>
              <w:pStyle w:val="TableParagraph"/>
              <w:spacing w:before="0"/>
              <w:jc w:val="right"/>
              <w:rPr>
                <w:sz w:val="18"/>
              </w:rPr>
            </w:pPr>
            <w:r>
              <w:rPr>
                <w:color w:val="231F20"/>
                <w:sz w:val="18"/>
              </w:rPr>
              <w:t>8.37¢</w:t>
            </w:r>
          </w:p>
        </w:tc>
        <w:tc>
          <w:tcPr>
            <w:tcW w:w="2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spacing w:before="10"/>
              <w:rPr>
                <w:sz w:val="17"/>
              </w:rPr>
            </w:pPr>
          </w:p>
          <w:p>
            <w:pPr>
              <w:pStyle w:val="TableParagraph"/>
              <w:spacing w:before="0"/>
              <w:jc w:val="right"/>
              <w:rPr>
                <w:sz w:val="18"/>
              </w:rPr>
            </w:pPr>
            <w:r>
              <w:rPr>
                <w:color w:val="231F20"/>
                <w:sz w:val="18"/>
              </w:rPr>
              <w:t>8.36¢</w:t>
            </w:r>
          </w:p>
        </w:tc>
        <w:tc>
          <w:tcPr>
            <w:tcW w:w="1160" w:type="dxa"/>
            <w:shd w:val="clear" w:color="auto" w:fill="D1D3D4"/>
          </w:tcPr>
          <w:p>
            <w:pPr>
              <w:pStyle w:val="TableParagraph"/>
              <w:spacing w:before="10"/>
              <w:rPr>
                <w:sz w:val="17"/>
              </w:rPr>
            </w:pPr>
          </w:p>
          <w:p>
            <w:pPr>
              <w:pStyle w:val="TableParagraph"/>
              <w:spacing w:before="0"/>
              <w:jc w:val="right"/>
              <w:rPr>
                <w:sz w:val="18"/>
              </w:rPr>
            </w:pPr>
            <w:r>
              <w:rPr>
                <w:color w:val="231F20"/>
                <w:sz w:val="18"/>
              </w:rPr>
              <w:t>0.1%</w:t>
            </w:r>
          </w:p>
        </w:tc>
      </w:tr>
    </w:tbl>
    <w:p>
      <w:pPr>
        <w:spacing w:before="47"/>
        <w:ind w:left="100" w:right="0" w:firstLine="0"/>
        <w:jc w:val="left"/>
        <w:rPr>
          <w:sz w:val="18"/>
        </w:rPr>
      </w:pPr>
      <w:r>
        <w:rPr/>
        <w:pict>
          <v:line style="position:absolute;mso-position-horizontal-relative:page;mso-position-vertical-relative:paragraph;z-index:-393088" from="361pt,-2.497632pt" to="409pt,-2.497632pt" stroked="true" strokeweight=".5pt" strokecolor="#231f20">
            <v:stroke dashstyle="solid"/>
            <w10:wrap type="none"/>
          </v:line>
        </w:pict>
      </w:r>
      <w:r>
        <w:rPr/>
        <w:pict>
          <v:line style="position:absolute;mso-position-horizontal-relative:page;mso-position-vertical-relative:paragraph;z-index:-393064" from="419pt,-2.497632pt" to="467pt,-2.497632pt" stroked="true" strokeweight=".5pt" strokecolor="#231f20">
            <v:stroke dashstyle="solid"/>
            <w10:wrap type="none"/>
          </v:line>
        </w:pict>
      </w:r>
      <w:r>
        <w:rPr>
          <w:color w:val="231F20"/>
          <w:sz w:val="18"/>
        </w:rPr>
        <w:t>*  As a result of prior hedge ineffectiveness and/or contracts marked to market through earnings.</w:t>
      </w:r>
    </w:p>
    <w:p>
      <w:pPr>
        <w:pStyle w:val="ListParagraph"/>
        <w:numPr>
          <w:ilvl w:val="2"/>
          <w:numId w:val="6"/>
        </w:numPr>
        <w:tabs>
          <w:tab w:pos="345" w:val="left" w:leader="none"/>
        </w:tabs>
        <w:spacing w:line="240" w:lineRule="auto" w:before="13" w:after="0"/>
        <w:ind w:left="345" w:right="0" w:hanging="245"/>
        <w:jc w:val="left"/>
        <w:rPr>
          <w:sz w:val="18"/>
        </w:rPr>
      </w:pPr>
      <w:r>
        <w:rPr>
          <w:color w:val="231F20"/>
          <w:sz w:val="18"/>
        </w:rPr>
        <w:t>Amounts net of</w:t>
      </w:r>
      <w:r>
        <w:rPr>
          <w:color w:val="231F20"/>
          <w:spacing w:val="-1"/>
          <w:sz w:val="18"/>
        </w:rPr>
        <w:t> </w:t>
      </w:r>
      <w:r>
        <w:rPr>
          <w:color w:val="231F20"/>
          <w:sz w:val="18"/>
        </w:rPr>
        <w:t>tax.</w:t>
      </w:r>
    </w:p>
    <w:p>
      <w:pPr>
        <w:pStyle w:val="BodyText"/>
        <w:rPr>
          <w:sz w:val="20"/>
        </w:rPr>
      </w:pPr>
    </w:p>
    <w:p>
      <w:pPr>
        <w:pStyle w:val="Heading1"/>
        <w:spacing w:before="145"/>
        <w:jc w:val="left"/>
      </w:pPr>
      <w:r>
        <w:rPr>
          <w:color w:val="231F20"/>
        </w:rPr>
        <w:t>Return on Invested Capital (ROIC) (in millions) (unaudited)</w:t>
      </w:r>
    </w:p>
    <w:p>
      <w:pPr>
        <w:pStyle w:val="BodyText"/>
        <w:spacing w:before="10"/>
        <w:rPr>
          <w:b/>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9"/>
        <w:gridCol w:w="1717"/>
        <w:gridCol w:w="200"/>
        <w:gridCol w:w="1617"/>
        <w:gridCol w:w="200"/>
        <w:gridCol w:w="1617"/>
      </w:tblGrid>
      <w:tr>
        <w:trPr>
          <w:trHeight w:val="215" w:hRule="exact"/>
        </w:trPr>
        <w:tc>
          <w:tcPr>
            <w:tcW w:w="3769" w:type="dxa"/>
            <w:vMerge w:val="restart"/>
          </w:tcPr>
          <w:p>
            <w:pPr/>
          </w:p>
        </w:tc>
        <w:tc>
          <w:tcPr>
            <w:tcW w:w="1717" w:type="dxa"/>
          </w:tcPr>
          <w:p>
            <w:pPr>
              <w:pStyle w:val="TableParagraph"/>
              <w:spacing w:line="229" w:lineRule="exact" w:before="0"/>
              <w:ind w:left="34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r>
      <w:tr>
        <w:trPr>
          <w:trHeight w:val="241" w:hRule="exact"/>
        </w:trPr>
        <w:tc>
          <w:tcPr>
            <w:tcW w:w="3769" w:type="dxa"/>
            <w:vMerge/>
          </w:tcPr>
          <w:p>
            <w:pPr/>
          </w:p>
        </w:tc>
        <w:tc>
          <w:tcPr>
            <w:tcW w:w="1717" w:type="dxa"/>
            <w:tcBorders>
              <w:bottom w:val="single" w:sz="8" w:space="0" w:color="231F20"/>
            </w:tcBorders>
          </w:tcPr>
          <w:p>
            <w:pPr>
              <w:pStyle w:val="TableParagraph"/>
              <w:spacing w:line="214" w:lineRule="exact" w:before="0"/>
              <w:jc w:val="right"/>
              <w:rPr>
                <w:b/>
                <w:sz w:val="20"/>
              </w:rPr>
            </w:pPr>
            <w:r>
              <w:rPr>
                <w:b/>
                <w:color w:val="231F20"/>
                <w:sz w:val="20"/>
              </w:rPr>
              <w:t>December 31, 2015</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2014</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2013</w:t>
            </w:r>
          </w:p>
        </w:tc>
      </w:tr>
      <w:tr>
        <w:trPr>
          <w:trHeight w:val="370" w:hRule="exact"/>
        </w:trPr>
        <w:tc>
          <w:tcPr>
            <w:tcW w:w="3769" w:type="dxa"/>
          </w:tcPr>
          <w:p>
            <w:pPr>
              <w:pStyle w:val="TableParagraph"/>
              <w:spacing w:before="123"/>
              <w:ind w:left="40"/>
              <w:rPr>
                <w:b/>
                <w:sz w:val="20"/>
              </w:rPr>
            </w:pPr>
            <w:r>
              <w:rPr>
                <w:b/>
                <w:color w:val="231F20"/>
                <w:sz w:val="20"/>
              </w:rPr>
              <w:t>Operating Income, as reported</w:t>
            </w:r>
          </w:p>
        </w:tc>
        <w:tc>
          <w:tcPr>
            <w:tcW w:w="1717" w:type="dxa"/>
            <w:tcBorders>
              <w:top w:val="single" w:sz="8" w:space="0" w:color="231F20"/>
            </w:tcBorders>
          </w:tcPr>
          <w:p>
            <w:pPr>
              <w:pStyle w:val="TableParagraph"/>
              <w:tabs>
                <w:tab w:pos="1116" w:val="left" w:leader="none"/>
              </w:tabs>
              <w:spacing w:before="113"/>
              <w:rPr>
                <w:sz w:val="20"/>
              </w:rPr>
            </w:pPr>
            <w:r>
              <w:rPr>
                <w:color w:val="231F20"/>
                <w:sz w:val="20"/>
              </w:rPr>
              <w:t>$</w:t>
              <w:tab/>
              <w:t>4,116</w:t>
            </w:r>
          </w:p>
        </w:tc>
        <w:tc>
          <w:tcPr>
            <w:tcW w:w="200" w:type="dxa"/>
          </w:tcPr>
          <w:p>
            <w:pPr/>
          </w:p>
        </w:tc>
        <w:tc>
          <w:tcPr>
            <w:tcW w:w="1617" w:type="dxa"/>
            <w:tcBorders>
              <w:top w:val="single" w:sz="8" w:space="0" w:color="231F20"/>
            </w:tcBorders>
          </w:tcPr>
          <w:p>
            <w:pPr>
              <w:pStyle w:val="TableParagraph"/>
              <w:tabs>
                <w:tab w:pos="1016" w:val="left" w:leader="none"/>
              </w:tabs>
              <w:spacing w:before="113"/>
              <w:rPr>
                <w:sz w:val="20"/>
              </w:rPr>
            </w:pPr>
            <w:r>
              <w:rPr>
                <w:color w:val="231F20"/>
                <w:sz w:val="20"/>
              </w:rPr>
              <w:t>$</w:t>
              <w:tab/>
              <w:t>2,225</w:t>
            </w:r>
          </w:p>
        </w:tc>
        <w:tc>
          <w:tcPr>
            <w:tcW w:w="200" w:type="dxa"/>
          </w:tcPr>
          <w:p>
            <w:pPr/>
          </w:p>
        </w:tc>
        <w:tc>
          <w:tcPr>
            <w:tcW w:w="1617" w:type="dxa"/>
            <w:tcBorders>
              <w:top w:val="single" w:sz="8" w:space="0" w:color="231F20"/>
            </w:tcBorders>
          </w:tcPr>
          <w:p>
            <w:pPr>
              <w:pStyle w:val="TableParagraph"/>
              <w:tabs>
                <w:tab w:pos="1016" w:val="left" w:leader="none"/>
              </w:tabs>
              <w:spacing w:before="113"/>
              <w:rPr>
                <w:sz w:val="20"/>
              </w:rPr>
            </w:pPr>
            <w:r>
              <w:rPr>
                <w:color w:val="231F20"/>
                <w:sz w:val="20"/>
              </w:rPr>
              <w:t>$</w:t>
              <w:tab/>
              <w:t>1,278</w:t>
            </w:r>
          </w:p>
        </w:tc>
      </w:tr>
      <w:tr>
        <w:trPr>
          <w:trHeight w:val="300" w:hRule="exact"/>
        </w:trPr>
        <w:tc>
          <w:tcPr>
            <w:tcW w:w="3769" w:type="dxa"/>
            <w:shd w:val="clear" w:color="auto" w:fill="D1D3D4"/>
          </w:tcPr>
          <w:p>
            <w:pPr>
              <w:pStyle w:val="TableParagraph"/>
              <w:ind w:left="40"/>
              <w:rPr>
                <w:sz w:val="20"/>
              </w:rPr>
            </w:pPr>
            <w:r>
              <w:rPr>
                <w:color w:val="231F20"/>
                <w:sz w:val="20"/>
              </w:rPr>
              <w:t>Deduct: Special revenue adjustment</w:t>
            </w:r>
          </w:p>
        </w:tc>
        <w:tc>
          <w:tcPr>
            <w:tcW w:w="1717" w:type="dxa"/>
            <w:shd w:val="clear" w:color="auto" w:fill="D1D3D4"/>
          </w:tcPr>
          <w:p>
            <w:pPr>
              <w:pStyle w:val="TableParagraph"/>
              <w:ind w:right="98"/>
              <w:jc w:val="right"/>
              <w:rPr>
                <w:sz w:val="20"/>
              </w:rPr>
            </w:pPr>
            <w:r>
              <w:rPr>
                <w:color w:val="231F20"/>
                <w:sz w:val="20"/>
              </w:rPr>
              <w:t>(172)</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w:t>
            </w:r>
          </w:p>
        </w:tc>
      </w:tr>
      <w:tr>
        <w:trPr>
          <w:trHeight w:val="300" w:hRule="exact"/>
        </w:trPr>
        <w:tc>
          <w:tcPr>
            <w:tcW w:w="3769" w:type="dxa"/>
          </w:tcPr>
          <w:p>
            <w:pPr>
              <w:pStyle w:val="TableParagraph"/>
              <w:ind w:left="40"/>
              <w:rPr>
                <w:sz w:val="20"/>
              </w:rPr>
            </w:pPr>
            <w:r>
              <w:rPr>
                <w:color w:val="231F20"/>
                <w:sz w:val="20"/>
              </w:rPr>
              <w:t>Add: Union contract bonuses</w:t>
            </w:r>
          </w:p>
        </w:tc>
        <w:tc>
          <w:tcPr>
            <w:tcW w:w="1717" w:type="dxa"/>
          </w:tcPr>
          <w:p>
            <w:pPr>
              <w:pStyle w:val="TableParagraph"/>
              <w:ind w:right="148"/>
              <w:jc w:val="right"/>
              <w:rPr>
                <w:sz w:val="20"/>
              </w:rPr>
            </w:pPr>
            <w:r>
              <w:rPr>
                <w:color w:val="231F20"/>
                <w:sz w:val="20"/>
              </w:rPr>
              <w:t>334</w:t>
            </w:r>
          </w:p>
        </w:tc>
        <w:tc>
          <w:tcPr>
            <w:tcW w:w="200" w:type="dxa"/>
          </w:tcPr>
          <w:p>
            <w:pPr/>
          </w:p>
        </w:tc>
        <w:tc>
          <w:tcPr>
            <w:tcW w:w="1617" w:type="dxa"/>
          </w:tcPr>
          <w:p>
            <w:pPr>
              <w:pStyle w:val="TableParagraph"/>
              <w:ind w:right="148"/>
              <w:jc w:val="right"/>
              <w:rPr>
                <w:sz w:val="20"/>
              </w:rPr>
            </w:pPr>
            <w:r>
              <w:rPr>
                <w:color w:val="231F20"/>
                <w:sz w:val="20"/>
              </w:rPr>
              <w:t>9</w:t>
            </w:r>
          </w:p>
        </w:tc>
        <w:tc>
          <w:tcPr>
            <w:tcW w:w="200" w:type="dxa"/>
          </w:tcPr>
          <w:p>
            <w:pPr/>
          </w:p>
        </w:tc>
        <w:tc>
          <w:tcPr>
            <w:tcW w:w="1617" w:type="dxa"/>
          </w:tcPr>
          <w:p>
            <w:pPr>
              <w:pStyle w:val="TableParagraph"/>
              <w:ind w:right="148"/>
              <w:jc w:val="right"/>
              <w:rPr>
                <w:sz w:val="20"/>
              </w:rPr>
            </w:pPr>
            <w:r>
              <w:rPr>
                <w:color w:val="231F20"/>
                <w:sz w:val="20"/>
              </w:rPr>
              <w:t>—</w:t>
            </w:r>
          </w:p>
        </w:tc>
      </w:tr>
      <w:tr>
        <w:trPr>
          <w:trHeight w:val="540" w:hRule="exact"/>
        </w:trPr>
        <w:tc>
          <w:tcPr>
            <w:tcW w:w="3769" w:type="dxa"/>
            <w:shd w:val="clear" w:color="auto" w:fill="D1D3D4"/>
          </w:tcPr>
          <w:p>
            <w:pPr>
              <w:pStyle w:val="TableParagraph"/>
              <w:spacing w:line="249" w:lineRule="auto"/>
              <w:ind w:left="240" w:right="815" w:hanging="200"/>
              <w:rPr>
                <w:sz w:val="20"/>
              </w:rPr>
            </w:pPr>
            <w:r>
              <w:rPr>
                <w:color w:val="231F20"/>
                <w:sz w:val="20"/>
              </w:rPr>
              <w:t>Add (Deduct): Net impact from fuel contracts</w:t>
            </w:r>
          </w:p>
        </w:tc>
        <w:tc>
          <w:tcPr>
            <w:tcW w:w="1717" w:type="dxa"/>
            <w:shd w:val="clear" w:color="auto" w:fill="D1D3D4"/>
          </w:tcPr>
          <w:p>
            <w:pPr>
              <w:pStyle w:val="TableParagraph"/>
              <w:spacing w:before="5"/>
              <w:rPr>
                <w:b/>
                <w:sz w:val="25"/>
              </w:rPr>
            </w:pPr>
          </w:p>
          <w:p>
            <w:pPr>
              <w:pStyle w:val="TableParagraph"/>
              <w:spacing w:before="1"/>
              <w:ind w:right="98"/>
              <w:jc w:val="right"/>
              <w:rPr>
                <w:sz w:val="20"/>
              </w:rPr>
            </w:pPr>
            <w:r>
              <w:rPr>
                <w:color w:val="231F20"/>
                <w:sz w:val="20"/>
              </w:rPr>
              <w:t>(323)</w:t>
            </w:r>
          </w:p>
        </w:tc>
        <w:tc>
          <w:tcPr>
            <w:tcW w:w="200" w:type="dxa"/>
            <w:shd w:val="clear" w:color="auto" w:fill="D1D3D4"/>
          </w:tcPr>
          <w:p>
            <w:pPr/>
          </w:p>
        </w:tc>
        <w:tc>
          <w:tcPr>
            <w:tcW w:w="1617" w:type="dxa"/>
            <w:shd w:val="clear" w:color="auto" w:fill="D1D3D4"/>
          </w:tcPr>
          <w:p>
            <w:pPr>
              <w:pStyle w:val="TableParagraph"/>
              <w:spacing w:before="5"/>
              <w:rPr>
                <w:b/>
                <w:sz w:val="25"/>
              </w:rPr>
            </w:pPr>
          </w:p>
          <w:p>
            <w:pPr>
              <w:pStyle w:val="TableParagraph"/>
              <w:spacing w:before="1"/>
              <w:ind w:right="148"/>
              <w:jc w:val="right"/>
              <w:rPr>
                <w:sz w:val="20"/>
              </w:rPr>
            </w:pPr>
            <w:r>
              <w:rPr>
                <w:color w:val="231F20"/>
                <w:sz w:val="20"/>
              </w:rPr>
              <w:t>28</w:t>
            </w:r>
          </w:p>
        </w:tc>
        <w:tc>
          <w:tcPr>
            <w:tcW w:w="200" w:type="dxa"/>
            <w:shd w:val="clear" w:color="auto" w:fill="D1D3D4"/>
          </w:tcPr>
          <w:p>
            <w:pPr/>
          </w:p>
        </w:tc>
        <w:tc>
          <w:tcPr>
            <w:tcW w:w="1617" w:type="dxa"/>
            <w:shd w:val="clear" w:color="auto" w:fill="D1D3D4"/>
          </w:tcPr>
          <w:p>
            <w:pPr>
              <w:pStyle w:val="TableParagraph"/>
              <w:spacing w:before="5"/>
              <w:rPr>
                <w:b/>
                <w:sz w:val="25"/>
              </w:rPr>
            </w:pPr>
          </w:p>
          <w:p>
            <w:pPr>
              <w:pStyle w:val="TableParagraph"/>
              <w:spacing w:before="1"/>
              <w:ind w:right="148"/>
              <w:jc w:val="right"/>
              <w:rPr>
                <w:sz w:val="20"/>
              </w:rPr>
            </w:pPr>
            <w:r>
              <w:rPr>
                <w:color w:val="231F20"/>
                <w:sz w:val="20"/>
              </w:rPr>
              <w:t>84</w:t>
            </w:r>
          </w:p>
        </w:tc>
      </w:tr>
      <w:tr>
        <w:trPr>
          <w:trHeight w:val="300" w:hRule="exact"/>
        </w:trPr>
        <w:tc>
          <w:tcPr>
            <w:tcW w:w="3769" w:type="dxa"/>
          </w:tcPr>
          <w:p>
            <w:pPr>
              <w:pStyle w:val="TableParagraph"/>
              <w:ind w:left="40"/>
              <w:rPr>
                <w:sz w:val="20"/>
              </w:rPr>
            </w:pPr>
            <w:r>
              <w:rPr>
                <w:color w:val="231F20"/>
                <w:sz w:val="20"/>
              </w:rPr>
              <w:t>Add: Acquisition and integration costs</w:t>
            </w:r>
          </w:p>
        </w:tc>
        <w:tc>
          <w:tcPr>
            <w:tcW w:w="1717" w:type="dxa"/>
          </w:tcPr>
          <w:p>
            <w:pPr>
              <w:pStyle w:val="TableParagraph"/>
              <w:ind w:right="147"/>
              <w:jc w:val="right"/>
              <w:rPr>
                <w:sz w:val="20"/>
              </w:rPr>
            </w:pPr>
            <w:r>
              <w:rPr>
                <w:color w:val="231F20"/>
                <w:sz w:val="20"/>
              </w:rPr>
              <w:t>39</w:t>
            </w:r>
          </w:p>
        </w:tc>
        <w:tc>
          <w:tcPr>
            <w:tcW w:w="200" w:type="dxa"/>
          </w:tcPr>
          <w:p>
            <w:pPr/>
          </w:p>
        </w:tc>
        <w:tc>
          <w:tcPr>
            <w:tcW w:w="1617" w:type="dxa"/>
          </w:tcPr>
          <w:p>
            <w:pPr>
              <w:pStyle w:val="TableParagraph"/>
              <w:ind w:right="147"/>
              <w:jc w:val="right"/>
              <w:rPr>
                <w:sz w:val="20"/>
              </w:rPr>
            </w:pPr>
            <w:r>
              <w:rPr>
                <w:color w:val="231F20"/>
                <w:sz w:val="20"/>
              </w:rPr>
              <w:t>126</w:t>
            </w:r>
          </w:p>
        </w:tc>
        <w:tc>
          <w:tcPr>
            <w:tcW w:w="200" w:type="dxa"/>
          </w:tcPr>
          <w:p>
            <w:pPr/>
          </w:p>
        </w:tc>
        <w:tc>
          <w:tcPr>
            <w:tcW w:w="1617" w:type="dxa"/>
          </w:tcPr>
          <w:p>
            <w:pPr>
              <w:pStyle w:val="TableParagraph"/>
              <w:ind w:right="147"/>
              <w:jc w:val="right"/>
              <w:rPr>
                <w:sz w:val="20"/>
              </w:rPr>
            </w:pPr>
            <w:r>
              <w:rPr>
                <w:color w:val="231F20"/>
                <w:sz w:val="20"/>
              </w:rPr>
              <w:t>86</w:t>
            </w:r>
          </w:p>
        </w:tc>
      </w:tr>
      <w:tr>
        <w:trPr>
          <w:trHeight w:val="375" w:hRule="exact"/>
        </w:trPr>
        <w:tc>
          <w:tcPr>
            <w:tcW w:w="3769" w:type="dxa"/>
            <w:shd w:val="clear" w:color="auto" w:fill="D1D3D4"/>
          </w:tcPr>
          <w:p>
            <w:pPr>
              <w:pStyle w:val="TableParagraph"/>
              <w:ind w:left="40"/>
              <w:rPr>
                <w:sz w:val="20"/>
              </w:rPr>
            </w:pPr>
            <w:r>
              <w:rPr>
                <w:color w:val="231F20"/>
                <w:sz w:val="20"/>
              </w:rPr>
              <w:t>Deduct: Litigation settlement</w:t>
            </w:r>
          </w:p>
        </w:tc>
        <w:tc>
          <w:tcPr>
            <w:tcW w:w="1717" w:type="dxa"/>
            <w:tcBorders>
              <w:bottom w:val="single" w:sz="4" w:space="0" w:color="231F20"/>
            </w:tcBorders>
            <w:shd w:val="clear" w:color="auto" w:fill="D1D3D4"/>
          </w:tcPr>
          <w:p>
            <w:pPr>
              <w:pStyle w:val="TableParagraph"/>
              <w:ind w:right="98"/>
              <w:jc w:val="right"/>
              <w:rPr>
                <w:sz w:val="20"/>
              </w:rPr>
            </w:pPr>
            <w:r>
              <w:rPr>
                <w:color w:val="231F20"/>
                <w:sz w:val="20"/>
              </w:rPr>
              <w:t>(37)</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ind w:right="147"/>
              <w:jc w:val="right"/>
              <w:rPr>
                <w:sz w:val="20"/>
              </w:rPr>
            </w:pPr>
            <w:r>
              <w:rPr>
                <w:color w:val="231F20"/>
                <w:sz w:val="20"/>
              </w:rPr>
              <w:t>—</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ind w:right="147"/>
              <w:jc w:val="right"/>
              <w:rPr>
                <w:sz w:val="20"/>
              </w:rPr>
            </w:pPr>
            <w:r>
              <w:rPr>
                <w:color w:val="231F20"/>
                <w:sz w:val="20"/>
              </w:rPr>
              <w:t>—</w:t>
            </w:r>
          </w:p>
        </w:tc>
      </w:tr>
      <w:tr>
        <w:trPr>
          <w:trHeight w:val="305" w:hRule="exact"/>
        </w:trPr>
        <w:tc>
          <w:tcPr>
            <w:tcW w:w="3769" w:type="dxa"/>
          </w:tcPr>
          <w:p>
            <w:pPr>
              <w:pStyle w:val="TableParagraph"/>
              <w:spacing w:before="133"/>
              <w:ind w:left="40"/>
              <w:rPr>
                <w:b/>
                <w:sz w:val="20"/>
              </w:rPr>
            </w:pPr>
            <w:r>
              <w:rPr>
                <w:b/>
                <w:color w:val="231F20"/>
                <w:sz w:val="20"/>
              </w:rPr>
              <w:t>Operating Income, non-GAAP</w:t>
            </w:r>
          </w:p>
        </w:tc>
        <w:tc>
          <w:tcPr>
            <w:tcW w:w="1717" w:type="dxa"/>
            <w:tcBorders>
              <w:top w:val="single" w:sz="4" w:space="0" w:color="231F20"/>
            </w:tcBorders>
          </w:tcPr>
          <w:p>
            <w:pPr>
              <w:pStyle w:val="TableParagraph"/>
              <w:ind w:left="1117"/>
              <w:rPr>
                <w:sz w:val="20"/>
              </w:rPr>
            </w:pPr>
            <w:r>
              <w:rPr>
                <w:color w:val="231F20"/>
                <w:sz w:val="20"/>
              </w:rPr>
              <w:t>3,957</w:t>
            </w:r>
          </w:p>
        </w:tc>
        <w:tc>
          <w:tcPr>
            <w:tcW w:w="200" w:type="dxa"/>
          </w:tcPr>
          <w:p>
            <w:pPr/>
          </w:p>
        </w:tc>
        <w:tc>
          <w:tcPr>
            <w:tcW w:w="1617" w:type="dxa"/>
            <w:tcBorders>
              <w:top w:val="single" w:sz="4" w:space="0" w:color="231F20"/>
            </w:tcBorders>
          </w:tcPr>
          <w:p>
            <w:pPr>
              <w:pStyle w:val="TableParagraph"/>
              <w:ind w:left="1017"/>
              <w:rPr>
                <w:sz w:val="20"/>
              </w:rPr>
            </w:pPr>
            <w:r>
              <w:rPr>
                <w:color w:val="231F20"/>
                <w:sz w:val="20"/>
              </w:rPr>
              <w:t>2,388</w:t>
            </w:r>
          </w:p>
        </w:tc>
        <w:tc>
          <w:tcPr>
            <w:tcW w:w="200" w:type="dxa"/>
          </w:tcPr>
          <w:p>
            <w:pPr/>
          </w:p>
        </w:tc>
        <w:tc>
          <w:tcPr>
            <w:tcW w:w="1617" w:type="dxa"/>
            <w:tcBorders>
              <w:top w:val="single" w:sz="4" w:space="0" w:color="231F20"/>
            </w:tcBorders>
          </w:tcPr>
          <w:p>
            <w:pPr>
              <w:pStyle w:val="TableParagraph"/>
              <w:ind w:left="1017"/>
              <w:rPr>
                <w:sz w:val="20"/>
              </w:rPr>
            </w:pPr>
            <w:r>
              <w:rPr>
                <w:color w:val="231F20"/>
                <w:sz w:val="20"/>
              </w:rPr>
              <w:t>1,448</w:t>
            </w:r>
          </w:p>
        </w:tc>
      </w:tr>
      <w:tr>
        <w:trPr>
          <w:trHeight w:val="300" w:hRule="exact"/>
        </w:trPr>
        <w:tc>
          <w:tcPr>
            <w:tcW w:w="3769" w:type="dxa"/>
            <w:shd w:val="clear" w:color="auto" w:fill="D1D3D4"/>
          </w:tcPr>
          <w:p>
            <w:pPr>
              <w:pStyle w:val="TableParagraph"/>
              <w:ind w:left="40"/>
              <w:rPr>
                <w:sz w:val="20"/>
              </w:rPr>
            </w:pPr>
            <w:r>
              <w:rPr>
                <w:color w:val="231F20"/>
                <w:sz w:val="20"/>
              </w:rPr>
              <w:t>Net adjustment for aircraft leases (1)</w:t>
            </w:r>
          </w:p>
        </w:tc>
        <w:tc>
          <w:tcPr>
            <w:tcW w:w="1717" w:type="dxa"/>
            <w:shd w:val="clear" w:color="auto" w:fill="D1D3D4"/>
          </w:tcPr>
          <w:p>
            <w:pPr>
              <w:pStyle w:val="TableParagraph"/>
              <w:ind w:right="149"/>
              <w:jc w:val="right"/>
              <w:rPr>
                <w:sz w:val="20"/>
              </w:rPr>
            </w:pPr>
            <w:r>
              <w:rPr>
                <w:color w:val="231F20"/>
                <w:sz w:val="20"/>
              </w:rPr>
              <w:t>114</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133</w:t>
            </w:r>
          </w:p>
        </w:tc>
        <w:tc>
          <w:tcPr>
            <w:tcW w:w="200" w:type="dxa"/>
            <w:shd w:val="clear" w:color="auto" w:fill="D1D3D4"/>
          </w:tcPr>
          <w:p>
            <w:pPr/>
          </w:p>
        </w:tc>
        <w:tc>
          <w:tcPr>
            <w:tcW w:w="1617" w:type="dxa"/>
            <w:shd w:val="clear" w:color="auto" w:fill="D1D3D4"/>
          </w:tcPr>
          <w:p>
            <w:pPr>
              <w:pStyle w:val="TableParagraph"/>
              <w:ind w:right="149"/>
              <w:jc w:val="right"/>
              <w:rPr>
                <w:sz w:val="20"/>
              </w:rPr>
            </w:pPr>
            <w:r>
              <w:rPr>
                <w:color w:val="231F20"/>
                <w:sz w:val="20"/>
              </w:rPr>
              <w:t>143</w:t>
            </w:r>
          </w:p>
        </w:tc>
      </w:tr>
      <w:tr>
        <w:trPr>
          <w:trHeight w:val="375" w:hRule="exact"/>
        </w:trPr>
        <w:tc>
          <w:tcPr>
            <w:tcW w:w="3769" w:type="dxa"/>
          </w:tcPr>
          <w:p>
            <w:pPr>
              <w:pStyle w:val="TableParagraph"/>
              <w:ind w:left="40"/>
              <w:rPr>
                <w:sz w:val="20"/>
              </w:rPr>
            </w:pPr>
            <w:r>
              <w:rPr>
                <w:color w:val="231F20"/>
                <w:sz w:val="20"/>
              </w:rPr>
              <w:t>Adjustment for fuel hedge accounting</w:t>
            </w:r>
          </w:p>
        </w:tc>
        <w:tc>
          <w:tcPr>
            <w:tcW w:w="1717" w:type="dxa"/>
            <w:tcBorders>
              <w:bottom w:val="single" w:sz="4" w:space="0" w:color="231F20"/>
            </w:tcBorders>
          </w:tcPr>
          <w:p>
            <w:pPr>
              <w:pStyle w:val="TableParagraph"/>
              <w:ind w:right="98"/>
              <w:jc w:val="right"/>
              <w:rPr>
                <w:sz w:val="20"/>
              </w:rPr>
            </w:pPr>
            <w:r>
              <w:rPr>
                <w:color w:val="231F20"/>
                <w:sz w:val="20"/>
              </w:rPr>
              <w:t>(124)</w:t>
            </w:r>
          </w:p>
        </w:tc>
        <w:tc>
          <w:tcPr>
            <w:tcW w:w="200" w:type="dxa"/>
          </w:tcPr>
          <w:p>
            <w:pPr/>
          </w:p>
        </w:tc>
        <w:tc>
          <w:tcPr>
            <w:tcW w:w="1617" w:type="dxa"/>
            <w:tcBorders>
              <w:bottom w:val="single" w:sz="4" w:space="0" w:color="231F20"/>
            </w:tcBorders>
          </w:tcPr>
          <w:p>
            <w:pPr>
              <w:pStyle w:val="TableParagraph"/>
              <w:ind w:right="98"/>
              <w:jc w:val="right"/>
              <w:rPr>
                <w:sz w:val="20"/>
              </w:rPr>
            </w:pPr>
            <w:r>
              <w:rPr>
                <w:color w:val="231F20"/>
                <w:sz w:val="20"/>
              </w:rPr>
              <w:t>(62)</w:t>
            </w:r>
          </w:p>
        </w:tc>
        <w:tc>
          <w:tcPr>
            <w:tcW w:w="200" w:type="dxa"/>
          </w:tcPr>
          <w:p>
            <w:pPr/>
          </w:p>
        </w:tc>
        <w:tc>
          <w:tcPr>
            <w:tcW w:w="1617" w:type="dxa"/>
            <w:tcBorders>
              <w:bottom w:val="single" w:sz="4" w:space="0" w:color="231F20"/>
            </w:tcBorders>
          </w:tcPr>
          <w:p>
            <w:pPr>
              <w:pStyle w:val="TableParagraph"/>
              <w:ind w:right="98"/>
              <w:jc w:val="right"/>
              <w:rPr>
                <w:sz w:val="20"/>
              </w:rPr>
            </w:pPr>
            <w:r>
              <w:rPr>
                <w:color w:val="231F20"/>
                <w:sz w:val="20"/>
              </w:rPr>
              <w:t>(60)</w:t>
            </w:r>
          </w:p>
        </w:tc>
      </w:tr>
      <w:tr>
        <w:trPr>
          <w:trHeight w:val="425" w:hRule="exact"/>
        </w:trPr>
        <w:tc>
          <w:tcPr>
            <w:tcW w:w="3769" w:type="dxa"/>
            <w:shd w:val="clear" w:color="auto" w:fill="D1D3D4"/>
          </w:tcPr>
          <w:p>
            <w:pPr>
              <w:pStyle w:val="TableParagraph"/>
              <w:spacing w:before="173"/>
              <w:ind w:left="40"/>
              <w:rPr>
                <w:b/>
                <w:sz w:val="20"/>
              </w:rPr>
            </w:pPr>
            <w:r>
              <w:rPr>
                <w:b/>
                <w:color w:val="231F20"/>
                <w:sz w:val="20"/>
              </w:rPr>
              <w:t>Adjusted Operating Income, non-GAAP</w:t>
            </w:r>
          </w:p>
        </w:tc>
        <w:tc>
          <w:tcPr>
            <w:tcW w:w="1717" w:type="dxa"/>
            <w:tcBorders>
              <w:top w:val="single" w:sz="4" w:space="0" w:color="231F20"/>
            </w:tcBorders>
            <w:shd w:val="clear" w:color="auto" w:fill="D1D3D4"/>
          </w:tcPr>
          <w:p>
            <w:pPr>
              <w:pStyle w:val="TableParagraph"/>
              <w:tabs>
                <w:tab w:pos="1116" w:val="left" w:leader="none"/>
              </w:tabs>
              <w:spacing w:before="173"/>
              <w:rPr>
                <w:sz w:val="20"/>
              </w:rPr>
            </w:pPr>
            <w:r>
              <w:rPr>
                <w:color w:val="231F20"/>
                <w:sz w:val="20"/>
              </w:rPr>
              <w:t>$</w:t>
              <w:tab/>
              <w:t>3,947</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73"/>
              <w:rPr>
                <w:sz w:val="20"/>
              </w:rPr>
            </w:pPr>
            <w:r>
              <w:rPr>
                <w:color w:val="231F20"/>
                <w:sz w:val="20"/>
              </w:rPr>
              <w:t>$</w:t>
              <w:tab/>
              <w:t>2,459</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73"/>
              <w:rPr>
                <w:sz w:val="20"/>
              </w:rPr>
            </w:pPr>
            <w:r>
              <w:rPr>
                <w:color w:val="231F20"/>
                <w:sz w:val="20"/>
              </w:rPr>
              <w:t>$</w:t>
              <w:tab/>
              <w:t>1,531</w:t>
            </w:r>
          </w:p>
        </w:tc>
      </w:tr>
      <w:tr>
        <w:trPr>
          <w:trHeight w:val="300"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300" w:hRule="exact"/>
        </w:trPr>
        <w:tc>
          <w:tcPr>
            <w:tcW w:w="3769" w:type="dxa"/>
            <w:shd w:val="clear" w:color="auto" w:fill="D1D3D4"/>
          </w:tcPr>
          <w:p>
            <w:pPr>
              <w:pStyle w:val="TableParagraph"/>
              <w:ind w:left="40"/>
              <w:rPr>
                <w:b/>
                <w:sz w:val="20"/>
              </w:rPr>
            </w:pPr>
            <w:r>
              <w:rPr>
                <w:b/>
                <w:color w:val="231F20"/>
                <w:sz w:val="20"/>
              </w:rPr>
              <w:t>Average invested capital (2)</w:t>
            </w:r>
          </w:p>
        </w:tc>
        <w:tc>
          <w:tcPr>
            <w:tcW w:w="1717" w:type="dxa"/>
            <w:shd w:val="clear" w:color="auto" w:fill="D1D3D4"/>
          </w:tcPr>
          <w:p>
            <w:pPr>
              <w:pStyle w:val="TableParagraph"/>
              <w:tabs>
                <w:tab w:pos="1016" w:val="left" w:leader="none"/>
              </w:tabs>
              <w:rPr>
                <w:sz w:val="20"/>
              </w:rPr>
            </w:pPr>
            <w:r>
              <w:rPr>
                <w:color w:val="231F20"/>
                <w:sz w:val="20"/>
              </w:rPr>
              <w:t>$</w:t>
              <w:tab/>
              <w:t>11,037</w:t>
            </w:r>
          </w:p>
        </w:tc>
        <w:tc>
          <w:tcPr>
            <w:tcW w:w="200" w:type="dxa"/>
            <w:shd w:val="clear" w:color="auto" w:fill="D1D3D4"/>
          </w:tcPr>
          <w:p>
            <w:pPr/>
          </w:p>
        </w:tc>
        <w:tc>
          <w:tcPr>
            <w:tcW w:w="1617" w:type="dxa"/>
            <w:shd w:val="clear" w:color="auto" w:fill="D1D3D4"/>
          </w:tcPr>
          <w:p>
            <w:pPr>
              <w:pStyle w:val="TableParagraph"/>
              <w:tabs>
                <w:tab w:pos="916" w:val="left" w:leader="none"/>
              </w:tabs>
              <w:rPr>
                <w:sz w:val="20"/>
              </w:rPr>
            </w:pPr>
            <w:r>
              <w:rPr>
                <w:color w:val="231F20"/>
                <w:sz w:val="20"/>
              </w:rPr>
              <w:t>$</w:t>
              <w:tab/>
              <w:t>11,470</w:t>
            </w:r>
          </w:p>
        </w:tc>
        <w:tc>
          <w:tcPr>
            <w:tcW w:w="200" w:type="dxa"/>
            <w:shd w:val="clear" w:color="auto" w:fill="D1D3D4"/>
          </w:tcPr>
          <w:p>
            <w:pPr/>
          </w:p>
        </w:tc>
        <w:tc>
          <w:tcPr>
            <w:tcW w:w="1617" w:type="dxa"/>
            <w:shd w:val="clear" w:color="auto" w:fill="D1D3D4"/>
          </w:tcPr>
          <w:p>
            <w:pPr>
              <w:pStyle w:val="TableParagraph"/>
              <w:tabs>
                <w:tab w:pos="916" w:val="left" w:leader="none"/>
              </w:tabs>
              <w:rPr>
                <w:sz w:val="20"/>
              </w:rPr>
            </w:pPr>
            <w:r>
              <w:rPr>
                <w:color w:val="231F20"/>
                <w:sz w:val="20"/>
              </w:rPr>
              <w:t>$</w:t>
              <w:tab/>
              <w:t>11,664</w:t>
            </w:r>
          </w:p>
        </w:tc>
      </w:tr>
      <w:tr>
        <w:trPr>
          <w:trHeight w:val="375" w:hRule="exact"/>
        </w:trPr>
        <w:tc>
          <w:tcPr>
            <w:tcW w:w="3769" w:type="dxa"/>
          </w:tcPr>
          <w:p>
            <w:pPr>
              <w:pStyle w:val="TableParagraph"/>
              <w:ind w:left="40"/>
              <w:rPr>
                <w:sz w:val="20"/>
              </w:rPr>
            </w:pPr>
            <w:r>
              <w:rPr>
                <w:color w:val="231F20"/>
                <w:sz w:val="20"/>
              </w:rPr>
              <w:t>Equity adjustment for hedge accounting</w:t>
            </w:r>
          </w:p>
        </w:tc>
        <w:tc>
          <w:tcPr>
            <w:tcW w:w="1717" w:type="dxa"/>
            <w:tcBorders>
              <w:bottom w:val="single" w:sz="4" w:space="0" w:color="231F20"/>
            </w:tcBorders>
          </w:tcPr>
          <w:p>
            <w:pPr>
              <w:pStyle w:val="TableParagraph"/>
              <w:ind w:left="1117"/>
              <w:rPr>
                <w:sz w:val="20"/>
              </w:rPr>
            </w:pPr>
            <w:r>
              <w:rPr>
                <w:color w:val="231F20"/>
                <w:sz w:val="20"/>
              </w:rPr>
              <w:t>1,027</w:t>
            </w:r>
          </w:p>
        </w:tc>
        <w:tc>
          <w:tcPr>
            <w:tcW w:w="200" w:type="dxa"/>
          </w:tcPr>
          <w:p>
            <w:pPr/>
          </w:p>
        </w:tc>
        <w:tc>
          <w:tcPr>
            <w:tcW w:w="1617" w:type="dxa"/>
            <w:tcBorders>
              <w:bottom w:val="single" w:sz="4" w:space="0" w:color="231F20"/>
            </w:tcBorders>
          </w:tcPr>
          <w:p>
            <w:pPr>
              <w:pStyle w:val="TableParagraph"/>
              <w:ind w:right="147"/>
              <w:jc w:val="right"/>
              <w:rPr>
                <w:sz w:val="20"/>
              </w:rPr>
            </w:pPr>
            <w:r>
              <w:rPr>
                <w:color w:val="231F20"/>
                <w:sz w:val="20"/>
              </w:rPr>
              <w:t>104</w:t>
            </w:r>
          </w:p>
        </w:tc>
        <w:tc>
          <w:tcPr>
            <w:tcW w:w="200" w:type="dxa"/>
          </w:tcPr>
          <w:p>
            <w:pPr/>
          </w:p>
        </w:tc>
        <w:tc>
          <w:tcPr>
            <w:tcW w:w="1617" w:type="dxa"/>
            <w:tcBorders>
              <w:bottom w:val="single" w:sz="4" w:space="0" w:color="231F20"/>
            </w:tcBorders>
          </w:tcPr>
          <w:p>
            <w:pPr>
              <w:pStyle w:val="TableParagraph"/>
              <w:ind w:right="147"/>
              <w:jc w:val="right"/>
              <w:rPr>
                <w:sz w:val="20"/>
              </w:rPr>
            </w:pPr>
            <w:r>
              <w:rPr>
                <w:color w:val="231F20"/>
                <w:sz w:val="20"/>
              </w:rPr>
              <w:t>50</w:t>
            </w:r>
          </w:p>
        </w:tc>
      </w:tr>
      <w:tr>
        <w:trPr>
          <w:trHeight w:val="305" w:hRule="exact"/>
        </w:trPr>
        <w:tc>
          <w:tcPr>
            <w:tcW w:w="3769" w:type="dxa"/>
            <w:shd w:val="clear" w:color="auto" w:fill="D1D3D4"/>
          </w:tcPr>
          <w:p>
            <w:pPr>
              <w:pStyle w:val="TableParagraph"/>
              <w:ind w:left="40"/>
              <w:rPr>
                <w:b/>
                <w:sz w:val="20"/>
              </w:rPr>
            </w:pPr>
            <w:r>
              <w:rPr>
                <w:b/>
                <w:color w:val="231F20"/>
                <w:sz w:val="20"/>
              </w:rPr>
              <w:t>Adjusted average invested capital</w:t>
            </w:r>
          </w:p>
        </w:tc>
        <w:tc>
          <w:tcPr>
            <w:tcW w:w="1717" w:type="dxa"/>
            <w:tcBorders>
              <w:top w:val="single" w:sz="4" w:space="0" w:color="231F20"/>
            </w:tcBorders>
            <w:shd w:val="clear" w:color="auto" w:fill="D1D3D4"/>
          </w:tcPr>
          <w:p>
            <w:pPr>
              <w:pStyle w:val="TableParagraph"/>
              <w:tabs>
                <w:tab w:pos="1016" w:val="left" w:leader="none"/>
              </w:tabs>
              <w:rPr>
                <w:sz w:val="20"/>
              </w:rPr>
            </w:pPr>
            <w:r>
              <w:rPr>
                <w:color w:val="231F20"/>
                <w:sz w:val="20"/>
              </w:rPr>
              <w:t>$</w:t>
              <w:tab/>
              <w:t>12,064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rPr>
                <w:sz w:val="20"/>
              </w:rPr>
            </w:pPr>
            <w:r>
              <w:rPr>
                <w:color w:val="231F20"/>
                <w:sz w:val="20"/>
              </w:rPr>
              <w:t>$</w:t>
              <w:tab/>
              <w:t>11,574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rPr>
                <w:sz w:val="20"/>
              </w:rPr>
            </w:pPr>
            <w:r>
              <w:rPr>
                <w:color w:val="231F20"/>
                <w:sz w:val="20"/>
              </w:rPr>
              <w:t>$</w:t>
              <w:tab/>
              <w:t>11,714</w:t>
            </w:r>
          </w:p>
        </w:tc>
      </w:tr>
      <w:tr>
        <w:trPr>
          <w:trHeight w:val="300"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420" w:hRule="exact"/>
        </w:trPr>
        <w:tc>
          <w:tcPr>
            <w:tcW w:w="3769" w:type="dxa"/>
            <w:shd w:val="clear" w:color="auto" w:fill="D1D3D4"/>
          </w:tcPr>
          <w:p>
            <w:pPr>
              <w:pStyle w:val="TableParagraph"/>
              <w:spacing w:before="173"/>
              <w:ind w:left="40"/>
              <w:rPr>
                <w:b/>
                <w:sz w:val="20"/>
              </w:rPr>
            </w:pPr>
            <w:r>
              <w:rPr>
                <w:b/>
                <w:color w:val="231F20"/>
                <w:sz w:val="20"/>
              </w:rPr>
              <w:t>ROIC, pre-tax</w:t>
            </w:r>
          </w:p>
        </w:tc>
        <w:tc>
          <w:tcPr>
            <w:tcW w:w="1717" w:type="dxa"/>
            <w:shd w:val="clear" w:color="auto" w:fill="D1D3D4"/>
          </w:tcPr>
          <w:p>
            <w:pPr>
              <w:pStyle w:val="TableParagraph"/>
              <w:spacing w:before="173"/>
              <w:jc w:val="right"/>
              <w:rPr>
                <w:sz w:val="20"/>
              </w:rPr>
            </w:pPr>
            <w:r>
              <w:rPr>
                <w:color w:val="231F20"/>
                <w:sz w:val="20"/>
              </w:rPr>
              <w:t>32.7%</w:t>
            </w:r>
          </w:p>
        </w:tc>
        <w:tc>
          <w:tcPr>
            <w:tcW w:w="200" w:type="dxa"/>
            <w:shd w:val="clear" w:color="auto" w:fill="D1D3D4"/>
          </w:tcPr>
          <w:p>
            <w:pPr/>
          </w:p>
        </w:tc>
        <w:tc>
          <w:tcPr>
            <w:tcW w:w="1617" w:type="dxa"/>
            <w:shd w:val="clear" w:color="auto" w:fill="D1D3D4"/>
          </w:tcPr>
          <w:p>
            <w:pPr>
              <w:pStyle w:val="TableParagraph"/>
              <w:spacing w:before="173"/>
              <w:jc w:val="right"/>
              <w:rPr>
                <w:sz w:val="20"/>
              </w:rPr>
            </w:pPr>
            <w:r>
              <w:rPr>
                <w:color w:val="231F20"/>
                <w:sz w:val="20"/>
              </w:rPr>
              <w:t>21.2%</w:t>
            </w:r>
          </w:p>
        </w:tc>
        <w:tc>
          <w:tcPr>
            <w:tcW w:w="200" w:type="dxa"/>
            <w:shd w:val="clear" w:color="auto" w:fill="D1D3D4"/>
          </w:tcPr>
          <w:p>
            <w:pPr/>
          </w:p>
        </w:tc>
        <w:tc>
          <w:tcPr>
            <w:tcW w:w="1617" w:type="dxa"/>
            <w:shd w:val="clear" w:color="auto" w:fill="D1D3D4"/>
          </w:tcPr>
          <w:p>
            <w:pPr>
              <w:pStyle w:val="TableParagraph"/>
              <w:spacing w:before="173"/>
              <w:jc w:val="right"/>
              <w:rPr>
                <w:sz w:val="20"/>
              </w:rPr>
            </w:pPr>
            <w:r>
              <w:rPr>
                <w:color w:val="231F20"/>
                <w:sz w:val="20"/>
              </w:rPr>
              <w:t>13.1%</w:t>
            </w:r>
          </w:p>
        </w:tc>
      </w:tr>
    </w:tbl>
    <w:p>
      <w:pPr>
        <w:pStyle w:val="BodyText"/>
        <w:spacing w:before="5"/>
        <w:rPr>
          <w:b/>
          <w:sz w:val="25"/>
        </w:rPr>
      </w:pPr>
    </w:p>
    <w:p>
      <w:pPr>
        <w:pStyle w:val="ListParagraph"/>
        <w:numPr>
          <w:ilvl w:val="3"/>
          <w:numId w:val="6"/>
        </w:numPr>
        <w:tabs>
          <w:tab w:pos="384" w:val="left" w:leader="none"/>
        </w:tabs>
        <w:spacing w:line="249" w:lineRule="auto" w:before="1" w:after="0"/>
        <w:ind w:left="100" w:right="67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3"/>
          <w:numId w:val="6"/>
        </w:numPr>
        <w:tabs>
          <w:tab w:pos="384" w:val="left" w:leader="none"/>
        </w:tabs>
        <w:spacing w:line="249" w:lineRule="auto" w:before="1" w:after="0"/>
        <w:ind w:left="100" w:right="256"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spacing w:after="0" w:line="249" w:lineRule="auto"/>
        <w:jc w:val="left"/>
        <w:rPr>
          <w:sz w:val="20"/>
        </w:rPr>
        <w:sectPr>
          <w:pgSz w:w="11880" w:h="15480"/>
          <w:pgMar w:header="0" w:footer="1240" w:top="1200" w:bottom="1420" w:left="1280" w:right="1260"/>
        </w:sectPr>
      </w:pPr>
    </w:p>
    <w:p>
      <w:pPr>
        <w:pStyle w:val="Heading1"/>
        <w:spacing w:before="74"/>
      </w:pPr>
      <w:r>
        <w:rPr>
          <w:color w:val="231F20"/>
        </w:rPr>
        <w:t>Note Regarding Use of Non-GAAP Financial Measures</w:t>
      </w:r>
    </w:p>
    <w:p>
      <w:pPr>
        <w:pStyle w:val="BodyText"/>
        <w:spacing w:before="4"/>
        <w:rPr>
          <w:b/>
          <w:sz w:val="21"/>
        </w:rPr>
      </w:pPr>
    </w:p>
    <w:p>
      <w:pPr>
        <w:pStyle w:val="BodyText"/>
        <w:spacing w:line="247" w:lineRule="auto" w:before="1"/>
        <w:ind w:left="100" w:right="117"/>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and benefits the Company believes are not indicative of its ongoing operational</w:t>
      </w:r>
      <w:r>
        <w:rPr>
          <w:color w:val="231F20"/>
          <w:spacing w:val="-2"/>
        </w:rPr>
        <w:t> </w:t>
      </w:r>
      <w:r>
        <w:rPr>
          <w:color w:val="231F20"/>
        </w:rPr>
        <w:t>performance.</w:t>
      </w:r>
    </w:p>
    <w:p>
      <w:pPr>
        <w:pStyle w:val="BodyText"/>
        <w:spacing w:before="9"/>
        <w:rPr>
          <w:sz w:val="20"/>
        </w:rPr>
      </w:pPr>
    </w:p>
    <w:p>
      <w:pPr>
        <w:pStyle w:val="BodyText"/>
        <w:spacing w:line="247" w:lineRule="auto"/>
        <w:ind w:left="100" w:right="117"/>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 - 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spacing w:before="8"/>
        <w:rPr>
          <w:sz w:val="20"/>
        </w:rPr>
      </w:pPr>
    </w:p>
    <w:p>
      <w:pPr>
        <w:pStyle w:val="BodyText"/>
        <w:spacing w:line="247" w:lineRule="auto" w:before="1"/>
        <w:ind w:left="100" w:right="117"/>
        <w:jc w:val="both"/>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before="9"/>
        <w:rPr>
          <w:sz w:val="20"/>
        </w:rPr>
      </w:pPr>
    </w:p>
    <w:p>
      <w:pPr>
        <w:pStyle w:val="BodyText"/>
        <w:spacing w:line="247" w:lineRule="auto"/>
        <w:ind w:left="100" w:right="117"/>
        <w:jc w:val="both"/>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a one-time Special revenue adjustment due to the July 2015 amended co-branded credit card agreement (the “Agreement”) with Chase Bank USA, N.A. (“Chase”) and the resulting change in accounting methodology, expenses associated with the Company’s acquisition and integration of AirTran, a gain resulting from a litigation settlement received in January 2015, and union contract bonuses recorded  for certain workgroups.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w:t>
      </w:r>
      <w:r>
        <w:rPr>
          <w:color w:val="231F20"/>
          <w:spacing w:val="46"/>
        </w:rPr>
        <w:t> </w:t>
      </w:r>
      <w:r>
        <w:rPr>
          <w:color w:val="231F20"/>
        </w:rPr>
        <w:t>AirTran,</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which closed on May 2, 2011, the Company has incurred substantial charges associated with the integration of the two companies. The Company does not expect to incur any further Acquisition and integration costs beyond 2015.</w:t>
      </w:r>
    </w:p>
    <w:p>
      <w:pPr>
        <w:pStyle w:val="BodyText"/>
        <w:spacing w:before="3"/>
        <w:rPr>
          <w:sz w:val="19"/>
        </w:rPr>
      </w:pPr>
    </w:p>
    <w:p>
      <w:pPr>
        <w:pStyle w:val="BodyText"/>
        <w:spacing w:line="247" w:lineRule="auto"/>
        <w:ind w:left="120" w:right="117"/>
        <w:jc w:val="both"/>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BodyText"/>
        <w:spacing w:before="3"/>
        <w:rPr>
          <w:sz w:val="19"/>
        </w:rPr>
      </w:pPr>
    </w:p>
    <w:p>
      <w:pPr>
        <w:pStyle w:val="Heading1"/>
        <w:ind w:left="120"/>
      </w:pPr>
      <w:r>
        <w:rPr>
          <w:color w:val="231F20"/>
        </w:rPr>
        <w:t>YEAR IN REVIEW</w:t>
      </w:r>
    </w:p>
    <w:p>
      <w:pPr>
        <w:pStyle w:val="BodyText"/>
        <w:spacing w:before="10"/>
        <w:rPr>
          <w:b/>
          <w:sz w:val="19"/>
        </w:rPr>
      </w:pPr>
    </w:p>
    <w:p>
      <w:pPr>
        <w:pStyle w:val="BodyText"/>
        <w:spacing w:line="247" w:lineRule="auto" w:before="1"/>
        <w:ind w:left="120" w:right="118"/>
        <w:jc w:val="both"/>
      </w:pPr>
      <w:r>
        <w:rPr>
          <w:color w:val="231F20"/>
        </w:rPr>
        <w:t>For the 43</w:t>
      </w:r>
      <w:r>
        <w:rPr>
          <w:color w:val="231F20"/>
          <w:position w:val="5"/>
          <w:sz w:val="14"/>
        </w:rPr>
        <w:t>rd </w:t>
      </w:r>
      <w:r>
        <w:rPr>
          <w:color w:val="231F20"/>
        </w:rPr>
        <w:t>consecutive year, the Company was profitable, recording GAAP and non-GAAP results   for 2015 and 2014 as</w:t>
      </w:r>
      <w:r>
        <w:rPr>
          <w:color w:val="231F20"/>
          <w:spacing w:val="-1"/>
        </w:rPr>
        <w:t> </w:t>
      </w:r>
      <w:r>
        <w:rPr>
          <w:color w:val="231F20"/>
        </w:rPr>
        <w:t>follows:</w:t>
      </w:r>
    </w:p>
    <w:p>
      <w:pPr>
        <w:spacing w:after="0" w:line="247" w:lineRule="auto"/>
        <w:jc w:val="both"/>
        <w:sectPr>
          <w:pgSz w:w="11880" w:h="15480"/>
          <w:pgMar w:header="0" w:footer="1240" w:top="1240" w:bottom="1420" w:left="1260" w:right="1260"/>
        </w:sectPr>
      </w:pPr>
    </w:p>
    <w:p>
      <w:pPr>
        <w:pStyle w:val="BodyText"/>
      </w:pPr>
    </w:p>
    <w:p>
      <w:pPr>
        <w:spacing w:before="128"/>
        <w:ind w:left="120" w:right="0" w:firstLine="0"/>
        <w:jc w:val="left"/>
        <w:rPr>
          <w:sz w:val="20"/>
        </w:rPr>
      </w:pPr>
      <w:r>
        <w:rPr>
          <w:color w:val="231F20"/>
          <w:sz w:val="20"/>
        </w:rPr>
        <w:t>(in millions, except per share amounts)</w:t>
      </w:r>
    </w:p>
    <w:p>
      <w:pPr>
        <w:pStyle w:val="BodyText"/>
        <w:spacing w:before="1"/>
        <w:rPr>
          <w:sz w:val="18"/>
        </w:rPr>
      </w:pPr>
      <w:r>
        <w:rPr/>
        <w:br w:type="column"/>
      </w:r>
      <w:r>
        <w:rPr>
          <w:sz w:val="18"/>
        </w:rPr>
      </w:r>
    </w:p>
    <w:p>
      <w:pPr>
        <w:spacing w:line="200" w:lineRule="exact" w:before="0"/>
        <w:ind w:left="120" w:right="-19" w:firstLine="92"/>
        <w:jc w:val="left"/>
        <w:rPr>
          <w:b/>
          <w:sz w:val="20"/>
        </w:rPr>
      </w:pPr>
      <w:r>
        <w:rPr/>
        <w:pict>
          <v:line style="position:absolute;mso-position-horizontal-relative:page;mso-position-vertical-relative:paragraph;z-index:2464" from="343pt,21.499994pt" to="461pt,21.499994pt" stroked="true" strokeweight="1pt" strokecolor="#231f20">
            <v:stroke dashstyle="solid"/>
            <w10:wrap type="none"/>
          </v:line>
        </w:pict>
      </w:r>
      <w:r>
        <w:rPr>
          <w:b/>
          <w:color w:val="231F20"/>
          <w:sz w:val="20"/>
        </w:rPr>
        <w:t>Year ended December 31,</w:t>
      </w:r>
    </w:p>
    <w:p>
      <w:pPr>
        <w:pStyle w:val="BodyText"/>
        <w:rPr>
          <w:b/>
        </w:rPr>
      </w:pPr>
      <w:r>
        <w:rPr/>
        <w:br w:type="column"/>
      </w:r>
      <w:r>
        <w:rPr>
          <w:b/>
        </w:rPr>
      </w:r>
    </w:p>
    <w:p>
      <w:pPr>
        <w:pStyle w:val="BodyText"/>
        <w:rPr>
          <w:b/>
        </w:rPr>
      </w:pPr>
    </w:p>
    <w:p>
      <w:pPr>
        <w:spacing w:before="155"/>
        <w:ind w:left="120" w:right="0" w:firstLine="0"/>
        <w:jc w:val="left"/>
        <w:rPr>
          <w:b/>
          <w:sz w:val="20"/>
        </w:rPr>
      </w:pPr>
      <w:r>
        <w:rPr/>
        <w:pict>
          <v:shape style="position:absolute;margin-left:69pt;margin-top:17.785931pt;width:456pt;height:123.3pt;mso-position-horizontal-relative:page;mso-position-vertical-relative:paragraph;z-index:24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Pr>
                      <w:p>
                        <w:pPr>
                          <w:pStyle w:val="TableParagraph"/>
                          <w:spacing w:line="229" w:lineRule="exact" w:before="0"/>
                          <w:ind w:left="50"/>
                          <w:rPr>
                            <w:sz w:val="20"/>
                          </w:rPr>
                        </w:pPr>
                        <w:r>
                          <w:rPr>
                            <w:color w:val="231F20"/>
                            <w:sz w:val="20"/>
                          </w:rPr>
                          <w:t>GAAP</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080" w:type="dxa"/>
                        <w:tcBorders>
                          <w:bottom w:val="single" w:sz="8" w:space="0" w:color="231F20"/>
                        </w:tcBorders>
                      </w:tcPr>
                      <w:p>
                        <w:pPr>
                          <w:pStyle w:val="TableParagraph"/>
                          <w:spacing w:line="229" w:lineRule="exact" w:before="0"/>
                          <w:ind w:left="152"/>
                          <w:rPr>
                            <w:b/>
                            <w:sz w:val="20"/>
                          </w:rPr>
                        </w:pPr>
                        <w:r>
                          <w:rPr>
                            <w:b/>
                            <w:color w:val="231F20"/>
                            <w:sz w:val="20"/>
                          </w:rPr>
                          <w:t>Change</w:t>
                        </w:r>
                      </w:p>
                    </w:tc>
                  </w:tr>
                  <w:tr>
                    <w:trPr>
                      <w:trHeight w:val="31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4,116</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2,225</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117"/>
                          <w:jc w:val="right"/>
                          <w:rPr>
                            <w:sz w:val="20"/>
                          </w:rPr>
                        </w:pPr>
                        <w:r>
                          <w:rPr>
                            <w:color w:val="231F20"/>
                            <w:sz w:val="20"/>
                          </w:rPr>
                          <w:t>85.0</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2,181</w:t>
                        </w:r>
                      </w:p>
                    </w:tc>
                    <w:tc>
                      <w:tcPr>
                        <w:tcW w:w="200" w:type="dxa"/>
                      </w:tcPr>
                      <w:p>
                        <w:pPr/>
                      </w:p>
                    </w:tc>
                    <w:tc>
                      <w:tcPr>
                        <w:tcW w:w="1080" w:type="dxa"/>
                      </w:tcPr>
                      <w:p>
                        <w:pPr>
                          <w:pStyle w:val="TableParagraph"/>
                          <w:tabs>
                            <w:tab w:pos="629" w:val="left" w:leader="none"/>
                          </w:tabs>
                          <w:jc w:val="center"/>
                          <w:rPr>
                            <w:sz w:val="20"/>
                          </w:rPr>
                        </w:pPr>
                        <w:r>
                          <w:rPr>
                            <w:color w:val="231F20"/>
                            <w:sz w:val="20"/>
                          </w:rPr>
                          <w:t>$</w:t>
                          <w:tab/>
                          <w:t>1,136</w:t>
                        </w:r>
                      </w:p>
                    </w:tc>
                    <w:tc>
                      <w:tcPr>
                        <w:tcW w:w="200" w:type="dxa"/>
                      </w:tcPr>
                      <w:p>
                        <w:pPr/>
                      </w:p>
                    </w:tc>
                    <w:tc>
                      <w:tcPr>
                        <w:tcW w:w="1080" w:type="dxa"/>
                      </w:tcPr>
                      <w:p>
                        <w:pPr>
                          <w:pStyle w:val="TableParagraph"/>
                          <w:ind w:right="119"/>
                          <w:jc w:val="right"/>
                          <w:rPr>
                            <w:sz w:val="20"/>
                          </w:rPr>
                        </w:pPr>
                        <w:r>
                          <w:rPr>
                            <w:color w:val="231F20"/>
                            <w:sz w:val="20"/>
                          </w:rPr>
                          <w:t>92.0</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3.27</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1.64</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99.4</w:t>
                        </w:r>
                      </w:p>
                    </w:tc>
                  </w:tr>
                  <w:tr>
                    <w:trPr>
                      <w:trHeight w:val="400" w:hRule="exact"/>
                    </w:trPr>
                    <w:tc>
                      <w:tcPr>
                        <w:tcW w:w="5280" w:type="dxa"/>
                      </w:tcPr>
                      <w:p>
                        <w:pPr>
                          <w:pStyle w:val="TableParagraph"/>
                          <w:spacing w:before="133"/>
                          <w:ind w:left="50"/>
                          <w:rPr>
                            <w:sz w:val="20"/>
                          </w:rPr>
                        </w:pPr>
                        <w:r>
                          <w:rPr>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80" w:type="dxa"/>
                      </w:tcPr>
                      <w:p>
                        <w:pPr/>
                      </w:p>
                    </w:tc>
                  </w:tr>
                  <w:tr>
                    <w:trPr>
                      <w:trHeight w:val="30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2,388</w:t>
                        </w:r>
                      </w:p>
                    </w:tc>
                    <w:tc>
                      <w:tcPr>
                        <w:tcW w:w="200" w:type="dxa"/>
                        <w:shd w:val="clear" w:color="auto" w:fill="D1D3D4"/>
                      </w:tcPr>
                      <w:p>
                        <w:pPr/>
                      </w:p>
                    </w:tc>
                    <w:tc>
                      <w:tcPr>
                        <w:tcW w:w="1080" w:type="dxa"/>
                        <w:shd w:val="clear" w:color="auto" w:fill="D1D3D4"/>
                      </w:tcPr>
                      <w:p>
                        <w:pPr>
                          <w:pStyle w:val="TableParagraph"/>
                          <w:ind w:right="117"/>
                          <w:jc w:val="right"/>
                          <w:rPr>
                            <w:sz w:val="20"/>
                          </w:rPr>
                        </w:pPr>
                        <w:r>
                          <w:rPr>
                            <w:color w:val="231F20"/>
                            <w:sz w:val="20"/>
                          </w:rPr>
                          <w:t>65.7</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2,355</w:t>
                        </w:r>
                      </w:p>
                    </w:tc>
                    <w:tc>
                      <w:tcPr>
                        <w:tcW w:w="200" w:type="dxa"/>
                      </w:tcPr>
                      <w:p>
                        <w:pPr/>
                      </w:p>
                    </w:tc>
                    <w:tc>
                      <w:tcPr>
                        <w:tcW w:w="1080" w:type="dxa"/>
                      </w:tcPr>
                      <w:p>
                        <w:pPr>
                          <w:pStyle w:val="TableParagraph"/>
                          <w:tabs>
                            <w:tab w:pos="629" w:val="left" w:leader="none"/>
                          </w:tabs>
                          <w:jc w:val="center"/>
                          <w:rPr>
                            <w:sz w:val="20"/>
                          </w:rPr>
                        </w:pPr>
                        <w:r>
                          <w:rPr>
                            <w:color w:val="231F20"/>
                            <w:sz w:val="20"/>
                          </w:rPr>
                          <w:t>$</w:t>
                          <w:tab/>
                          <w:t>1,397</w:t>
                        </w:r>
                      </w:p>
                    </w:tc>
                    <w:tc>
                      <w:tcPr>
                        <w:tcW w:w="200" w:type="dxa"/>
                      </w:tcPr>
                      <w:p>
                        <w:pPr/>
                      </w:p>
                    </w:tc>
                    <w:tc>
                      <w:tcPr>
                        <w:tcW w:w="1080" w:type="dxa"/>
                      </w:tcPr>
                      <w:p>
                        <w:pPr>
                          <w:pStyle w:val="TableParagraph"/>
                          <w:ind w:right="119"/>
                          <w:jc w:val="right"/>
                          <w:rPr>
                            <w:sz w:val="20"/>
                          </w:rPr>
                        </w:pPr>
                        <w:r>
                          <w:rPr>
                            <w:color w:val="231F20"/>
                            <w:sz w:val="20"/>
                          </w:rPr>
                          <w:t>68.6</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3.52</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2.01</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75.1</w:t>
                        </w:r>
                      </w:p>
                    </w:tc>
                  </w:tr>
                </w:tbl>
                <w:p>
                  <w:pPr>
                    <w:pStyle w:val="BodyText"/>
                  </w:pPr>
                </w:p>
              </w:txbxContent>
            </v:textbox>
            <w10:wrap type="none"/>
          </v:shape>
        </w:pict>
      </w:r>
      <w:r>
        <w:rPr>
          <w:b/>
          <w:color w:val="231F20"/>
          <w:sz w:val="20"/>
        </w:rPr>
        <w:t>Percent</w:t>
      </w:r>
    </w:p>
    <w:p>
      <w:pPr>
        <w:spacing w:after="0"/>
        <w:jc w:val="left"/>
        <w:rPr>
          <w:sz w:val="20"/>
        </w:rPr>
        <w:sectPr>
          <w:type w:val="continuous"/>
          <w:pgSz w:w="11880" w:h="15480"/>
          <w:pgMar w:top="1260" w:bottom="280" w:left="1260" w:right="1260"/>
          <w:cols w:num="3" w:equalWidth="0">
            <w:col w:w="3248" w:space="2828"/>
            <w:col w:w="1288" w:space="828"/>
            <w:col w:w="1168"/>
          </w:cols>
        </w:sectPr>
      </w:pPr>
    </w:p>
    <w:p>
      <w:pPr>
        <w:pStyle w:val="BodyText"/>
        <w:spacing w:before="9"/>
        <w:rPr>
          <w:b/>
          <w:sz w:val="18"/>
        </w:rPr>
      </w:pPr>
    </w:p>
    <w:p>
      <w:pPr>
        <w:pStyle w:val="BodyText"/>
        <w:spacing w:line="20" w:lineRule="exact"/>
        <w:ind w:left="110"/>
        <w:rPr>
          <w:sz w:val="2"/>
        </w:rPr>
      </w:pPr>
      <w:r>
        <w:rPr>
          <w:sz w:val="2"/>
        </w:rPr>
        <w:pict>
          <v:group style="width:265pt;height:1pt;mso-position-horizontal-relative:char;mso-position-vertical-relative:line" coordorigin="0,0" coordsize="5300,20">
            <v:line style="position:absolute" from="10,10" to="529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r>
        <w:rPr/>
        <w:pict>
          <v:line style="position:absolute;mso-position-horizontal-relative:page;mso-position-vertical-relative:paragraph;z-index:2440;mso-wrap-distance-left:0;mso-wrap-distance-right:0" from="69pt,18.503906pt" to="333pt,18.503906pt" stroked="true" strokeweight="1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spacing w:before="5"/>
        <w:rPr>
          <w:b/>
        </w:rPr>
      </w:pPr>
    </w:p>
    <w:p>
      <w:pPr>
        <w:spacing w:line="200" w:lineRule="exact" w:before="0"/>
        <w:ind w:left="120" w:right="528" w:firstLine="0"/>
        <w:jc w:val="left"/>
        <w:rPr>
          <w:sz w:val="18"/>
        </w:rPr>
      </w:pPr>
      <w:r>
        <w:rPr>
          <w:color w:val="231F20"/>
          <w:sz w:val="18"/>
        </w:rPr>
        <w:t>See the previous Note Regarding Use of Non-GAAP Financial Measures and the Reconciliation of Reported Amounts to Non-GAAP Financial Measures for additional detail regarding non-GAAP financial measures.</w:t>
      </w:r>
    </w:p>
    <w:p>
      <w:pPr>
        <w:pStyle w:val="BodyText"/>
        <w:spacing w:before="7"/>
        <w:rPr>
          <w:sz w:val="20"/>
        </w:rPr>
      </w:pPr>
    </w:p>
    <w:p>
      <w:pPr>
        <w:pStyle w:val="BodyText"/>
        <w:spacing w:line="247" w:lineRule="auto"/>
        <w:ind w:left="120" w:right="117"/>
        <w:jc w:val="both"/>
      </w:pPr>
      <w:r>
        <w:rPr>
          <w:color w:val="231F20"/>
        </w:rPr>
        <w:t>Net income for the year ended December 31, 2015, was a Company record $2.2 billion, or $3.27 per diluted share, a 92.0 percent increase in Net income year-over-year. This increase primarily was due to a 6.5 percent increase in Operating revenues, driven by strong demand for low-fare air travel and a</w:t>
      </w:r>
    </w:p>
    <w:p>
      <w:pPr>
        <w:pStyle w:val="ListParagraph"/>
        <w:numPr>
          <w:ilvl w:val="1"/>
          <w:numId w:val="7"/>
        </w:numPr>
        <w:tabs>
          <w:tab w:pos="458" w:val="left" w:leader="none"/>
        </w:tabs>
        <w:spacing w:line="247" w:lineRule="auto" w:before="0" w:after="0"/>
        <w:ind w:left="120" w:right="117" w:firstLine="0"/>
        <w:jc w:val="both"/>
        <w:rPr>
          <w:sz w:val="22"/>
        </w:rPr>
      </w:pPr>
      <w:r>
        <w:rPr>
          <w:color w:val="231F20"/>
          <w:sz w:val="22"/>
        </w:rPr>
        <w:t>percent year-over-year capacity growth, and the impact of the July 2015 amended Agreement with Chase and the resulting change in accounting methodology. See Note 1 to the Consolidated Financial Statements for further information. Also, Operating expenses decreased 4.1 percent, primarily as a result of lower fuel prices, which more than offset increases in certain cost categories discussed below, including Salaries, Wages, and Benefits expense, which included the Company’s record Employee Profitsharing expense of $620 million. Excluding special items in both years, non-GAAP Net income was a record $2.4 billion, or $3.52 per diluted share, a 68.6 percent increase in non-GAAP Net income year-over-year. Year ended December 31, 2015 Operating income was $4.1 billion and non-GAAP Operating income was $4.0 billion. Both GAAP and non-GAAP annual Operating income results for 2015 were Company records and significantly surpassed the prior year performance.</w:t>
      </w:r>
    </w:p>
    <w:p>
      <w:pPr>
        <w:pStyle w:val="BodyText"/>
        <w:spacing w:before="5"/>
        <w:rPr>
          <w:sz w:val="19"/>
        </w:rPr>
      </w:pPr>
    </w:p>
    <w:p>
      <w:pPr>
        <w:pStyle w:val="BodyText"/>
        <w:spacing w:line="247" w:lineRule="auto"/>
        <w:ind w:left="120" w:right="118"/>
        <w:jc w:val="both"/>
      </w:pPr>
      <w:r>
        <w:rPr>
          <w:color w:val="231F20"/>
        </w:rPr>
        <w:t>For the twelve months ended December 31, 2015, the Company’s exceptional earnings performance, combined with its actions to prudently manage invested capital, produced a 32.7 percent pre-tax Return on  invested  capital,  excluding  special  items  (“ROIC”).  This  represented  a  significant       increase</w:t>
      </w:r>
    </w:p>
    <w:p>
      <w:pPr>
        <w:spacing w:after="0" w:line="247" w:lineRule="auto"/>
        <w:jc w:val="both"/>
        <w:sectPr>
          <w:type w:val="continuous"/>
          <w:pgSz w:w="11880" w:h="15480"/>
          <w:pgMar w:top="1260" w:bottom="280" w:left="1260" w:right="1260"/>
        </w:sectPr>
      </w:pPr>
    </w:p>
    <w:p>
      <w:pPr>
        <w:pStyle w:val="BodyText"/>
        <w:spacing w:line="247" w:lineRule="auto" w:before="74"/>
        <w:ind w:left="100" w:right="118"/>
        <w:jc w:val="both"/>
      </w:pPr>
      <w:r>
        <w:rPr>
          <w:color w:val="231F20"/>
        </w:rPr>
        <w:t>compared with the Company’s ROIC of 21.2 percent for the twelve months ended December 31, 2014. The increase in ROIC was achieved primarily through successful integration of AirTran, operational and network enhancements, and declining fuel prices.</w:t>
      </w:r>
    </w:p>
    <w:p>
      <w:pPr>
        <w:pStyle w:val="BodyText"/>
        <w:spacing w:line="247" w:lineRule="auto" w:before="186"/>
        <w:ind w:left="100" w:right="117"/>
        <w:jc w:val="both"/>
      </w:pPr>
      <w:r>
        <w:rPr>
          <w:color w:val="231F20"/>
        </w:rPr>
        <w:t>During 2015, the Company continued to return significant value to its Shareholders. The Company returned a record $1.4 billion to Shareholders through a combined $180 million in dividend payments and $1.2 billion through three separate accelerated share repurchase programs and the buyback of its common shares on the open market. On January 25, 2016, the Company launched a new accelerated share repurchase program by advancing $500 million to a financial institution in a privately negotiated transaction (“First Quarter 2016 ASR Program”). The Company received an initial delivery of shares, representing an estimated 75 percent of the shares to be purchased by the Company under the First Quarter 2016 ASR Program. The specific number of shares that the Company ultimately will repurchase under the First Quarter 2016 ASR Program will be determined based generally on a discount to the volume-weighted average price per share of the Company’s common stock during a calculation period to be completed no later than April 2016. The purchase will be recorded as a  treasury share purchase for purposes of calculating earnings per share. Subsequent to the launch of the First Quarter 2016 ASR Program, the Company has $200 million remaining under its existing $1.5 billion share repurchase program. See Part II, Item 5 for further information on the Company’s share repurchase</w:t>
      </w:r>
      <w:r>
        <w:rPr>
          <w:color w:val="231F20"/>
          <w:spacing w:val="1"/>
        </w:rPr>
        <w:t> </w:t>
      </w:r>
      <w:r>
        <w:rPr>
          <w:color w:val="231F20"/>
        </w:rPr>
        <w:t>authorizations.</w:t>
      </w:r>
    </w:p>
    <w:p>
      <w:pPr>
        <w:pStyle w:val="Heading1"/>
        <w:spacing w:before="186"/>
      </w:pPr>
      <w:r>
        <w:rPr>
          <w:color w:val="231F20"/>
        </w:rPr>
        <w:t>Company Overview</w:t>
      </w:r>
    </w:p>
    <w:p>
      <w:pPr>
        <w:pStyle w:val="BodyText"/>
        <w:spacing w:line="247" w:lineRule="auto" w:before="193"/>
        <w:ind w:left="100" w:right="117"/>
        <w:jc w:val="both"/>
      </w:pPr>
      <w:r>
        <w:rPr>
          <w:color w:val="231F20"/>
        </w:rPr>
        <w:t>Following the Company’s effective completion of the AirTran integration at the end of 2014, one of  the Company’s primary areas of focus was on allowing its expanded network to develop, while also improving the reliability of its operations. Throughout most of 2015, the Company had a significantly higher than normal portion of its network considered under development, due to new service implemented upon converting both international and domestic destinations over from AirTran to Southwest, as well as growth in existing Southwest markets including Dallas, Houston, Washington D.C, and New York. In 2016, the portion of those markets under development will return to a more long-term historical figure based on capacity. Following the integration of AirTran, the Company also made investments in its 2015 flight schedule to improve its overall on-time performance. The Company’s on-time performance during 2015 as reported through November 2015 was approximately 80 percent, which increased approximately 7 points compared to full year</w:t>
      </w:r>
      <w:r>
        <w:rPr>
          <w:color w:val="231F20"/>
          <w:spacing w:val="-1"/>
        </w:rPr>
        <w:t> </w:t>
      </w:r>
      <w:r>
        <w:rPr>
          <w:color w:val="231F20"/>
        </w:rPr>
        <w:t>2014.</w:t>
      </w:r>
    </w:p>
    <w:p>
      <w:pPr>
        <w:pStyle w:val="BodyText"/>
        <w:spacing w:line="247" w:lineRule="auto" w:before="186"/>
        <w:ind w:left="100" w:right="118"/>
        <w:jc w:val="both"/>
      </w:pPr>
      <w:r>
        <w:rPr>
          <w:color w:val="231F20"/>
        </w:rPr>
        <w:t>During 2015, the Company took several steps designed to enhance its existing service in cities across the network or to connect existing cities with new service not previously offered by Southwest, most notably:</w:t>
      </w:r>
    </w:p>
    <w:p>
      <w:pPr>
        <w:pStyle w:val="ListParagraph"/>
        <w:numPr>
          <w:ilvl w:val="2"/>
          <w:numId w:val="7"/>
        </w:numPr>
        <w:tabs>
          <w:tab w:pos="900" w:val="left" w:leader="none"/>
        </w:tabs>
        <w:spacing w:line="249" w:lineRule="auto" w:before="185" w:after="0"/>
        <w:ind w:left="900" w:right="117" w:hanging="400"/>
        <w:jc w:val="both"/>
        <w:rPr>
          <w:color w:val="231F20"/>
          <w:sz w:val="20"/>
        </w:rPr>
      </w:pPr>
      <w:r>
        <w:rPr>
          <w:color w:val="231F20"/>
          <w:sz w:val="20"/>
        </w:rPr>
        <w:t>The Company began offering daily nonstop flights to 20 new cities from Dallas Love Field, marking  the Company’s most robust schedule ever offered at Dallas Love Field, with 180 daily departures to 50 nonstop destinations.</w:t>
      </w:r>
    </w:p>
    <w:p>
      <w:pPr>
        <w:pStyle w:val="ListParagraph"/>
        <w:numPr>
          <w:ilvl w:val="2"/>
          <w:numId w:val="7"/>
        </w:numPr>
        <w:tabs>
          <w:tab w:pos="900" w:val="left" w:leader="none"/>
        </w:tabs>
        <w:spacing w:line="249" w:lineRule="auto" w:before="188" w:after="0"/>
        <w:ind w:left="900" w:right="119" w:hanging="400"/>
        <w:jc w:val="both"/>
        <w:rPr>
          <w:color w:val="231F20"/>
          <w:sz w:val="20"/>
        </w:rPr>
      </w:pPr>
      <w:r>
        <w:rPr>
          <w:color w:val="231F20"/>
          <w:sz w:val="20"/>
        </w:rPr>
        <w:t>The Company connected Central America to the Company’s network with the addition of Liberia,  Costa Rica; San Jose, Costa Rica; and Belize City, Belize in</w:t>
      </w:r>
      <w:r>
        <w:rPr>
          <w:color w:val="231F20"/>
          <w:spacing w:val="2"/>
          <w:sz w:val="20"/>
        </w:rPr>
        <w:t> </w:t>
      </w:r>
      <w:r>
        <w:rPr>
          <w:color w:val="231F20"/>
          <w:sz w:val="20"/>
        </w:rPr>
        <w:t>2015.</w:t>
      </w:r>
    </w:p>
    <w:p>
      <w:pPr>
        <w:pStyle w:val="ListParagraph"/>
        <w:numPr>
          <w:ilvl w:val="2"/>
          <w:numId w:val="7"/>
        </w:numPr>
        <w:tabs>
          <w:tab w:pos="899" w:val="left" w:leader="none"/>
          <w:tab w:pos="900" w:val="left" w:leader="none"/>
        </w:tabs>
        <w:spacing w:line="240" w:lineRule="auto" w:before="188" w:after="0"/>
        <w:ind w:left="900" w:right="0" w:hanging="400"/>
        <w:jc w:val="left"/>
        <w:rPr>
          <w:color w:val="231F20"/>
          <w:sz w:val="20"/>
        </w:rPr>
      </w:pPr>
      <w:r>
        <w:rPr>
          <w:color w:val="231F20"/>
          <w:sz w:val="20"/>
        </w:rPr>
        <w:t>The Company began service to Puerto Vallarta, Mexico in June</w:t>
      </w:r>
      <w:r>
        <w:rPr>
          <w:color w:val="231F20"/>
          <w:spacing w:val="3"/>
          <w:sz w:val="20"/>
        </w:rPr>
        <w:t> </w:t>
      </w:r>
      <w:r>
        <w:rPr>
          <w:color w:val="231F20"/>
          <w:sz w:val="20"/>
        </w:rPr>
        <w:t>2015.</w:t>
      </w:r>
    </w:p>
    <w:p>
      <w:pPr>
        <w:pStyle w:val="ListParagraph"/>
        <w:numPr>
          <w:ilvl w:val="2"/>
          <w:numId w:val="7"/>
        </w:numPr>
        <w:tabs>
          <w:tab w:pos="900" w:val="left" w:leader="none"/>
        </w:tabs>
        <w:spacing w:line="249" w:lineRule="auto" w:before="197" w:after="0"/>
        <w:ind w:left="900" w:right="117" w:hanging="400"/>
        <w:jc w:val="both"/>
        <w:rPr>
          <w:color w:val="231F20"/>
          <w:sz w:val="20"/>
        </w:rPr>
      </w:pPr>
      <w:r>
        <w:rPr>
          <w:color w:val="231F20"/>
          <w:sz w:val="20"/>
        </w:rPr>
        <w:t>During October 2015, the all-new international terminal at Houston Hobby opened and the Company commenced service from Houston Hobby to Mexico (Cancun, Mexico City, Puerto Vallarta, Cabo San Lucas/Los Cabos), Belize City, Belize; San Jose, Costa Rica; Liberia, Costa Rica; and Montego Bay, Jamaica.</w:t>
      </w:r>
    </w:p>
    <w:p>
      <w:pPr>
        <w:spacing w:after="0" w:line="249" w:lineRule="auto"/>
        <w:jc w:val="both"/>
        <w:rPr>
          <w:sz w:val="20"/>
        </w:rPr>
        <w:sectPr>
          <w:pgSz w:w="11880" w:h="15480"/>
          <w:pgMar w:header="0" w:footer="1240" w:top="1240" w:bottom="1420" w:left="1280" w:right="1260"/>
        </w:sectPr>
      </w:pPr>
    </w:p>
    <w:p>
      <w:pPr>
        <w:pStyle w:val="BodyText"/>
        <w:spacing w:line="247" w:lineRule="auto" w:before="74"/>
        <w:ind w:left="100" w:right="117"/>
        <w:jc w:val="both"/>
      </w:pPr>
      <w:r>
        <w:rPr>
          <w:color w:val="231F20"/>
        </w:rPr>
        <w:t>During 2015, the Company took delivery of 19 737-800 aircraft from Boeing and 24 pre-owned  Boeing 737-700 aircraft from third parties, and retired four Boeing 737 Classic (737-300 and 737-500) aircraft during the year. Following AirTran’s final passenger service on December 28, 2014, the Company removed all remaining Boeing 717-200 aircraft (“B717s”) from service. As of December 31, 2015, 87 of AirTran’s 88 B717 aircraft had been delivered to Delta pursuant to a lease/sublease agreement, and one B717 aircraft was undergoing conversion in preparation for delivery to Delta.     See Note 7 to the Consolidated Financial Statements for further</w:t>
      </w:r>
      <w:r>
        <w:rPr>
          <w:color w:val="231F20"/>
          <w:spacing w:val="-3"/>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The Company is scheduled to be the launch customer for Boeing’s new, more fuel-efficient 737 MAX 8 aircraft, which is expected to enter service in 2017. The 737 MAX 8 is expected to reduce fuel burn and CO2 emissions approximately 20 percent, compared with the original Next-Generation 737s (737- 300 and 737-500) when they first entered service. Southwest is also scheduled to be the launch customer for the Boeing 737 MAX 7 series aircraft, with deliveries expected to begin in 2019. Currently, the Company has firm orders in place for 170 MAX 8 aircraft and 30 MAX 7</w:t>
      </w:r>
      <w:r>
        <w:rPr>
          <w:color w:val="231F20"/>
          <w:spacing w:val="-5"/>
        </w:rPr>
        <w:t> </w:t>
      </w:r>
      <w:r>
        <w:rPr>
          <w:color w:val="231F20"/>
        </w:rPr>
        <w:t>aircraft.</w:t>
      </w:r>
    </w:p>
    <w:p>
      <w:pPr>
        <w:pStyle w:val="BodyText"/>
        <w:spacing w:before="9"/>
        <w:rPr>
          <w:sz w:val="20"/>
        </w:rPr>
      </w:pPr>
    </w:p>
    <w:p>
      <w:pPr>
        <w:pStyle w:val="BodyText"/>
        <w:spacing w:line="247" w:lineRule="auto"/>
        <w:ind w:left="100" w:right="117"/>
        <w:jc w:val="both"/>
      </w:pPr>
      <w:r>
        <w:rPr>
          <w:color w:val="231F20"/>
        </w:rPr>
        <w:t>At the end of December 2015, the Company revised its future firm delivery schedule to reflect 33 additional -800s, and the conversion of its remaining 25 -700 firm orders to -800s. In addition, two pre- owned -700s were added to its delivery schedule. The incremental seat gauge and aircraft will be used to replace the capacity associated with the Company’s year-end decision to further accelerate the retirement of its Classic fleet to no later than mid-2018, as compared to the previous plan of 2021. The Company continues to plan for modest year-over-year fleet growth through 2018 of no more than two percent, on average. The Company also expects an approximate five to six percent increase year-over- year in 2016 ASMs. The revised delivery schedule is currently estimated to increase the Company’s firm aircraft capital commitments by $400 million beyond 2015. Replacing the Boeing 737-300s and Boeing 737-500s with more efficient and cost-effective aircraft is expected to provide significant cost savings, along with improving the Customer experience with better ontime performance and WiFi- equipped aircraft. Additional information regarding the Company’s aircraft delivery schedule is included in Note 4 to the Consolidated Financial Statements.</w:t>
      </w:r>
    </w:p>
    <w:p>
      <w:pPr>
        <w:pStyle w:val="BodyText"/>
        <w:spacing w:before="9"/>
        <w:rPr>
          <w:sz w:val="20"/>
        </w:rPr>
      </w:pPr>
    </w:p>
    <w:p>
      <w:pPr>
        <w:pStyle w:val="BodyText"/>
        <w:spacing w:line="247" w:lineRule="auto"/>
        <w:ind w:left="100" w:right="204"/>
        <w:jc w:val="both"/>
      </w:pPr>
      <w:r>
        <w:rPr>
          <w:color w:val="231F20"/>
        </w:rPr>
        <w:t>During 2015, the following events took place regarding the Company’s unionized Employee groups in contract negotiations:</w:t>
      </w:r>
    </w:p>
    <w:p>
      <w:pPr>
        <w:pStyle w:val="BodyText"/>
        <w:spacing w:before="9"/>
        <w:rPr>
          <w:sz w:val="20"/>
        </w:rPr>
      </w:pPr>
    </w:p>
    <w:p>
      <w:pPr>
        <w:pStyle w:val="ListParagraph"/>
        <w:numPr>
          <w:ilvl w:val="2"/>
          <w:numId w:val="7"/>
        </w:numPr>
        <w:tabs>
          <w:tab w:pos="980" w:val="left" w:leader="none"/>
        </w:tabs>
        <w:spacing w:line="247" w:lineRule="auto" w:before="0" w:after="0"/>
        <w:ind w:left="980" w:right="117" w:hanging="440"/>
        <w:jc w:val="both"/>
        <w:rPr>
          <w:color w:val="231F20"/>
          <w:sz w:val="22"/>
        </w:rPr>
      </w:pPr>
      <w:r>
        <w:rPr>
          <w:color w:val="231F20"/>
          <w:sz w:val="22"/>
        </w:rPr>
        <w:t>Dispatchers, represented by the Transport Workers Union, Local 550 (“TWU 550”), ratified  a new four-year contract which becomes amendable on November 30, 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Flight Simulator Technicians, represented by the International Brotherhood of Teamsters, ratified a new four-year contract which becomes amendable on April 30,</w:t>
      </w:r>
      <w:r>
        <w:rPr>
          <w:color w:val="231F20"/>
          <w:spacing w:val="-2"/>
          <w:sz w:val="22"/>
        </w:rPr>
        <w:t> </w:t>
      </w:r>
      <w:r>
        <w:rPr>
          <w:color w:val="231F20"/>
          <w:sz w:val="22"/>
        </w:rPr>
        <w:t>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Meteorologists, represented by TWU 550, approved their first-ever collective-bargaining agreement following certification by the National Mediation Board late last year. This new, four-year contract becomes amendable on June 1, 2019.</w:t>
      </w:r>
    </w:p>
    <w:p>
      <w:pPr>
        <w:pStyle w:val="BodyText"/>
        <w:spacing w:before="9"/>
        <w:rPr>
          <w:sz w:val="20"/>
        </w:rPr>
      </w:pPr>
    </w:p>
    <w:p>
      <w:pPr>
        <w:pStyle w:val="ListParagraph"/>
        <w:numPr>
          <w:ilvl w:val="2"/>
          <w:numId w:val="7"/>
        </w:numPr>
        <w:tabs>
          <w:tab w:pos="980" w:val="left" w:leader="none"/>
        </w:tabs>
        <w:spacing w:line="247" w:lineRule="auto" w:before="0" w:after="0"/>
        <w:ind w:left="980" w:right="118" w:hanging="440"/>
        <w:jc w:val="both"/>
        <w:rPr>
          <w:color w:val="231F20"/>
          <w:sz w:val="22"/>
        </w:rPr>
      </w:pPr>
      <w:r>
        <w:rPr>
          <w:color w:val="231F20"/>
          <w:sz w:val="22"/>
        </w:rPr>
        <w:t>Flight Attendants, represented by the Transport Workers Union, Local 556, reached a tentative collective-bargaining agreement with the Company, which was announced in July 2015. The Flight Attendants failed to ratify this agreement, as announced by the Company on July 24, 2015, and the parties will continue</w:t>
      </w:r>
      <w:r>
        <w:rPr>
          <w:color w:val="231F20"/>
          <w:spacing w:val="-1"/>
          <w:sz w:val="22"/>
        </w:rPr>
        <w:t> </w:t>
      </w:r>
      <w:r>
        <w:rPr>
          <w:color w:val="231F20"/>
          <w:sz w:val="22"/>
        </w:rPr>
        <w:t>negotiations.</w:t>
      </w:r>
    </w:p>
    <w:p>
      <w:pPr>
        <w:spacing w:after="0" w:line="247" w:lineRule="auto"/>
        <w:jc w:val="both"/>
        <w:rPr>
          <w:sz w:val="22"/>
        </w:rPr>
        <w:sectPr>
          <w:pgSz w:w="11880" w:h="15480"/>
          <w:pgMar w:header="0" w:footer="1240" w:top="1240" w:bottom="1420" w:left="1280" w:right="1260"/>
        </w:sectPr>
      </w:pPr>
    </w:p>
    <w:p>
      <w:pPr>
        <w:pStyle w:val="ListParagraph"/>
        <w:numPr>
          <w:ilvl w:val="2"/>
          <w:numId w:val="7"/>
        </w:numPr>
        <w:tabs>
          <w:tab w:pos="1000" w:val="left" w:leader="none"/>
        </w:tabs>
        <w:spacing w:line="247" w:lineRule="auto" w:before="74" w:after="0"/>
        <w:ind w:left="1000" w:right="118" w:hanging="440"/>
        <w:jc w:val="both"/>
        <w:rPr>
          <w:color w:val="231F20"/>
          <w:sz w:val="22"/>
        </w:rPr>
      </w:pPr>
      <w:r>
        <w:rPr>
          <w:color w:val="231F20"/>
          <w:sz w:val="22"/>
        </w:rPr>
        <w:t>Pilots, represented by the Southwest Airlines Pilots’ Association, reached a tentative collective bargaining agreement with the Company, which was announced September 17, 2015. The Pilots failed to ratify this agreement, as announced by the Company  on  November 4, 2015, and the parties will continue</w:t>
      </w:r>
      <w:r>
        <w:rPr>
          <w:color w:val="231F20"/>
          <w:spacing w:val="-1"/>
          <w:sz w:val="22"/>
        </w:rPr>
        <w:t> </w:t>
      </w:r>
      <w:r>
        <w:rPr>
          <w:color w:val="231F20"/>
          <w:sz w:val="22"/>
        </w:rPr>
        <w:t>negotiations.</w:t>
      </w:r>
    </w:p>
    <w:p>
      <w:pPr>
        <w:pStyle w:val="ListParagraph"/>
        <w:numPr>
          <w:ilvl w:val="2"/>
          <w:numId w:val="7"/>
        </w:numPr>
        <w:tabs>
          <w:tab w:pos="1000" w:val="left" w:leader="none"/>
        </w:tabs>
        <w:spacing w:line="247" w:lineRule="auto" w:before="182" w:after="0"/>
        <w:ind w:left="1000" w:right="118" w:hanging="440"/>
        <w:jc w:val="both"/>
        <w:rPr>
          <w:color w:val="231F20"/>
          <w:sz w:val="22"/>
        </w:rPr>
      </w:pPr>
      <w:r>
        <w:rPr>
          <w:color w:val="231F20"/>
          <w:sz w:val="22"/>
        </w:rPr>
        <w:t>Ramp, Operations, Provisioning, and Freight Agents, represented by the Transport Workers Union Local 555, reached a tentative collective bargaining agreement with the Company, which was announced on December 29, 2015. The agreement has been presented to members for ratification and the vote will be closed in first quarter</w:t>
      </w:r>
      <w:r>
        <w:rPr>
          <w:color w:val="231F20"/>
          <w:spacing w:val="-6"/>
          <w:sz w:val="22"/>
        </w:rPr>
        <w:t> </w:t>
      </w:r>
      <w:r>
        <w:rPr>
          <w:color w:val="231F20"/>
          <w:sz w:val="22"/>
        </w:rPr>
        <w:t>2016.</w:t>
      </w:r>
    </w:p>
    <w:p>
      <w:pPr>
        <w:pStyle w:val="BodyText"/>
        <w:spacing w:before="10"/>
        <w:rPr>
          <w:sz w:val="23"/>
        </w:rPr>
      </w:pPr>
    </w:p>
    <w:p>
      <w:pPr>
        <w:pStyle w:val="Heading2"/>
        <w:ind w:left="120"/>
        <w:jc w:val="both"/>
        <w:rPr>
          <w:i/>
        </w:rPr>
      </w:pPr>
      <w:r>
        <w:rPr>
          <w:i/>
          <w:color w:val="231F20"/>
        </w:rPr>
        <w:t>2015 Compared with 2014</w:t>
      </w:r>
    </w:p>
    <w:p>
      <w:pPr>
        <w:spacing w:before="190"/>
        <w:ind w:left="120" w:right="0" w:firstLine="0"/>
        <w:jc w:val="both"/>
        <w:rPr>
          <w:b/>
          <w:sz w:val="22"/>
        </w:rPr>
      </w:pPr>
      <w:r>
        <w:rPr>
          <w:b/>
          <w:color w:val="231F20"/>
          <w:sz w:val="22"/>
        </w:rPr>
        <w:t>Operating Revenues</w:t>
      </w:r>
    </w:p>
    <w:p>
      <w:pPr>
        <w:pStyle w:val="BodyText"/>
        <w:spacing w:line="247" w:lineRule="auto" w:before="190"/>
        <w:ind w:left="120" w:right="117"/>
        <w:jc w:val="both"/>
      </w:pPr>
      <w:r>
        <w:rPr>
          <w:color w:val="231F20"/>
        </w:rPr>
        <w:t>Passenger revenues for 2015 increased by $641 million, or 3.6 percent, compared with 2014. Holding load factor and yield constant, the increase was primarily attributable to a 7.2 percent increase in capacity as strong Customer demand for low-fare air travel enabled the Company to fill the additional seats, as evidenced by a Company record annual load factor of 83.6 percent. On a unit basis, Passenger revenue decreased 3.4 percent, year-over-year, largely driven by a 4.7 percent decrease in passenger revenue yield, year-over-year.</w:t>
      </w:r>
    </w:p>
    <w:p>
      <w:pPr>
        <w:pStyle w:val="BodyText"/>
        <w:spacing w:line="247" w:lineRule="auto" w:before="182"/>
        <w:ind w:left="120" w:right="118"/>
        <w:jc w:val="both"/>
      </w:pPr>
      <w:r>
        <w:rPr>
          <w:color w:val="231F20"/>
        </w:rPr>
        <w:t>Freight revenues for 2015 increased by $4 million, or 2.3 percent, compared with 2014, primarily due  to increased pounds shipped. Based on current trends, the Company currently expects Freight revenues in first quarter 2016 to be comparable to fourth quarter</w:t>
      </w:r>
      <w:r>
        <w:rPr>
          <w:color w:val="231F20"/>
          <w:spacing w:val="-7"/>
        </w:rPr>
        <w:t> </w:t>
      </w:r>
      <w:r>
        <w:rPr>
          <w:color w:val="231F20"/>
        </w:rPr>
        <w:t>2015.</w:t>
      </w:r>
    </w:p>
    <w:p>
      <w:pPr>
        <w:pStyle w:val="BodyText"/>
        <w:spacing w:line="247" w:lineRule="auto" w:before="182"/>
        <w:ind w:left="120" w:right="118"/>
        <w:jc w:val="both"/>
      </w:pPr>
      <w:r>
        <w:rPr>
          <w:color w:val="231F20"/>
        </w:rPr>
        <w:t>The Company recorded a Special revenue adjustment during 2015 of $172 million. This adjustment represented a one-time non-cash reduction to the deferred revenue liability as a result of the July 2015 amended Agreement with Chase and the resulting change in accounting methodology. The adjustment is classified as a special item and thus excluded from the Company’s non-GAAP financial results. See Note 1 to the Consolidated Financial Statements and the Note Regarding Use of Non-GAAP Financial Measures for further information.</w:t>
      </w:r>
    </w:p>
    <w:p>
      <w:pPr>
        <w:pStyle w:val="BodyText"/>
        <w:spacing w:line="247" w:lineRule="auto" w:before="182"/>
        <w:ind w:left="119" w:right="117"/>
        <w:jc w:val="both"/>
      </w:pPr>
      <w:r>
        <w:rPr>
          <w:color w:val="231F20"/>
        </w:rPr>
        <w:t>Other revenues for 2015 increased by $398 million, or 51.6 percent, compared with 2014, primarily as a result of the July 2015 amended Agreement with Chase and the resulting change in accounting methodology. The Agreement resulted in an acceleration of the timing of revenue recognition on a prospective basis beginning July 1, 2015, as well as a change in classification. The transportation element of the consideration received is now allocated a lower relative value, resulting in a reduction in the revenues classified as Passenger on a prospective basis, and the higher relative value associated  with the non-transportation elements results in an increase in the portion of revenues  classified  as Other within the Consolidated Statement of Income; however, the precise revenue impact for future periods is not determinable until the volume of future transactions for the period is known. Ancillary revenues increased slightly year-over-year, primarily due to an increase in EarlyBird Check-in</w:t>
      </w:r>
      <w:r>
        <w:rPr>
          <w:color w:val="231F20"/>
          <w:position w:val="5"/>
          <w:sz w:val="16"/>
        </w:rPr>
        <w:t>® </w:t>
      </w:r>
      <w:r>
        <w:rPr>
          <w:color w:val="231F20"/>
        </w:rPr>
        <w:t>and A1-15 select boarding positions sold at the gate, which was partially offset by the decrease in revenues from the termination of AirTran passenger service and related ancillary</w:t>
      </w:r>
      <w:r>
        <w:rPr>
          <w:color w:val="231F20"/>
          <w:spacing w:val="-3"/>
        </w:rPr>
        <w:t> </w:t>
      </w:r>
      <w:r>
        <w:rPr>
          <w:color w:val="231F20"/>
        </w:rPr>
        <w:t>fees.</w:t>
      </w:r>
    </w:p>
    <w:p>
      <w:pPr>
        <w:pStyle w:val="BodyText"/>
        <w:spacing w:line="247" w:lineRule="auto" w:before="182"/>
        <w:ind w:left="119" w:right="117"/>
        <w:jc w:val="both"/>
      </w:pPr>
      <w:r>
        <w:rPr>
          <w:color w:val="231F20"/>
        </w:rPr>
        <w:t>While some yield softness has continued into January, demand for low-fare air travel, thus far, remains strong. Based on favorable booking and revenue trends, and including the estimated $110 million first quarter 2016 effect of the amended Agreement with Chase, the Company is currently expecting first quarter 2016 operating unit revenues to be flat with first quarter 2015. See Note 1 to the Consolidated Financial Statements for further information.</w:t>
      </w:r>
    </w:p>
    <w:p>
      <w:pPr>
        <w:spacing w:after="0" w:line="247" w:lineRule="auto"/>
        <w:jc w:val="both"/>
        <w:sectPr>
          <w:pgSz w:w="11880" w:h="15480"/>
          <w:pgMar w:header="0" w:footer="1240" w:top="1240" w:bottom="1420" w:left="1260" w:right="1260"/>
        </w:sectPr>
      </w:pPr>
    </w:p>
    <w:p>
      <w:pPr>
        <w:pStyle w:val="Heading1"/>
        <w:spacing w:before="74"/>
      </w:pPr>
      <w:r>
        <w:rPr>
          <w:color w:val="231F20"/>
        </w:rPr>
        <w:t>Operating Expenses</w:t>
      </w:r>
    </w:p>
    <w:p>
      <w:pPr>
        <w:pStyle w:val="BodyText"/>
        <w:spacing w:line="247" w:lineRule="auto" w:before="174"/>
        <w:ind w:left="100" w:right="137"/>
        <w:jc w:val="both"/>
      </w:pPr>
      <w:r>
        <w:rPr>
          <w:color w:val="231F20"/>
        </w:rPr>
        <w:t>Operating expenses for 2015 decreased by $676 million, or 4.1 percent, compared with 2014, while capacity increased 7.2 percent over the same period. Historically, except for changes in the price of fuel, changes in most Operating expenses for airlines are driven by changes in capacity, or ASMs. The following table presents the Company’s Operating expenses per ASM for 2015 and 2014, followed by explanations of these changes on a per ASM basis and/or on a dollar basis:</w:t>
      </w:r>
    </w:p>
    <w:p>
      <w:pPr>
        <w:pStyle w:val="BodyText"/>
        <w:spacing w:before="11"/>
        <w:rPr>
          <w:sz w:val="1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127"/>
        <w:gridCol w:w="153"/>
        <w:gridCol w:w="1113"/>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127" w:type="dxa"/>
          </w:tcPr>
          <w:p>
            <w:pPr>
              <w:pStyle w:val="TableParagraph"/>
              <w:spacing w:line="229" w:lineRule="exact" w:before="0"/>
              <w:ind w:left="142"/>
              <w:rPr>
                <w:b/>
                <w:sz w:val="20"/>
              </w:rPr>
            </w:pPr>
            <w:r>
              <w:rPr>
                <w:b/>
                <w:color w:val="231F20"/>
                <w:sz w:val="20"/>
              </w:rPr>
              <w:t>Per ASM</w:t>
            </w:r>
          </w:p>
        </w:tc>
        <w:tc>
          <w:tcPr>
            <w:tcW w:w="153" w:type="dxa"/>
          </w:tcPr>
          <w:p>
            <w:pPr/>
          </w:p>
        </w:tc>
        <w:tc>
          <w:tcPr>
            <w:tcW w:w="1113"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ind w:left="59"/>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39"/>
              <w:rPr>
                <w:b/>
                <w:sz w:val="20"/>
              </w:rPr>
            </w:pPr>
            <w:r>
              <w:rPr>
                <w:b/>
                <w:color w:val="231F20"/>
                <w:sz w:val="20"/>
              </w:rPr>
              <w:t>2015</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2014</w:t>
            </w:r>
          </w:p>
        </w:tc>
        <w:tc>
          <w:tcPr>
            <w:tcW w:w="200" w:type="dxa"/>
          </w:tcPr>
          <w:p>
            <w:pPr/>
          </w:p>
        </w:tc>
        <w:tc>
          <w:tcPr>
            <w:tcW w:w="1127" w:type="dxa"/>
            <w:tcBorders>
              <w:bottom w:val="single" w:sz="8" w:space="0" w:color="231F20"/>
            </w:tcBorders>
          </w:tcPr>
          <w:p>
            <w:pPr>
              <w:pStyle w:val="TableParagraph"/>
              <w:spacing w:before="23"/>
              <w:ind w:left="240"/>
              <w:rPr>
                <w:b/>
                <w:sz w:val="20"/>
              </w:rPr>
            </w:pPr>
            <w:r>
              <w:rPr>
                <w:b/>
                <w:color w:val="231F20"/>
                <w:sz w:val="20"/>
              </w:rPr>
              <w:t>change</w:t>
            </w:r>
          </w:p>
        </w:tc>
        <w:tc>
          <w:tcPr>
            <w:tcW w:w="153" w:type="dxa"/>
          </w:tcPr>
          <w:p>
            <w:pPr/>
          </w:p>
        </w:tc>
        <w:tc>
          <w:tcPr>
            <w:tcW w:w="1113"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D1D3D4"/>
          </w:tcPr>
          <w:p>
            <w:pPr>
              <w:pStyle w:val="TableParagraph"/>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4.54¢</w:t>
            </w:r>
          </w:p>
        </w:tc>
        <w:tc>
          <w:tcPr>
            <w:tcW w:w="1280" w:type="dxa"/>
            <w:tcBorders>
              <w:top w:val="single" w:sz="8" w:space="0" w:color="231F20"/>
            </w:tcBorders>
            <w:shd w:val="clear" w:color="auto" w:fill="D1D3D4"/>
          </w:tcPr>
          <w:p>
            <w:pPr>
              <w:pStyle w:val="TableParagraph"/>
              <w:ind w:right="19"/>
              <w:jc w:val="right"/>
              <w:rPr>
                <w:sz w:val="20"/>
              </w:rPr>
            </w:pPr>
            <w:r>
              <w:rPr>
                <w:color w:val="231F20"/>
                <w:sz w:val="20"/>
              </w:rPr>
              <w:t>4.14¢</w:t>
            </w:r>
          </w:p>
        </w:tc>
        <w:tc>
          <w:tcPr>
            <w:tcW w:w="200" w:type="dxa"/>
            <w:shd w:val="clear" w:color="auto" w:fill="D1D3D4"/>
          </w:tcPr>
          <w:p>
            <w:pPr/>
          </w:p>
        </w:tc>
        <w:tc>
          <w:tcPr>
            <w:tcW w:w="1127" w:type="dxa"/>
            <w:tcBorders>
              <w:top w:val="single" w:sz="8" w:space="0" w:color="231F20"/>
            </w:tcBorders>
            <w:shd w:val="clear" w:color="auto" w:fill="D1D3D4"/>
          </w:tcPr>
          <w:p>
            <w:pPr>
              <w:pStyle w:val="TableParagraph"/>
              <w:ind w:right="64"/>
              <w:jc w:val="right"/>
              <w:rPr>
                <w:sz w:val="20"/>
              </w:rPr>
            </w:pPr>
            <w:r>
              <w:rPr>
                <w:color w:val="231F20"/>
                <w:sz w:val="20"/>
              </w:rPr>
              <w:t>0.40 ¢</w:t>
            </w:r>
          </w:p>
        </w:tc>
        <w:tc>
          <w:tcPr>
            <w:tcW w:w="153" w:type="dxa"/>
            <w:shd w:val="clear" w:color="auto" w:fill="D1D3D4"/>
          </w:tcPr>
          <w:p>
            <w:pPr/>
          </w:p>
        </w:tc>
        <w:tc>
          <w:tcPr>
            <w:tcW w:w="1113" w:type="dxa"/>
            <w:tcBorders>
              <w:top w:val="single" w:sz="8" w:space="0" w:color="231F20"/>
            </w:tcBorders>
            <w:shd w:val="clear" w:color="auto" w:fill="D1D3D4"/>
          </w:tcPr>
          <w:p>
            <w:pPr>
              <w:pStyle w:val="TableParagraph"/>
              <w:ind w:right="63"/>
              <w:jc w:val="right"/>
              <w:rPr>
                <w:sz w:val="20"/>
              </w:rPr>
            </w:pPr>
            <w:r>
              <w:rPr>
                <w:color w:val="231F20"/>
                <w:sz w:val="20"/>
              </w:rPr>
              <w:t>9.7 %</w:t>
            </w:r>
          </w:p>
        </w:tc>
      </w:tr>
      <w:tr>
        <w:trPr>
          <w:trHeight w:val="300" w:hRule="exact"/>
        </w:trPr>
        <w:tc>
          <w:tcPr>
            <w:tcW w:w="4200" w:type="dxa"/>
          </w:tcPr>
          <w:p>
            <w:pPr>
              <w:pStyle w:val="TableParagraph"/>
              <w:ind w:left="60"/>
              <w:rPr>
                <w:sz w:val="20"/>
              </w:rPr>
            </w:pPr>
            <w:r>
              <w:rPr>
                <w:color w:val="231F20"/>
                <w:sz w:val="20"/>
              </w:rPr>
              <w:t>Fuel and oil</w:t>
            </w:r>
          </w:p>
        </w:tc>
        <w:tc>
          <w:tcPr>
            <w:tcW w:w="1080" w:type="dxa"/>
          </w:tcPr>
          <w:p>
            <w:pPr>
              <w:pStyle w:val="TableParagraph"/>
              <w:ind w:right="119"/>
              <w:jc w:val="right"/>
              <w:rPr>
                <w:sz w:val="20"/>
              </w:rPr>
            </w:pPr>
            <w:r>
              <w:rPr>
                <w:color w:val="231F20"/>
                <w:sz w:val="20"/>
              </w:rPr>
              <w:t>2.57</w:t>
            </w:r>
          </w:p>
        </w:tc>
        <w:tc>
          <w:tcPr>
            <w:tcW w:w="1280" w:type="dxa"/>
          </w:tcPr>
          <w:p>
            <w:pPr>
              <w:pStyle w:val="TableParagraph"/>
              <w:ind w:right="119"/>
              <w:jc w:val="right"/>
              <w:rPr>
                <w:sz w:val="20"/>
              </w:rPr>
            </w:pPr>
            <w:r>
              <w:rPr>
                <w:color w:val="231F20"/>
                <w:sz w:val="20"/>
              </w:rPr>
              <w:t>4.04</w:t>
            </w:r>
          </w:p>
        </w:tc>
        <w:tc>
          <w:tcPr>
            <w:tcW w:w="200" w:type="dxa"/>
          </w:tcPr>
          <w:p>
            <w:pPr/>
          </w:p>
        </w:tc>
        <w:tc>
          <w:tcPr>
            <w:tcW w:w="1127" w:type="dxa"/>
          </w:tcPr>
          <w:p>
            <w:pPr>
              <w:pStyle w:val="TableParagraph"/>
              <w:ind w:right="98"/>
              <w:jc w:val="right"/>
              <w:rPr>
                <w:sz w:val="20"/>
              </w:rPr>
            </w:pPr>
            <w:r>
              <w:rPr>
                <w:color w:val="231F20"/>
                <w:sz w:val="20"/>
              </w:rPr>
              <w:t>(1.47)</w:t>
            </w:r>
          </w:p>
        </w:tc>
        <w:tc>
          <w:tcPr>
            <w:tcW w:w="153" w:type="dxa"/>
          </w:tcPr>
          <w:p>
            <w:pPr/>
          </w:p>
        </w:tc>
        <w:tc>
          <w:tcPr>
            <w:tcW w:w="1113" w:type="dxa"/>
          </w:tcPr>
          <w:p>
            <w:pPr>
              <w:pStyle w:val="TableParagraph"/>
              <w:ind w:left="463"/>
              <w:rPr>
                <w:sz w:val="20"/>
              </w:rPr>
            </w:pPr>
            <w:r>
              <w:rPr>
                <w:color w:val="231F20"/>
                <w:sz w:val="20"/>
              </w:rPr>
              <w:t>(36.4)</w:t>
            </w:r>
          </w:p>
        </w:tc>
      </w:tr>
      <w:tr>
        <w:trPr>
          <w:trHeight w:val="300" w:hRule="exact"/>
        </w:trPr>
        <w:tc>
          <w:tcPr>
            <w:tcW w:w="4200" w:type="dxa"/>
            <w:shd w:val="clear" w:color="auto" w:fill="D1D3D4"/>
          </w:tcPr>
          <w:p>
            <w:pPr>
              <w:pStyle w:val="TableParagraph"/>
              <w:ind w:left="60"/>
              <w:rPr>
                <w:sz w:val="20"/>
              </w:rPr>
            </w:pPr>
            <w:r>
              <w:rPr>
                <w:color w:val="231F20"/>
                <w:sz w:val="20"/>
              </w:rPr>
              <w:t>Maintenance materials and repairs</w:t>
            </w:r>
          </w:p>
        </w:tc>
        <w:tc>
          <w:tcPr>
            <w:tcW w:w="1080" w:type="dxa"/>
            <w:shd w:val="clear" w:color="auto" w:fill="D1D3D4"/>
          </w:tcPr>
          <w:p>
            <w:pPr>
              <w:pStyle w:val="TableParagraph"/>
              <w:ind w:right="117"/>
              <w:jc w:val="right"/>
              <w:rPr>
                <w:sz w:val="20"/>
              </w:rPr>
            </w:pPr>
            <w:r>
              <w:rPr>
                <w:color w:val="231F20"/>
                <w:sz w:val="20"/>
              </w:rPr>
              <w:t>0.72</w:t>
            </w:r>
          </w:p>
        </w:tc>
        <w:tc>
          <w:tcPr>
            <w:tcW w:w="1280" w:type="dxa"/>
            <w:shd w:val="clear" w:color="auto" w:fill="D1D3D4"/>
          </w:tcPr>
          <w:p>
            <w:pPr>
              <w:pStyle w:val="TableParagraph"/>
              <w:ind w:right="117"/>
              <w:jc w:val="right"/>
              <w:rPr>
                <w:sz w:val="20"/>
              </w:rPr>
            </w:pPr>
            <w:r>
              <w:rPr>
                <w:color w:val="231F20"/>
                <w:sz w:val="20"/>
              </w:rPr>
              <w:t>0.75</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(0.03)</w:t>
            </w:r>
          </w:p>
        </w:tc>
        <w:tc>
          <w:tcPr>
            <w:tcW w:w="153" w:type="dxa"/>
            <w:shd w:val="clear" w:color="auto" w:fill="D1D3D4"/>
          </w:tcPr>
          <w:p>
            <w:pPr/>
          </w:p>
        </w:tc>
        <w:tc>
          <w:tcPr>
            <w:tcW w:w="1113" w:type="dxa"/>
            <w:shd w:val="clear" w:color="auto" w:fill="D1D3D4"/>
          </w:tcPr>
          <w:p>
            <w:pPr>
              <w:pStyle w:val="TableParagraph"/>
              <w:ind w:left="563"/>
              <w:rPr>
                <w:sz w:val="20"/>
              </w:rPr>
            </w:pPr>
            <w:r>
              <w:rPr>
                <w:color w:val="231F20"/>
                <w:sz w:val="20"/>
              </w:rPr>
              <w:t>(4.0)</w:t>
            </w:r>
          </w:p>
        </w:tc>
      </w:tr>
      <w:tr>
        <w:trPr>
          <w:trHeight w:val="300" w:hRule="exact"/>
        </w:trPr>
        <w:tc>
          <w:tcPr>
            <w:tcW w:w="4200" w:type="dxa"/>
          </w:tcPr>
          <w:p>
            <w:pPr>
              <w:pStyle w:val="TableParagraph"/>
              <w:ind w:left="60"/>
              <w:rPr>
                <w:sz w:val="20"/>
              </w:rPr>
            </w:pPr>
            <w:r>
              <w:rPr>
                <w:color w:val="231F20"/>
                <w:sz w:val="20"/>
              </w:rPr>
              <w:t>Aircraft rentals</w:t>
            </w:r>
          </w:p>
        </w:tc>
        <w:tc>
          <w:tcPr>
            <w:tcW w:w="1080" w:type="dxa"/>
          </w:tcPr>
          <w:p>
            <w:pPr>
              <w:pStyle w:val="TableParagraph"/>
              <w:ind w:right="119"/>
              <w:jc w:val="right"/>
              <w:rPr>
                <w:sz w:val="20"/>
              </w:rPr>
            </w:pPr>
            <w:r>
              <w:rPr>
                <w:color w:val="231F20"/>
                <w:sz w:val="20"/>
              </w:rPr>
              <w:t>0.17</w:t>
            </w:r>
          </w:p>
        </w:tc>
        <w:tc>
          <w:tcPr>
            <w:tcW w:w="1280" w:type="dxa"/>
          </w:tcPr>
          <w:p>
            <w:pPr>
              <w:pStyle w:val="TableParagraph"/>
              <w:ind w:right="119"/>
              <w:jc w:val="right"/>
              <w:rPr>
                <w:sz w:val="20"/>
              </w:rPr>
            </w:pPr>
            <w:r>
              <w:rPr>
                <w:color w:val="231F20"/>
                <w:sz w:val="20"/>
              </w:rPr>
              <w:t>0.22</w:t>
            </w:r>
          </w:p>
        </w:tc>
        <w:tc>
          <w:tcPr>
            <w:tcW w:w="200" w:type="dxa"/>
          </w:tcPr>
          <w:p>
            <w:pPr/>
          </w:p>
        </w:tc>
        <w:tc>
          <w:tcPr>
            <w:tcW w:w="1127" w:type="dxa"/>
          </w:tcPr>
          <w:p>
            <w:pPr>
              <w:pStyle w:val="TableParagraph"/>
              <w:ind w:right="98"/>
              <w:jc w:val="right"/>
              <w:rPr>
                <w:sz w:val="20"/>
              </w:rPr>
            </w:pPr>
            <w:r>
              <w:rPr>
                <w:color w:val="231F20"/>
                <w:sz w:val="20"/>
              </w:rPr>
              <w:t>(0.05)</w:t>
            </w:r>
          </w:p>
        </w:tc>
        <w:tc>
          <w:tcPr>
            <w:tcW w:w="153" w:type="dxa"/>
          </w:tcPr>
          <w:p>
            <w:pPr/>
          </w:p>
        </w:tc>
        <w:tc>
          <w:tcPr>
            <w:tcW w:w="1113" w:type="dxa"/>
          </w:tcPr>
          <w:p>
            <w:pPr>
              <w:pStyle w:val="TableParagraph"/>
              <w:ind w:left="463"/>
              <w:rPr>
                <w:sz w:val="20"/>
              </w:rPr>
            </w:pPr>
            <w:r>
              <w:rPr>
                <w:color w:val="231F20"/>
                <w:sz w:val="20"/>
              </w:rPr>
              <w:t>(22.7)</w:t>
            </w:r>
          </w:p>
        </w:tc>
      </w:tr>
      <w:tr>
        <w:trPr>
          <w:trHeight w:val="300" w:hRule="exact"/>
        </w:trPr>
        <w:tc>
          <w:tcPr>
            <w:tcW w:w="4200" w:type="dxa"/>
            <w:shd w:val="clear" w:color="auto" w:fill="D1D3D4"/>
          </w:tcPr>
          <w:p>
            <w:pPr>
              <w:pStyle w:val="TableParagraph"/>
              <w:ind w:left="60"/>
              <w:rPr>
                <w:sz w:val="20"/>
              </w:rPr>
            </w:pPr>
            <w:r>
              <w:rPr>
                <w:color w:val="231F20"/>
                <w:sz w:val="20"/>
              </w:rPr>
              <w:t>Landing fees and other rentals</w:t>
            </w:r>
          </w:p>
        </w:tc>
        <w:tc>
          <w:tcPr>
            <w:tcW w:w="1080" w:type="dxa"/>
            <w:shd w:val="clear" w:color="auto" w:fill="D1D3D4"/>
          </w:tcPr>
          <w:p>
            <w:pPr>
              <w:pStyle w:val="TableParagraph"/>
              <w:ind w:right="119"/>
              <w:jc w:val="right"/>
              <w:rPr>
                <w:sz w:val="20"/>
              </w:rPr>
            </w:pPr>
            <w:r>
              <w:rPr>
                <w:color w:val="231F20"/>
                <w:sz w:val="20"/>
              </w:rPr>
              <w:t>0.83</w:t>
            </w:r>
          </w:p>
        </w:tc>
        <w:tc>
          <w:tcPr>
            <w:tcW w:w="1280" w:type="dxa"/>
            <w:shd w:val="clear" w:color="auto" w:fill="D1D3D4"/>
          </w:tcPr>
          <w:p>
            <w:pPr>
              <w:pStyle w:val="TableParagraph"/>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(0.02)</w:t>
            </w:r>
          </w:p>
        </w:tc>
        <w:tc>
          <w:tcPr>
            <w:tcW w:w="153" w:type="dxa"/>
            <w:shd w:val="clear" w:color="auto" w:fill="D1D3D4"/>
          </w:tcPr>
          <w:p>
            <w:pPr/>
          </w:p>
        </w:tc>
        <w:tc>
          <w:tcPr>
            <w:tcW w:w="1113" w:type="dxa"/>
            <w:shd w:val="clear" w:color="auto" w:fill="D1D3D4"/>
          </w:tcPr>
          <w:p>
            <w:pPr>
              <w:pStyle w:val="TableParagraph"/>
              <w:ind w:left="563"/>
              <w:rPr>
                <w:sz w:val="20"/>
              </w:rPr>
            </w:pPr>
            <w:r>
              <w:rPr>
                <w:color w:val="231F20"/>
                <w:sz w:val="20"/>
              </w:rPr>
              <w:t>(2.4)</w:t>
            </w:r>
          </w:p>
        </w:tc>
      </w:tr>
      <w:tr>
        <w:trPr>
          <w:trHeight w:val="300" w:hRule="exact"/>
        </w:trPr>
        <w:tc>
          <w:tcPr>
            <w:tcW w:w="4200" w:type="dxa"/>
          </w:tcPr>
          <w:p>
            <w:pPr>
              <w:pStyle w:val="TableParagraph"/>
              <w:ind w:left="60"/>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0.72</w:t>
            </w:r>
          </w:p>
        </w:tc>
        <w:tc>
          <w:tcPr>
            <w:tcW w:w="1280" w:type="dxa"/>
          </w:tcPr>
          <w:p>
            <w:pPr>
              <w:pStyle w:val="TableParagraph"/>
              <w:ind w:right="117"/>
              <w:jc w:val="right"/>
              <w:rPr>
                <w:sz w:val="20"/>
              </w:rPr>
            </w:pPr>
            <w:r>
              <w:rPr>
                <w:color w:val="231F20"/>
                <w:sz w:val="20"/>
              </w:rPr>
              <w:t>0.72</w:t>
            </w:r>
          </w:p>
        </w:tc>
        <w:tc>
          <w:tcPr>
            <w:tcW w:w="200" w:type="dxa"/>
          </w:tcPr>
          <w:p>
            <w:pPr/>
          </w:p>
        </w:tc>
        <w:tc>
          <w:tcPr>
            <w:tcW w:w="1127" w:type="dxa"/>
          </w:tcPr>
          <w:p>
            <w:pPr>
              <w:pStyle w:val="TableParagraph"/>
              <w:ind w:right="164"/>
              <w:jc w:val="right"/>
              <w:rPr>
                <w:sz w:val="20"/>
              </w:rPr>
            </w:pPr>
            <w:r>
              <w:rPr>
                <w:color w:val="231F20"/>
                <w:sz w:val="20"/>
              </w:rPr>
              <w:t>—</w:t>
            </w:r>
          </w:p>
        </w:tc>
        <w:tc>
          <w:tcPr>
            <w:tcW w:w="153" w:type="dxa"/>
          </w:tcPr>
          <w:p>
            <w:pPr/>
          </w:p>
        </w:tc>
        <w:tc>
          <w:tcPr>
            <w:tcW w:w="1113" w:type="dxa"/>
          </w:tcPr>
          <w:p>
            <w:pPr>
              <w:pStyle w:val="TableParagraph"/>
              <w:ind w:left="680"/>
              <w:rPr>
                <w:sz w:val="20"/>
              </w:rPr>
            </w:pPr>
            <w:r>
              <w:rPr>
                <w:color w:val="231F20"/>
                <w:sz w:val="20"/>
              </w:rPr>
              <w:t>—</w:t>
            </w:r>
          </w:p>
        </w:tc>
      </w:tr>
      <w:tr>
        <w:trPr>
          <w:trHeight w:val="300" w:hRule="exact"/>
        </w:trPr>
        <w:tc>
          <w:tcPr>
            <w:tcW w:w="4200" w:type="dxa"/>
            <w:shd w:val="clear" w:color="auto" w:fill="D1D3D4"/>
          </w:tcPr>
          <w:p>
            <w:pPr>
              <w:pStyle w:val="TableParagraph"/>
              <w:ind w:left="60"/>
              <w:rPr>
                <w:sz w:val="20"/>
              </w:rPr>
            </w:pPr>
            <w:r>
              <w:rPr>
                <w:color w:val="231F20"/>
                <w:sz w:val="20"/>
              </w:rPr>
              <w:t>Acquisition and integration</w:t>
            </w:r>
          </w:p>
        </w:tc>
        <w:tc>
          <w:tcPr>
            <w:tcW w:w="1080" w:type="dxa"/>
            <w:shd w:val="clear" w:color="auto" w:fill="D1D3D4"/>
          </w:tcPr>
          <w:p>
            <w:pPr>
              <w:pStyle w:val="TableParagraph"/>
              <w:ind w:right="117"/>
              <w:jc w:val="right"/>
              <w:rPr>
                <w:sz w:val="20"/>
              </w:rPr>
            </w:pPr>
            <w:r>
              <w:rPr>
                <w:color w:val="231F20"/>
                <w:sz w:val="20"/>
              </w:rPr>
              <w:t>0.03</w:t>
            </w:r>
          </w:p>
        </w:tc>
        <w:tc>
          <w:tcPr>
            <w:tcW w:w="1280" w:type="dxa"/>
            <w:shd w:val="clear" w:color="auto" w:fill="D1D3D4"/>
          </w:tcPr>
          <w:p>
            <w:pPr>
              <w:pStyle w:val="TableParagraph"/>
              <w:ind w:right="117"/>
              <w:jc w:val="right"/>
              <w:rPr>
                <w:sz w:val="20"/>
              </w:rPr>
            </w:pPr>
            <w:r>
              <w:rPr>
                <w:color w:val="231F20"/>
                <w:sz w:val="20"/>
              </w:rPr>
              <w:t>0.10</w:t>
            </w:r>
          </w:p>
        </w:tc>
        <w:tc>
          <w:tcPr>
            <w:tcW w:w="200" w:type="dxa"/>
            <w:shd w:val="clear" w:color="auto" w:fill="D1D3D4"/>
          </w:tcPr>
          <w:p>
            <w:pPr/>
          </w:p>
        </w:tc>
        <w:tc>
          <w:tcPr>
            <w:tcW w:w="1127" w:type="dxa"/>
            <w:shd w:val="clear" w:color="auto" w:fill="D1D3D4"/>
          </w:tcPr>
          <w:p>
            <w:pPr>
              <w:pStyle w:val="TableParagraph"/>
              <w:ind w:right="98"/>
              <w:jc w:val="right"/>
              <w:rPr>
                <w:sz w:val="20"/>
              </w:rPr>
            </w:pPr>
            <w:r>
              <w:rPr>
                <w:color w:val="231F20"/>
                <w:sz w:val="20"/>
              </w:rPr>
              <w:t>(0.07)</w:t>
            </w:r>
          </w:p>
        </w:tc>
        <w:tc>
          <w:tcPr>
            <w:tcW w:w="153" w:type="dxa"/>
            <w:shd w:val="clear" w:color="auto" w:fill="D1D3D4"/>
          </w:tcPr>
          <w:p>
            <w:pPr/>
          </w:p>
        </w:tc>
        <w:tc>
          <w:tcPr>
            <w:tcW w:w="1113" w:type="dxa"/>
            <w:shd w:val="clear" w:color="auto" w:fill="D1D3D4"/>
          </w:tcPr>
          <w:p>
            <w:pPr>
              <w:pStyle w:val="TableParagraph"/>
              <w:ind w:left="463"/>
              <w:rPr>
                <w:sz w:val="20"/>
              </w:rPr>
            </w:pPr>
            <w:r>
              <w:rPr>
                <w:color w:val="231F20"/>
                <w:sz w:val="20"/>
              </w:rPr>
              <w:t>(70.0)</w:t>
            </w:r>
          </w:p>
        </w:tc>
      </w:tr>
      <w:tr>
        <w:trPr>
          <w:trHeight w:val="315" w:hRule="exact"/>
        </w:trPr>
        <w:tc>
          <w:tcPr>
            <w:tcW w:w="4200" w:type="dxa"/>
          </w:tcPr>
          <w:p>
            <w:pPr>
              <w:pStyle w:val="TableParagraph"/>
              <w:ind w:left="60"/>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1.60</w:t>
            </w:r>
          </w:p>
        </w:tc>
        <w:tc>
          <w:tcPr>
            <w:tcW w:w="1280" w:type="dxa"/>
            <w:tcBorders>
              <w:bottom w:val="single" w:sz="4" w:space="0" w:color="231F20"/>
            </w:tcBorders>
          </w:tcPr>
          <w:p>
            <w:pPr>
              <w:pStyle w:val="TableParagraph"/>
              <w:ind w:right="117"/>
              <w:jc w:val="right"/>
              <w:rPr>
                <w:sz w:val="20"/>
              </w:rPr>
            </w:pPr>
            <w:r>
              <w:rPr>
                <w:color w:val="231F20"/>
                <w:sz w:val="20"/>
              </w:rPr>
              <w:t>1.68</w:t>
            </w:r>
          </w:p>
        </w:tc>
        <w:tc>
          <w:tcPr>
            <w:tcW w:w="200" w:type="dxa"/>
          </w:tcPr>
          <w:p>
            <w:pPr/>
          </w:p>
        </w:tc>
        <w:tc>
          <w:tcPr>
            <w:tcW w:w="1127" w:type="dxa"/>
            <w:tcBorders>
              <w:bottom w:val="single" w:sz="4" w:space="0" w:color="231F20"/>
            </w:tcBorders>
          </w:tcPr>
          <w:p>
            <w:pPr>
              <w:pStyle w:val="TableParagraph"/>
              <w:ind w:right="98"/>
              <w:jc w:val="right"/>
              <w:rPr>
                <w:sz w:val="20"/>
              </w:rPr>
            </w:pPr>
            <w:r>
              <w:rPr>
                <w:color w:val="231F20"/>
                <w:sz w:val="20"/>
              </w:rPr>
              <w:t>(0.08)</w:t>
            </w:r>
          </w:p>
        </w:tc>
        <w:tc>
          <w:tcPr>
            <w:tcW w:w="153" w:type="dxa"/>
          </w:tcPr>
          <w:p>
            <w:pPr/>
          </w:p>
        </w:tc>
        <w:tc>
          <w:tcPr>
            <w:tcW w:w="1113" w:type="dxa"/>
            <w:tcBorders>
              <w:bottom w:val="single" w:sz="4" w:space="0" w:color="231F20"/>
            </w:tcBorders>
          </w:tcPr>
          <w:p>
            <w:pPr>
              <w:pStyle w:val="TableParagraph"/>
              <w:ind w:left="563"/>
              <w:rPr>
                <w:sz w:val="20"/>
              </w:rPr>
            </w:pPr>
            <w:r>
              <w:rPr>
                <w:color w:val="231F20"/>
                <w:sz w:val="20"/>
              </w:rPr>
              <w:t>(4.8)</w:t>
            </w:r>
          </w:p>
        </w:tc>
      </w:tr>
      <w:tr>
        <w:trPr>
          <w:trHeight w:val="360" w:hRule="exact"/>
        </w:trPr>
        <w:tc>
          <w:tcPr>
            <w:tcW w:w="4200" w:type="dxa"/>
            <w:shd w:val="clear" w:color="auto" w:fill="D1D3D4"/>
          </w:tcPr>
          <w:p>
            <w:pPr>
              <w:pStyle w:val="TableParagraph"/>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ind w:right="17"/>
              <w:jc w:val="right"/>
              <w:rPr>
                <w:sz w:val="20"/>
              </w:rPr>
            </w:pPr>
            <w:r>
              <w:rPr>
                <w:color w:val="231F20"/>
                <w:sz w:val="20"/>
              </w:rPr>
              <w:t>11.18¢</w:t>
            </w:r>
          </w:p>
        </w:tc>
        <w:tc>
          <w:tcPr>
            <w:tcW w:w="1280" w:type="dxa"/>
            <w:tcBorders>
              <w:top w:val="single" w:sz="4" w:space="0" w:color="231F20"/>
              <w:bottom w:val="single" w:sz="4" w:space="0" w:color="231F20"/>
            </w:tcBorders>
            <w:shd w:val="clear" w:color="auto" w:fill="D1D3D4"/>
          </w:tcPr>
          <w:p>
            <w:pPr>
              <w:pStyle w:val="TableParagraph"/>
              <w:ind w:right="17"/>
              <w:jc w:val="right"/>
              <w:rPr>
                <w:sz w:val="20"/>
              </w:rPr>
            </w:pPr>
            <w:r>
              <w:rPr>
                <w:color w:val="231F20"/>
                <w:sz w:val="20"/>
              </w:rPr>
              <w:t>12.50¢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jc w:val="right"/>
              <w:rPr>
                <w:sz w:val="20"/>
              </w:rPr>
            </w:pPr>
            <w:r>
              <w:rPr>
                <w:color w:val="231F20"/>
                <w:sz w:val="20"/>
              </w:rPr>
              <w:t>(1.32)¢</w:t>
            </w:r>
          </w:p>
        </w:tc>
        <w:tc>
          <w:tcPr>
            <w:tcW w:w="153" w:type="dxa"/>
            <w:shd w:val="clear" w:color="auto" w:fill="D1D3D4"/>
          </w:tcPr>
          <w:p>
            <w:pPr/>
          </w:p>
        </w:tc>
        <w:tc>
          <w:tcPr>
            <w:tcW w:w="1113" w:type="dxa"/>
            <w:tcBorders>
              <w:top w:val="single" w:sz="4" w:space="0" w:color="231F20"/>
              <w:bottom w:val="single" w:sz="4" w:space="0" w:color="231F20"/>
            </w:tcBorders>
            <w:shd w:val="clear" w:color="auto" w:fill="D1D3D4"/>
          </w:tcPr>
          <w:p>
            <w:pPr>
              <w:pStyle w:val="TableParagraph"/>
              <w:spacing w:before="48"/>
              <w:jc w:val="right"/>
              <w:rPr>
                <w:sz w:val="20"/>
              </w:rPr>
            </w:pPr>
            <w:r>
              <w:rPr>
                <w:color w:val="231F20"/>
                <w:sz w:val="20"/>
              </w:rPr>
              <w:t>(10.6)%</w:t>
            </w:r>
          </w:p>
        </w:tc>
      </w:tr>
    </w:tbl>
    <w:p>
      <w:pPr>
        <w:pStyle w:val="BodyText"/>
        <w:spacing w:before="10"/>
        <w:rPr>
          <w:sz w:val="21"/>
        </w:rPr>
      </w:pPr>
    </w:p>
    <w:p>
      <w:pPr>
        <w:pStyle w:val="BodyText"/>
        <w:spacing w:line="247" w:lineRule="auto"/>
        <w:ind w:left="100" w:right="137"/>
        <w:jc w:val="both"/>
      </w:pPr>
      <w:r>
        <w:rPr/>
        <w:pict>
          <v:line style="position:absolute;mso-position-horizontal-relative:page;mso-position-vertical-relative:paragraph;z-index:-392944" from="279pt,-15.080475pt" to="333pt,-15.080475pt" stroked="true" strokeweight=".5pt" strokecolor="#231f20">
            <v:stroke dashstyle="solid"/>
            <w10:wrap type="none"/>
          </v:line>
        </w:pict>
      </w:r>
      <w:r>
        <w:rPr/>
        <w:pict>
          <v:line style="position:absolute;mso-position-horizontal-relative:page;mso-position-vertical-relative:paragraph;z-index:-392920" from="343pt,-15.080475pt" to="397pt,-15.080475pt" stroked="true" strokeweight=".5pt" strokecolor="#231f20">
            <v:stroke dashstyle="solid"/>
            <w10:wrap type="none"/>
          </v:line>
        </w:pict>
      </w:r>
      <w:r>
        <w:rPr/>
        <w:pict>
          <v:line style="position:absolute;mso-position-horizontal-relative:page;mso-position-vertical-relative:paragraph;z-index:-392896" from="407pt,-15.080475pt" to="461pt,-15.080475pt" stroked="true" strokeweight=".5pt" strokecolor="#231f20">
            <v:stroke dashstyle="solid"/>
            <w10:wrap type="none"/>
          </v:line>
        </w:pict>
      </w:r>
      <w:r>
        <w:rPr>
          <w:color w:val="231F20"/>
        </w:rPr>
        <w:t>Operating expenses per ASM for 2015 decreased by 10.6 percent, compared with 2014, primarily due to a decrease in Fuel and oil expense, partially offset by an increase in Salaries, wages, and benefits expense. On a non-GAAP basis, Operating expenses per ASM for 2015, excluding fuel and special items, increased 0.1 percent year-over-year primarily due to higher Salaries, wages, and benefits expense. Based on current cost trends, the Company expects its first quarter 2016 unit costs, excluding fuel, special items, and profitsharing to increase approximately two percent, compared with first quarter 2015. See the previous Note Regarding Use of Non-GAAP Financial</w:t>
      </w:r>
      <w:r>
        <w:rPr>
          <w:color w:val="231F20"/>
          <w:spacing w:val="-2"/>
        </w:rPr>
        <w:t> </w:t>
      </w:r>
      <w:r>
        <w:rPr>
          <w:color w:val="231F20"/>
        </w:rPr>
        <w:t>Measures.</w:t>
      </w:r>
    </w:p>
    <w:p>
      <w:pPr>
        <w:pStyle w:val="BodyText"/>
        <w:spacing w:line="247" w:lineRule="auto" w:before="201"/>
        <w:ind w:left="100" w:right="137"/>
        <w:jc w:val="both"/>
      </w:pPr>
      <w:r>
        <w:rPr>
          <w:color w:val="231F20"/>
        </w:rPr>
        <w:t>Salaries, wages, and benefits expense for 2015 increased by $949 million, or 17.5 percent, compared with 2014. Salaries, wages, and benefits expense per ASM for 2015 increased 9.7 percent, compared with 2014. On both a dollar and per ASM basis, approximately half of these increases were the result of higher salaries primarily due to the accrued $334 million of union bonuses as a result of ongoing negotiations with various workgroups during 2015, increased training, additional headcount, and contractual increases. The remaining increase was primarily due to higher profitsharing expense as a result of significantly higher profits in 2015. The Company’s profitsharing expense is based on profits that exclude the unrealized gains and/or losses the Company records for its fuel hedging program. Additionally, pursuant to the terms of the Company’s ProfitSharing Plan (the “Plan”), acquisition and integration costs were excluded from the calculation of profitsharing expense from April 1, 2011, through December 31, 2013. These costs, totaling $385 million, are being amortized on a pro rata basis as a reduction of operating profits, as defined by the Plan, from 2014 through 2018. In addition, Acquisition and integration costs incurred during 2014 and 2015 reduced operating profits, as defined, in the calculation of profitsharing. Based on current cost trends, the Company expects first quarter  2016 Salaries, wages, and benefits expense per ASM, excluding profitsharing and special items, to increase, compared with first quarter</w:t>
      </w:r>
      <w:r>
        <w:rPr>
          <w:color w:val="231F20"/>
          <w:spacing w:val="-2"/>
        </w:rPr>
        <w:t> </w:t>
      </w:r>
      <w:r>
        <w:rPr>
          <w:color w:val="231F20"/>
        </w:rPr>
        <w:t>2015.</w:t>
      </w:r>
    </w:p>
    <w:p>
      <w:pPr>
        <w:pStyle w:val="BodyText"/>
        <w:spacing w:before="3"/>
        <w:rPr>
          <w:sz w:val="26"/>
        </w:rPr>
      </w:pPr>
    </w:p>
    <w:p>
      <w:pPr>
        <w:pStyle w:val="BodyText"/>
        <w:spacing w:line="247" w:lineRule="auto"/>
        <w:ind w:left="100" w:right="138"/>
        <w:jc w:val="both"/>
      </w:pPr>
      <w:r>
        <w:rPr>
          <w:color w:val="231F20"/>
        </w:rPr>
        <w:t>The Company conducted negotiations with various unionized Employee groups during the year including  Dispatchers,  who  ratified  a  new  four-year  contract,  Flight  Simulator  Technicians,  who</w:t>
      </w:r>
    </w:p>
    <w:p>
      <w:pPr>
        <w:spacing w:after="0" w:line="247" w:lineRule="auto"/>
        <w:jc w:val="both"/>
        <w:sectPr>
          <w:pgSz w:w="11880" w:h="15480"/>
          <w:pgMar w:header="0" w:footer="1240" w:top="1240" w:bottom="1420" w:left="1280" w:right="1240"/>
        </w:sectPr>
      </w:pPr>
    </w:p>
    <w:p>
      <w:pPr>
        <w:pStyle w:val="BodyText"/>
        <w:spacing w:line="247" w:lineRule="auto" w:before="74"/>
        <w:ind w:left="120" w:right="117"/>
        <w:jc w:val="both"/>
      </w:pPr>
      <w:r>
        <w:rPr>
          <w:color w:val="231F20"/>
        </w:rPr>
        <w:t>ratified a new four-year contract, Meteorologists, who approved their first-ever collective bargaining agreement, Flight Attendants, Pilots, and Ramp, Operations, Provisioning, and Freight Agents. The following table sets forth the Company’s unionized Employee groups that are currently in negotiations on collective-bargaining agreements:</w:t>
      </w:r>
    </w:p>
    <w:p>
      <w:pPr>
        <w:pStyle w:val="BodyText"/>
        <w:rPr>
          <w:sz w:val="16"/>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49"/>
        <w:gridCol w:w="1374"/>
        <w:gridCol w:w="2849"/>
        <w:gridCol w:w="2028"/>
      </w:tblGrid>
      <w:tr>
        <w:trPr>
          <w:trHeight w:val="640" w:hRule="exact"/>
        </w:trPr>
        <w:tc>
          <w:tcPr>
            <w:tcW w:w="2849" w:type="dxa"/>
          </w:tcPr>
          <w:p>
            <w:pPr>
              <w:pStyle w:val="TableParagraph"/>
              <w:spacing w:before="0"/>
              <w:rPr>
                <w:sz w:val="22"/>
              </w:rPr>
            </w:pPr>
          </w:p>
          <w:p>
            <w:pPr>
              <w:pStyle w:val="TableParagraph"/>
              <w:spacing w:before="140"/>
              <w:ind w:left="40"/>
              <w:rPr>
                <w:b/>
                <w:sz w:val="20"/>
              </w:rPr>
            </w:pPr>
            <w:r>
              <w:rPr>
                <w:b/>
                <w:color w:val="231F20"/>
                <w:sz w:val="20"/>
              </w:rPr>
              <w:t>Employee Group</w:t>
            </w:r>
          </w:p>
        </w:tc>
        <w:tc>
          <w:tcPr>
            <w:tcW w:w="1374" w:type="dxa"/>
          </w:tcPr>
          <w:p>
            <w:pPr>
              <w:pStyle w:val="TableParagraph"/>
              <w:spacing w:line="200" w:lineRule="exact" w:before="20"/>
              <w:ind w:left="180" w:right="20"/>
              <w:rPr>
                <w:b/>
                <w:sz w:val="20"/>
              </w:rPr>
            </w:pPr>
            <w:r>
              <w:rPr>
                <w:b/>
                <w:color w:val="231F20"/>
                <w:sz w:val="20"/>
              </w:rPr>
              <w:t>Approximate Number of Employees</w:t>
            </w:r>
          </w:p>
        </w:tc>
        <w:tc>
          <w:tcPr>
            <w:tcW w:w="2849" w:type="dxa"/>
          </w:tcPr>
          <w:p>
            <w:pPr>
              <w:pStyle w:val="TableParagraph"/>
              <w:spacing w:before="0"/>
              <w:rPr>
                <w:sz w:val="22"/>
              </w:rPr>
            </w:pPr>
          </w:p>
          <w:p>
            <w:pPr>
              <w:pStyle w:val="TableParagraph"/>
              <w:spacing w:before="140"/>
              <w:ind w:left="120"/>
              <w:rPr>
                <w:b/>
                <w:sz w:val="20"/>
              </w:rPr>
            </w:pPr>
            <w:r>
              <w:rPr>
                <w:b/>
                <w:color w:val="231F20"/>
                <w:sz w:val="20"/>
              </w:rPr>
              <w:t>Representatives</w:t>
            </w:r>
          </w:p>
        </w:tc>
        <w:tc>
          <w:tcPr>
            <w:tcW w:w="2028" w:type="dxa"/>
          </w:tcPr>
          <w:p>
            <w:pPr>
              <w:pStyle w:val="TableParagraph"/>
              <w:spacing w:before="0"/>
              <w:rPr>
                <w:sz w:val="22"/>
              </w:rPr>
            </w:pPr>
          </w:p>
          <w:p>
            <w:pPr>
              <w:pStyle w:val="TableParagraph"/>
              <w:spacing w:before="140"/>
              <w:ind w:left="200"/>
              <w:rPr>
                <w:b/>
                <w:sz w:val="20"/>
              </w:rPr>
            </w:pPr>
            <w:r>
              <w:rPr>
                <w:b/>
                <w:color w:val="231F20"/>
                <w:sz w:val="20"/>
              </w:rPr>
              <w:t>Amendable Date</w:t>
            </w:r>
          </w:p>
        </w:tc>
      </w:tr>
      <w:tr>
        <w:trPr>
          <w:trHeight w:val="460" w:hRule="exact"/>
        </w:trPr>
        <w:tc>
          <w:tcPr>
            <w:tcW w:w="2849" w:type="dxa"/>
            <w:shd w:val="clear" w:color="auto" w:fill="D1D3D4"/>
          </w:tcPr>
          <w:p>
            <w:pPr>
              <w:pStyle w:val="TableParagraph"/>
              <w:spacing w:before="1"/>
              <w:rPr>
                <w:sz w:val="20"/>
              </w:rPr>
            </w:pPr>
          </w:p>
          <w:p>
            <w:pPr>
              <w:pStyle w:val="TableParagraph"/>
              <w:spacing w:before="1"/>
              <w:ind w:left="40"/>
              <w:rPr>
                <w:sz w:val="18"/>
              </w:rPr>
            </w:pPr>
            <w:r>
              <w:rPr>
                <w:color w:val="231F20"/>
                <w:sz w:val="18"/>
              </w:rPr>
              <w:t>Southwest Pilots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7,600</w:t>
            </w:r>
          </w:p>
        </w:tc>
        <w:tc>
          <w:tcPr>
            <w:tcW w:w="2849" w:type="dxa"/>
            <w:shd w:val="clear" w:color="auto" w:fill="D1D3D4"/>
          </w:tcPr>
          <w:p>
            <w:pPr>
              <w:pStyle w:val="TableParagraph"/>
              <w:spacing w:line="200" w:lineRule="exact" w:before="40"/>
              <w:ind w:left="120" w:right="798"/>
              <w:rPr>
                <w:sz w:val="18"/>
              </w:rPr>
            </w:pPr>
            <w:r>
              <w:rPr>
                <w:color w:val="231F20"/>
                <w:sz w:val="18"/>
              </w:rPr>
              <w:t>Southwest Airlines Pilots’ Association (“SWAPA”)</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August 2012</w:t>
            </w:r>
          </w:p>
        </w:tc>
      </w:tr>
      <w:tr>
        <w:trPr>
          <w:trHeight w:val="460" w:hRule="exact"/>
        </w:trPr>
        <w:tc>
          <w:tcPr>
            <w:tcW w:w="2849" w:type="dxa"/>
          </w:tcPr>
          <w:p>
            <w:pPr>
              <w:pStyle w:val="TableParagraph"/>
              <w:spacing w:before="2"/>
              <w:rPr>
                <w:sz w:val="20"/>
              </w:rPr>
            </w:pPr>
          </w:p>
          <w:p>
            <w:pPr>
              <w:pStyle w:val="TableParagraph"/>
              <w:spacing w:before="0"/>
              <w:ind w:left="40"/>
              <w:rPr>
                <w:sz w:val="18"/>
              </w:rPr>
            </w:pPr>
            <w:r>
              <w:rPr>
                <w:color w:val="231F20"/>
                <w:sz w:val="18"/>
              </w:rPr>
              <w:t>Southwest Flight Attendants</w:t>
            </w:r>
          </w:p>
        </w:tc>
        <w:tc>
          <w:tcPr>
            <w:tcW w:w="1374" w:type="dxa"/>
          </w:tcPr>
          <w:p>
            <w:pPr>
              <w:pStyle w:val="TableParagraph"/>
              <w:spacing w:before="2"/>
              <w:rPr>
                <w:sz w:val="20"/>
              </w:rPr>
            </w:pPr>
          </w:p>
          <w:p>
            <w:pPr>
              <w:pStyle w:val="TableParagraph"/>
              <w:spacing w:before="0"/>
              <w:ind w:left="179"/>
              <w:rPr>
                <w:sz w:val="18"/>
              </w:rPr>
            </w:pPr>
            <w:r>
              <w:rPr>
                <w:color w:val="231F20"/>
                <w:sz w:val="18"/>
              </w:rPr>
              <w:t>13,100</w:t>
            </w:r>
          </w:p>
        </w:tc>
        <w:tc>
          <w:tcPr>
            <w:tcW w:w="2849" w:type="dxa"/>
          </w:tcPr>
          <w:p>
            <w:pPr>
              <w:pStyle w:val="TableParagraph"/>
              <w:spacing w:line="200" w:lineRule="exact" w:before="40"/>
              <w:ind w:left="120" w:right="77"/>
              <w:rPr>
                <w:sz w:val="18"/>
              </w:rPr>
            </w:pPr>
            <w:r>
              <w:rPr>
                <w:color w:val="231F20"/>
                <w:sz w:val="18"/>
              </w:rPr>
              <w:t>Transportation Workers of America, AFL-CIO, Local 556 (“TWU 556”)</w:t>
            </w:r>
          </w:p>
        </w:tc>
        <w:tc>
          <w:tcPr>
            <w:tcW w:w="2028" w:type="dxa"/>
          </w:tcPr>
          <w:p>
            <w:pPr>
              <w:pStyle w:val="TableParagraph"/>
              <w:spacing w:before="2"/>
              <w:rPr>
                <w:sz w:val="20"/>
              </w:rPr>
            </w:pPr>
          </w:p>
          <w:p>
            <w:pPr>
              <w:pStyle w:val="TableParagraph"/>
              <w:spacing w:before="0"/>
              <w:ind w:left="199"/>
              <w:rPr>
                <w:sz w:val="18"/>
              </w:rPr>
            </w:pPr>
            <w:r>
              <w:rPr>
                <w:color w:val="231F20"/>
                <w:sz w:val="18"/>
              </w:rPr>
              <w:t>May 2013</w:t>
            </w:r>
          </w:p>
        </w:tc>
      </w:tr>
      <w:tr>
        <w:trPr>
          <w:trHeight w:val="460" w:hRule="exact"/>
        </w:trPr>
        <w:tc>
          <w:tcPr>
            <w:tcW w:w="2849" w:type="dxa"/>
            <w:shd w:val="clear" w:color="auto" w:fill="D1D3D4"/>
          </w:tcPr>
          <w:p>
            <w:pPr>
              <w:pStyle w:val="TableParagraph"/>
              <w:spacing w:line="200" w:lineRule="exact" w:before="40"/>
              <w:ind w:left="40" w:right="619"/>
              <w:rPr>
                <w:sz w:val="18"/>
              </w:rPr>
            </w:pPr>
            <w:r>
              <w:rPr>
                <w:color w:val="231F20"/>
                <w:sz w:val="18"/>
              </w:rPr>
              <w:t>Southwest Ramp, Operations, Provisioning, Freight Agents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11,000</w:t>
            </w:r>
          </w:p>
        </w:tc>
        <w:tc>
          <w:tcPr>
            <w:tcW w:w="2849" w:type="dxa"/>
            <w:shd w:val="clear" w:color="auto" w:fill="D1D3D4"/>
          </w:tcPr>
          <w:p>
            <w:pPr>
              <w:pStyle w:val="TableParagraph"/>
              <w:spacing w:line="200" w:lineRule="exact" w:before="40"/>
              <w:ind w:left="120" w:right="77"/>
              <w:rPr>
                <w:sz w:val="18"/>
              </w:rPr>
            </w:pPr>
            <w:r>
              <w:rPr>
                <w:color w:val="231F20"/>
                <w:sz w:val="18"/>
              </w:rPr>
              <w:t>Transportation Workers of America, AFL-CIO, Local 555 (“TWU 555”)</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June 2011</w:t>
            </w:r>
          </w:p>
        </w:tc>
      </w:tr>
      <w:tr>
        <w:trPr>
          <w:trHeight w:val="460" w:hRule="exact"/>
        </w:trPr>
        <w:tc>
          <w:tcPr>
            <w:tcW w:w="2849" w:type="dxa"/>
          </w:tcPr>
          <w:p>
            <w:pPr>
              <w:pStyle w:val="TableParagraph"/>
              <w:spacing w:line="200" w:lineRule="exact" w:before="40"/>
              <w:ind w:left="40" w:right="319"/>
              <w:rPr>
                <w:sz w:val="18"/>
              </w:rPr>
            </w:pPr>
            <w:r>
              <w:rPr>
                <w:color w:val="231F20"/>
                <w:sz w:val="18"/>
              </w:rPr>
              <w:t>Southwest Material Specialists (formerly known as Stock Clerks)</w:t>
            </w:r>
          </w:p>
        </w:tc>
        <w:tc>
          <w:tcPr>
            <w:tcW w:w="1374" w:type="dxa"/>
          </w:tcPr>
          <w:p>
            <w:pPr>
              <w:pStyle w:val="TableParagraph"/>
              <w:spacing w:before="1"/>
              <w:rPr>
                <w:sz w:val="20"/>
              </w:rPr>
            </w:pPr>
          </w:p>
          <w:p>
            <w:pPr>
              <w:pStyle w:val="TableParagraph"/>
              <w:spacing w:before="1"/>
              <w:ind w:left="179"/>
              <w:rPr>
                <w:sz w:val="18"/>
              </w:rPr>
            </w:pPr>
            <w:r>
              <w:rPr>
                <w:color w:val="231F20"/>
                <w:sz w:val="18"/>
              </w:rPr>
              <w:t>300</w:t>
            </w:r>
          </w:p>
        </w:tc>
        <w:tc>
          <w:tcPr>
            <w:tcW w:w="2849" w:type="dxa"/>
          </w:tcPr>
          <w:p>
            <w:pPr>
              <w:pStyle w:val="TableParagraph"/>
              <w:spacing w:line="200" w:lineRule="exact" w:before="40"/>
              <w:ind w:left="120" w:right="384"/>
              <w:rPr>
                <w:sz w:val="18"/>
              </w:rPr>
            </w:pPr>
            <w:r>
              <w:rPr>
                <w:color w:val="231F20"/>
                <w:sz w:val="18"/>
              </w:rPr>
              <w:t>International Brotherhood of Teamsters, Local 19 (“IBT 19”)</w:t>
            </w:r>
          </w:p>
        </w:tc>
        <w:tc>
          <w:tcPr>
            <w:tcW w:w="2028" w:type="dxa"/>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849" w:type="dxa"/>
            <w:shd w:val="clear" w:color="auto" w:fill="D1D3D4"/>
          </w:tcPr>
          <w:p>
            <w:pPr>
              <w:pStyle w:val="TableParagraph"/>
              <w:spacing w:before="1"/>
              <w:rPr>
                <w:sz w:val="20"/>
              </w:rPr>
            </w:pPr>
          </w:p>
          <w:p>
            <w:pPr>
              <w:pStyle w:val="TableParagraph"/>
              <w:spacing w:before="1"/>
              <w:ind w:left="40"/>
              <w:rPr>
                <w:sz w:val="18"/>
              </w:rPr>
            </w:pPr>
            <w:r>
              <w:rPr>
                <w:color w:val="231F20"/>
                <w:sz w:val="18"/>
              </w:rPr>
              <w:t>Southwest Mechanics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2,300</w:t>
            </w:r>
          </w:p>
        </w:tc>
        <w:tc>
          <w:tcPr>
            <w:tcW w:w="2849" w:type="dxa"/>
            <w:shd w:val="clear" w:color="auto" w:fill="D1D3D4"/>
          </w:tcPr>
          <w:p>
            <w:pPr>
              <w:pStyle w:val="TableParagraph"/>
              <w:spacing w:line="200" w:lineRule="exact" w:before="40"/>
              <w:ind w:left="120" w:right="600"/>
              <w:rPr>
                <w:sz w:val="18"/>
              </w:rPr>
            </w:pPr>
            <w:r>
              <w:rPr>
                <w:color w:val="231F20"/>
                <w:sz w:val="18"/>
              </w:rPr>
              <w:t>Aircraft Mechanics Fraternal Association (“AMFA”)</w:t>
            </w:r>
          </w:p>
        </w:tc>
        <w:tc>
          <w:tcPr>
            <w:tcW w:w="2028" w:type="dxa"/>
            <w:shd w:val="clear" w:color="auto" w:fill="D1D3D4"/>
          </w:tcPr>
          <w:p>
            <w:pPr>
              <w:pStyle w:val="TableParagraph"/>
              <w:spacing w:before="1"/>
              <w:rPr>
                <w:sz w:val="20"/>
              </w:rPr>
            </w:pPr>
          </w:p>
          <w:p>
            <w:pPr>
              <w:pStyle w:val="TableParagraph"/>
              <w:spacing w:before="1"/>
              <w:ind w:left="200"/>
              <w:rPr>
                <w:sz w:val="18"/>
              </w:rPr>
            </w:pPr>
            <w:r>
              <w:rPr>
                <w:color w:val="231F20"/>
                <w:sz w:val="18"/>
              </w:rPr>
              <w:t>August 2012</w:t>
            </w:r>
          </w:p>
        </w:tc>
      </w:tr>
      <w:tr>
        <w:trPr>
          <w:trHeight w:val="460" w:hRule="exact"/>
        </w:trPr>
        <w:tc>
          <w:tcPr>
            <w:tcW w:w="2849" w:type="dxa"/>
          </w:tcPr>
          <w:p>
            <w:pPr>
              <w:pStyle w:val="TableParagraph"/>
              <w:spacing w:line="200" w:lineRule="exact" w:before="40"/>
              <w:ind w:left="40" w:right="924"/>
              <w:rPr>
                <w:sz w:val="18"/>
              </w:rPr>
            </w:pPr>
            <w:r>
              <w:rPr>
                <w:color w:val="231F20"/>
                <w:sz w:val="18"/>
              </w:rPr>
              <w:t>Southwest Facilities Maintenance Technicians</w:t>
            </w:r>
          </w:p>
        </w:tc>
        <w:tc>
          <w:tcPr>
            <w:tcW w:w="1374" w:type="dxa"/>
          </w:tcPr>
          <w:p>
            <w:pPr>
              <w:pStyle w:val="TableParagraph"/>
              <w:spacing w:before="1"/>
              <w:rPr>
                <w:sz w:val="20"/>
              </w:rPr>
            </w:pPr>
          </w:p>
          <w:p>
            <w:pPr>
              <w:pStyle w:val="TableParagraph"/>
              <w:spacing w:before="1"/>
              <w:ind w:left="179"/>
              <w:rPr>
                <w:sz w:val="18"/>
              </w:rPr>
            </w:pPr>
            <w:r>
              <w:rPr>
                <w:color w:val="231F20"/>
                <w:sz w:val="18"/>
              </w:rPr>
              <w:t>40</w:t>
            </w:r>
          </w:p>
        </w:tc>
        <w:tc>
          <w:tcPr>
            <w:tcW w:w="2849" w:type="dxa"/>
          </w:tcPr>
          <w:p>
            <w:pPr>
              <w:pStyle w:val="TableParagraph"/>
              <w:spacing w:before="1"/>
              <w:rPr>
                <w:sz w:val="20"/>
              </w:rPr>
            </w:pPr>
          </w:p>
          <w:p>
            <w:pPr>
              <w:pStyle w:val="TableParagraph"/>
              <w:spacing w:before="1"/>
              <w:ind w:left="119"/>
              <w:rPr>
                <w:sz w:val="18"/>
              </w:rPr>
            </w:pPr>
            <w:r>
              <w:rPr>
                <w:color w:val="231F20"/>
                <w:sz w:val="18"/>
              </w:rPr>
              <w:t>AMFA</w:t>
            </w:r>
          </w:p>
        </w:tc>
        <w:tc>
          <w:tcPr>
            <w:tcW w:w="2028" w:type="dxa"/>
          </w:tcPr>
          <w:p>
            <w:pPr>
              <w:pStyle w:val="TableParagraph"/>
              <w:spacing w:before="1"/>
              <w:rPr>
                <w:sz w:val="20"/>
              </w:rPr>
            </w:pPr>
          </w:p>
          <w:p>
            <w:pPr>
              <w:pStyle w:val="TableParagraph"/>
              <w:spacing w:before="1"/>
              <w:ind w:left="199"/>
              <w:rPr>
                <w:sz w:val="18"/>
              </w:rPr>
            </w:pPr>
            <w:r>
              <w:rPr>
                <w:color w:val="231F20"/>
                <w:sz w:val="18"/>
              </w:rPr>
              <w:t>N/A</w:t>
            </w:r>
          </w:p>
        </w:tc>
      </w:tr>
      <w:tr>
        <w:trPr>
          <w:trHeight w:val="460" w:hRule="exact"/>
        </w:trPr>
        <w:tc>
          <w:tcPr>
            <w:tcW w:w="2849" w:type="dxa"/>
            <w:shd w:val="clear" w:color="auto" w:fill="D1D3D4"/>
          </w:tcPr>
          <w:p>
            <w:pPr>
              <w:pStyle w:val="TableParagraph"/>
              <w:spacing w:line="200" w:lineRule="exact" w:before="40"/>
              <w:ind w:left="40" w:right="1108"/>
              <w:rPr>
                <w:sz w:val="18"/>
              </w:rPr>
            </w:pPr>
            <w:r>
              <w:rPr>
                <w:color w:val="231F20"/>
                <w:sz w:val="18"/>
              </w:rPr>
              <w:t>Southwest Flight Crew Training Instructors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80</w:t>
            </w:r>
          </w:p>
        </w:tc>
        <w:tc>
          <w:tcPr>
            <w:tcW w:w="2849" w:type="dxa"/>
            <w:shd w:val="clear" w:color="auto" w:fill="D1D3D4"/>
          </w:tcPr>
          <w:p>
            <w:pPr>
              <w:pStyle w:val="TableParagraph"/>
              <w:spacing w:line="200" w:lineRule="exact" w:before="40"/>
              <w:ind w:left="120" w:right="77"/>
              <w:rPr>
                <w:sz w:val="18"/>
              </w:rPr>
            </w:pPr>
            <w:r>
              <w:rPr>
                <w:color w:val="231F20"/>
                <w:sz w:val="18"/>
              </w:rPr>
              <w:t>Transportation Workers of America, AFL-CIO, Local 557 (“TWU 557”)</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December 2015</w:t>
            </w:r>
          </w:p>
        </w:tc>
      </w:tr>
      <w:tr>
        <w:trPr>
          <w:trHeight w:val="460" w:hRule="exact"/>
        </w:trPr>
        <w:tc>
          <w:tcPr>
            <w:tcW w:w="2849" w:type="dxa"/>
          </w:tcPr>
          <w:p>
            <w:pPr>
              <w:pStyle w:val="TableParagraph"/>
              <w:spacing w:line="200" w:lineRule="exact" w:before="40"/>
              <w:ind w:left="40" w:right="664"/>
              <w:rPr>
                <w:sz w:val="18"/>
              </w:rPr>
            </w:pPr>
            <w:r>
              <w:rPr>
                <w:color w:val="231F20"/>
                <w:sz w:val="18"/>
              </w:rPr>
              <w:t>Southwest Source of Support Representatives</w:t>
            </w:r>
          </w:p>
        </w:tc>
        <w:tc>
          <w:tcPr>
            <w:tcW w:w="1374" w:type="dxa"/>
          </w:tcPr>
          <w:p>
            <w:pPr>
              <w:pStyle w:val="TableParagraph"/>
              <w:spacing w:before="1"/>
              <w:rPr>
                <w:sz w:val="20"/>
              </w:rPr>
            </w:pPr>
          </w:p>
          <w:p>
            <w:pPr>
              <w:pStyle w:val="TableParagraph"/>
              <w:spacing w:before="1"/>
              <w:ind w:left="179"/>
              <w:rPr>
                <w:sz w:val="18"/>
              </w:rPr>
            </w:pPr>
            <w:r>
              <w:rPr>
                <w:color w:val="231F20"/>
                <w:sz w:val="18"/>
              </w:rPr>
              <w:t>90</w:t>
            </w:r>
          </w:p>
        </w:tc>
        <w:tc>
          <w:tcPr>
            <w:tcW w:w="2849" w:type="dxa"/>
          </w:tcPr>
          <w:p>
            <w:pPr>
              <w:pStyle w:val="TableParagraph"/>
              <w:spacing w:before="1"/>
              <w:rPr>
                <w:sz w:val="20"/>
              </w:rPr>
            </w:pPr>
          </w:p>
          <w:p>
            <w:pPr>
              <w:pStyle w:val="TableParagraph"/>
              <w:spacing w:before="1"/>
              <w:ind w:left="119"/>
              <w:rPr>
                <w:sz w:val="18"/>
              </w:rPr>
            </w:pPr>
            <w:r>
              <w:rPr>
                <w:color w:val="231F20"/>
                <w:sz w:val="18"/>
              </w:rPr>
              <w:t>IAM 142</w:t>
            </w:r>
          </w:p>
        </w:tc>
        <w:tc>
          <w:tcPr>
            <w:tcW w:w="2028" w:type="dxa"/>
          </w:tcPr>
          <w:p>
            <w:pPr>
              <w:pStyle w:val="TableParagraph"/>
              <w:spacing w:before="1"/>
              <w:rPr>
                <w:sz w:val="20"/>
              </w:rPr>
            </w:pPr>
          </w:p>
          <w:p>
            <w:pPr>
              <w:pStyle w:val="TableParagraph"/>
              <w:spacing w:before="1"/>
              <w:ind w:left="199"/>
              <w:rPr>
                <w:sz w:val="18"/>
              </w:rPr>
            </w:pPr>
            <w:r>
              <w:rPr>
                <w:color w:val="231F20"/>
                <w:sz w:val="18"/>
              </w:rPr>
              <w:t>N/A</w:t>
            </w:r>
          </w:p>
        </w:tc>
      </w:tr>
    </w:tbl>
    <w:p>
      <w:pPr>
        <w:pStyle w:val="BodyText"/>
        <w:spacing w:before="7"/>
        <w:rPr>
          <w:sz w:val="25"/>
        </w:rPr>
      </w:pPr>
    </w:p>
    <w:p>
      <w:pPr>
        <w:pStyle w:val="BodyText"/>
        <w:spacing w:line="247" w:lineRule="auto"/>
        <w:ind w:left="120" w:right="117"/>
        <w:jc w:val="both"/>
      </w:pPr>
      <w:r>
        <w:rPr>
          <w:color w:val="231F20"/>
        </w:rPr>
        <w:t>Fuel and oil expense for 2015 decreased by $1.7 billion, or 31.7 percent, compared with 2014. On a per ASM basis, Fuel and oil expense for 2015 decreased 36.4 percent, compared with 2014. Excluding the impact of fuel hedge accounting, both the dollar and per ASM decreases were attributable to lower jet fuel prices. The Company’s average economic jet fuel price per gallon decreased 29.1 percent year-over-year, from $2.92 for 2014 to $2.07 for 2015. The Company also slightly improved fuel efficiency, when measured on the basis of ASMs generated per gallon of fuel, primarily as a result of modernization of the Company’s fleet and a 4.0 percent increase in stage length. Fuel gallons consumed  increased  5.6  percent,  compared  with  2014,  while  year-over-year  capacity    </w:t>
      </w:r>
      <w:r>
        <w:rPr>
          <w:color w:val="231F20"/>
          <w:spacing w:val="49"/>
        </w:rPr>
        <w:t> </w:t>
      </w:r>
      <w:r>
        <w:rPr>
          <w:color w:val="231F20"/>
        </w:rPr>
        <w:t>increased</w:t>
      </w:r>
    </w:p>
    <w:p>
      <w:pPr>
        <w:pStyle w:val="BodyText"/>
        <w:spacing w:line="253" w:lineRule="exact"/>
        <w:ind w:left="120"/>
        <w:jc w:val="both"/>
      </w:pPr>
      <w:r>
        <w:rPr>
          <w:color w:val="231F20"/>
        </w:rPr>
        <w:t>7.2 percent.</w:t>
      </w:r>
    </w:p>
    <w:p>
      <w:pPr>
        <w:pStyle w:val="BodyText"/>
        <w:spacing w:before="5"/>
        <w:rPr>
          <w:sz w:val="21"/>
        </w:rPr>
      </w:pPr>
    </w:p>
    <w:p>
      <w:pPr>
        <w:pStyle w:val="BodyText"/>
        <w:spacing w:line="247" w:lineRule="auto"/>
        <w:ind w:left="120" w:right="117"/>
        <w:jc w:val="both"/>
      </w:pPr>
      <w:r>
        <w:rPr>
          <w:color w:val="231F20"/>
        </w:rPr>
        <w:t>As  a  result  of  the  Company’s  fuel  hedging  program,   the   Company   recognized   losses   totaling     $254     million     in     Fuel     and     oil     expense     for     2015,     compared     with      net gains totaling $28 million for 2014. These totals include cash settlements realized from the settlement of fuel derivative contracts totaling $577 million paid to counterparties for 2015, compared to $56 million received from counterparties for 2014, although such totals exclude gains and/or losses recognized from hedge ineffectiveness and from derivatives that do not qualify for hedge accounting. These impacts are recorded as a component of Other (gains) losses, net. See Note 10 to the Consolidated Financial Statements.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58"/>
        <w:jc w:val="both"/>
      </w:pPr>
      <w:r>
        <w:rPr>
          <w:color w:val="231F20"/>
        </w:rPr>
        <w:t>As of January 15, 2016, on an economic basis, the Company had derivative contracts in place related   to expected future fuel consumption as</w:t>
      </w:r>
      <w:r>
        <w:rPr>
          <w:color w:val="231F20"/>
          <w:spacing w:val="-2"/>
        </w:rPr>
        <w:t> </w:t>
      </w:r>
      <w:r>
        <w:rPr>
          <w:color w:val="231F20"/>
        </w:rPr>
        <w:t>follows:</w:t>
      </w:r>
    </w:p>
    <w:p>
      <w:pPr>
        <w:spacing w:line="249" w:lineRule="auto" w:before="197"/>
        <w:ind w:left="3994" w:right="391" w:hanging="19"/>
        <w:jc w:val="left"/>
        <w:rPr>
          <w:b/>
          <w:sz w:val="20"/>
        </w:rPr>
      </w:pPr>
      <w:r>
        <w:rPr>
          <w:b/>
          <w:color w:val="231F20"/>
          <w:sz w:val="20"/>
        </w:rPr>
        <w:t>Average percent of estimated fuel consumption covered by fuel derivative contracts at varying WTI/Brent Crude Oil,</w:t>
      </w:r>
    </w:p>
    <w:p>
      <w:pPr>
        <w:tabs>
          <w:tab w:pos="1580" w:val="left" w:leader="none"/>
          <w:tab w:pos="3623" w:val="left" w:leader="none"/>
          <w:tab w:pos="6373" w:val="left" w:leader="none"/>
        </w:tabs>
        <w:spacing w:line="312" w:lineRule="auto" w:before="0"/>
        <w:ind w:left="938" w:right="163" w:hanging="833"/>
        <w:jc w:val="left"/>
        <w:rPr>
          <w:sz w:val="20"/>
        </w:rPr>
      </w:pPr>
      <w:r>
        <w:rPr/>
        <w:pict>
          <v:rect style="position:absolute;margin-left:69pt;margin-top:12.335938pt;width:456pt;height:15pt;mso-position-horizontal-relative:page;mso-position-vertical-relative:paragraph;z-index:-392848" filled="true" fillcolor="#d1d3d4" stroked="false">
            <v:fill type="solid"/>
            <w10:wrap type="none"/>
          </v:rect>
        </w:pict>
      </w:r>
      <w:r>
        <w:rPr>
          <w:b/>
          <w:color w:val="231F20"/>
          <w:sz w:val="20"/>
          <w:u w:val="single" w:color="231F20"/>
        </w:rPr>
        <w:t> </w:t>
        <w:tab/>
        <w:tab/>
        <w:t>Period</w:t>
        <w:tab/>
        <w:t>Heating Oil, and Gulf Coast Jet Fuel-equivalent</w:t>
      </w:r>
      <w:r>
        <w:rPr>
          <w:b/>
          <w:color w:val="231F20"/>
          <w:spacing w:val="3"/>
          <w:sz w:val="20"/>
          <w:u w:val="single" w:color="231F20"/>
        </w:rPr>
        <w:t> </w:t>
      </w:r>
      <w:r>
        <w:rPr>
          <w:b/>
          <w:color w:val="231F20"/>
          <w:sz w:val="20"/>
          <w:u w:val="single" w:color="231F20"/>
        </w:rPr>
        <w:t>price levels</w:t>
      </w:r>
      <w:r>
        <w:rPr>
          <w:b/>
          <w:color w:val="231F20"/>
          <w:spacing w:val="-4"/>
          <w:sz w:val="20"/>
          <w:u w:val="single" w:color="231F20"/>
        </w:rPr>
        <w:t> </w:t>
      </w:r>
      <w:r>
        <w:rPr>
          <w:b/>
          <w:color w:val="231F20"/>
          <w:spacing w:val="-4"/>
          <w:sz w:val="20"/>
        </w:rPr>
        <w:t> </w:t>
      </w:r>
      <w:r>
        <w:rPr>
          <w:b/>
          <w:color w:val="231F20"/>
          <w:sz w:val="20"/>
        </w:rPr>
        <w:t>First quarter</w:t>
      </w:r>
      <w:r>
        <w:rPr>
          <w:b/>
          <w:color w:val="231F20"/>
          <w:spacing w:val="1"/>
          <w:sz w:val="20"/>
        </w:rPr>
        <w:t> </w:t>
      </w:r>
      <w:r>
        <w:rPr>
          <w:b/>
          <w:color w:val="231F20"/>
          <w:sz w:val="20"/>
        </w:rPr>
        <w:t>2016 (1)</w:t>
        <w:tab/>
        <w:tab/>
      </w:r>
      <w:r>
        <w:rPr>
          <w:color w:val="231F20"/>
          <w:sz w:val="20"/>
        </w:rPr>
        <w:t>—</w:t>
      </w:r>
    </w:p>
    <w:p>
      <w:pPr>
        <w:tabs>
          <w:tab w:pos="6043" w:val="left" w:leader="none"/>
        </w:tabs>
        <w:spacing w:before="3"/>
        <w:ind w:left="1111" w:right="0" w:firstLine="0"/>
        <w:jc w:val="left"/>
        <w:rPr>
          <w:sz w:val="20"/>
        </w:rPr>
      </w:pPr>
      <w:r>
        <w:rPr/>
        <w:pict>
          <v:rect style="position:absolute;margin-left:69pt;margin-top:12.485937pt;width:456pt;height:15pt;mso-position-horizontal-relative:page;mso-position-vertical-relative:paragraph;z-index:-392824" filled="true" fillcolor="#d1d3d4" stroked="false">
            <v:fill type="solid"/>
            <w10:wrap type="none"/>
          </v:rect>
        </w:pict>
      </w:r>
      <w:r>
        <w:rPr>
          <w:b/>
          <w:color w:val="231F20"/>
          <w:sz w:val="20"/>
        </w:rPr>
        <w:t>Full year 2016 (2)</w:t>
        <w:tab/>
      </w:r>
      <w:r>
        <w:rPr>
          <w:color w:val="231F20"/>
          <w:sz w:val="20"/>
        </w:rPr>
        <w:t>Approx. 20%</w:t>
      </w:r>
    </w:p>
    <w:p>
      <w:pPr>
        <w:tabs>
          <w:tab w:pos="6043" w:val="left" w:leader="none"/>
        </w:tabs>
        <w:spacing w:before="70"/>
        <w:ind w:left="1522" w:right="0" w:firstLine="0"/>
        <w:jc w:val="left"/>
        <w:rPr>
          <w:sz w:val="20"/>
        </w:rPr>
      </w:pPr>
      <w:r>
        <w:rPr>
          <w:b/>
          <w:color w:val="231F20"/>
          <w:sz w:val="20"/>
        </w:rPr>
        <w:t>2017 (2)</w:t>
        <w:tab/>
      </w:r>
      <w:r>
        <w:rPr>
          <w:color w:val="231F20"/>
          <w:sz w:val="20"/>
        </w:rPr>
        <w:t>Approx. 65%</w:t>
      </w:r>
    </w:p>
    <w:p>
      <w:pPr>
        <w:tabs>
          <w:tab w:pos="6043" w:val="left" w:leader="none"/>
        </w:tabs>
        <w:spacing w:before="70"/>
        <w:ind w:left="1522" w:right="0" w:firstLine="0"/>
        <w:jc w:val="left"/>
        <w:rPr>
          <w:sz w:val="20"/>
        </w:rPr>
      </w:pPr>
      <w:r>
        <w:rPr>
          <w:b/>
          <w:color w:val="231F20"/>
          <w:sz w:val="20"/>
        </w:rPr>
        <w:t>2018 (2)</w:t>
        <w:tab/>
      </w:r>
      <w:r>
        <w:rPr>
          <w:color w:val="231F20"/>
          <w:sz w:val="20"/>
        </w:rPr>
        <w:t>Approx. 35%</w:t>
      </w:r>
    </w:p>
    <w:p>
      <w:pPr>
        <w:pStyle w:val="BodyText"/>
        <w:spacing w:before="10"/>
        <w:rPr>
          <w:sz w:val="26"/>
        </w:rPr>
      </w:pPr>
    </w:p>
    <w:p>
      <w:pPr>
        <w:pStyle w:val="ListParagraph"/>
        <w:numPr>
          <w:ilvl w:val="0"/>
          <w:numId w:val="8"/>
        </w:numPr>
        <w:tabs>
          <w:tab w:pos="412" w:val="left" w:leader="none"/>
        </w:tabs>
        <w:spacing w:line="249" w:lineRule="auto" w:before="1" w:after="0"/>
        <w:ind w:left="100" w:right="158" w:firstLine="0"/>
        <w:jc w:val="both"/>
        <w:rPr>
          <w:sz w:val="20"/>
        </w:rPr>
      </w:pPr>
      <w:r>
        <w:rPr>
          <w:color w:val="231F20"/>
          <w:sz w:val="20"/>
        </w:rPr>
        <w:t>The Company is effectively unhedged for the first quarter 2016 at current price levels. A majority of the financial impact of the derivative contracts currently held for the quarter is locked-in and is included in the economic jet fuel price simulations</w:t>
      </w:r>
      <w:r>
        <w:rPr>
          <w:color w:val="231F20"/>
          <w:spacing w:val="6"/>
          <w:sz w:val="20"/>
        </w:rPr>
        <w:t> </w:t>
      </w:r>
      <w:r>
        <w:rPr>
          <w:color w:val="231F20"/>
          <w:sz w:val="20"/>
        </w:rPr>
        <w:t>below.</w:t>
      </w:r>
    </w:p>
    <w:p>
      <w:pPr>
        <w:pStyle w:val="ListParagraph"/>
        <w:numPr>
          <w:ilvl w:val="0"/>
          <w:numId w:val="8"/>
        </w:numPr>
        <w:tabs>
          <w:tab w:pos="393" w:val="left" w:leader="none"/>
        </w:tabs>
        <w:spacing w:line="249" w:lineRule="auto" w:before="1" w:after="0"/>
        <w:ind w:left="100" w:right="158" w:firstLine="0"/>
        <w:jc w:val="both"/>
        <w:rPr>
          <w:sz w:val="20"/>
        </w:rPr>
      </w:pPr>
      <w:r>
        <w:rPr>
          <w:color w:val="231F20"/>
          <w:sz w:val="20"/>
        </w:rPr>
        <w:t>Given the Company has entered into different derivative contracts at various prices, these percentages are an average based on the assumption that Brent crude oil prices settle above current market prices. See Note 10 to the Consolidated Financial Statements for further</w:t>
      </w:r>
      <w:r>
        <w:rPr>
          <w:color w:val="231F20"/>
          <w:spacing w:val="5"/>
          <w:sz w:val="20"/>
        </w:rPr>
        <w:t> </w:t>
      </w:r>
      <w:r>
        <w:rPr>
          <w:color w:val="231F20"/>
          <w:sz w:val="20"/>
        </w:rPr>
        <w:t>information.</w:t>
      </w:r>
    </w:p>
    <w:p>
      <w:pPr>
        <w:pStyle w:val="BodyText"/>
        <w:rPr>
          <w:sz w:val="21"/>
        </w:rPr>
      </w:pPr>
    </w:p>
    <w:p>
      <w:pPr>
        <w:pStyle w:val="BodyText"/>
        <w:spacing w:line="247" w:lineRule="auto"/>
        <w:ind w:left="100" w:right="157"/>
        <w:jc w:val="both"/>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2015, and the expected future periods in which these items are expected to settle and/or be recognized in earnings (in millions):</w:t>
      </w:r>
    </w:p>
    <w:p>
      <w:pPr>
        <w:spacing w:after="0" w:line="247" w:lineRule="auto"/>
        <w:jc w:val="both"/>
        <w:sectPr>
          <w:pgSz w:w="11880" w:h="15480"/>
          <w:pgMar w:header="0" w:footer="1240" w:top="1240" w:bottom="1420" w:left="1280" w:right="1220"/>
        </w:sectPr>
      </w:pPr>
    </w:p>
    <w:p>
      <w:pPr>
        <w:pStyle w:val="BodyText"/>
        <w:spacing w:before="5"/>
        <w:rPr>
          <w:sz w:val="19"/>
        </w:rPr>
      </w:pPr>
    </w:p>
    <w:p>
      <w:pPr>
        <w:spacing w:line="200" w:lineRule="exact" w:before="1"/>
        <w:ind w:left="3911" w:right="-15" w:hanging="304"/>
        <w:jc w:val="left"/>
        <w:rPr>
          <w:b/>
          <w:sz w:val="20"/>
        </w:rPr>
      </w:pPr>
      <w:r>
        <w:rPr/>
        <w:pict>
          <v:shape style="position:absolute;margin-left:69pt;margin-top:18.75pt;width:456.25pt;height:77.55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Borders>
                          <w:bottom w:val="single" w:sz="8" w:space="0" w:color="231F20"/>
                        </w:tcBorders>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3"/>
                          <w:rPr>
                            <w:b/>
                            <w:sz w:val="20"/>
                          </w:rPr>
                        </w:pPr>
                        <w:r>
                          <w:rPr>
                            <w:b/>
                            <w:color w:val="231F20"/>
                            <w:sz w:val="20"/>
                          </w:rPr>
                          <w:t>at December 31, 2015</w:t>
                        </w:r>
                      </w:p>
                    </w:tc>
                    <w:tc>
                      <w:tcPr>
                        <w:tcW w:w="300" w:type="dxa"/>
                      </w:tcPr>
                      <w:p>
                        <w:pPr/>
                      </w:p>
                    </w:tc>
                    <w:tc>
                      <w:tcPr>
                        <w:tcW w:w="2740" w:type="dxa"/>
                        <w:tcBorders>
                          <w:bottom w:val="single" w:sz="8" w:space="0" w:color="231F20"/>
                        </w:tcBorders>
                      </w:tcPr>
                      <w:p>
                        <w:pPr>
                          <w:pStyle w:val="TableParagraph"/>
                          <w:spacing w:line="229" w:lineRule="exact" w:before="0"/>
                          <w:ind w:left="677"/>
                          <w:rPr>
                            <w:b/>
                            <w:sz w:val="20"/>
                          </w:rPr>
                        </w:pPr>
                        <w:r>
                          <w:rPr>
                            <w:b/>
                            <w:color w:val="231F20"/>
                            <w:sz w:val="20"/>
                          </w:rPr>
                          <w:t>2015 (net of tax)</w:t>
                        </w:r>
                      </w:p>
                    </w:tc>
                  </w:tr>
                  <w:tr>
                    <w:trPr>
                      <w:trHeight w:val="310" w:hRule="exact"/>
                    </w:trPr>
                    <w:tc>
                      <w:tcPr>
                        <w:tcW w:w="3040" w:type="dxa"/>
                        <w:tcBorders>
                          <w:top w:val="single" w:sz="8" w:space="0" w:color="231F20"/>
                        </w:tcBorders>
                      </w:tcPr>
                      <w:p>
                        <w:pPr>
                          <w:pStyle w:val="TableParagraph"/>
                          <w:ind w:right="1319"/>
                          <w:jc w:val="right"/>
                          <w:rPr>
                            <w:sz w:val="20"/>
                          </w:rPr>
                        </w:pPr>
                        <w:r>
                          <w:rPr>
                            <w:color w:val="231F20"/>
                            <w:sz w:val="20"/>
                          </w:rPr>
                          <w:t>2016</w:t>
                        </w:r>
                      </w:p>
                    </w:tc>
                    <w:tc>
                      <w:tcPr>
                        <w:tcW w:w="200" w:type="dxa"/>
                      </w:tcPr>
                      <w:p>
                        <w:pPr/>
                      </w:p>
                    </w:tc>
                    <w:tc>
                      <w:tcPr>
                        <w:tcW w:w="2840" w:type="dxa"/>
                        <w:tcBorders>
                          <w:top w:val="single" w:sz="8" w:space="0" w:color="231F20"/>
                        </w:tcBorders>
                      </w:tcPr>
                      <w:p>
                        <w:pPr>
                          <w:pStyle w:val="TableParagraph"/>
                          <w:tabs>
                            <w:tab w:pos="2299" w:val="left" w:leader="none"/>
                          </w:tabs>
                          <w:jc w:val="right"/>
                          <w:rPr>
                            <w:sz w:val="20"/>
                          </w:rPr>
                        </w:pPr>
                        <w:r>
                          <w:rPr>
                            <w:color w:val="231F20"/>
                            <w:sz w:val="20"/>
                          </w:rPr>
                          <w:t>$</w:t>
                          <w:tab/>
                          <w:t>(863)</w:t>
                        </w:r>
                      </w:p>
                    </w:tc>
                    <w:tc>
                      <w:tcPr>
                        <w:tcW w:w="300" w:type="dxa"/>
                      </w:tcPr>
                      <w:p>
                        <w:pPr/>
                      </w:p>
                    </w:tc>
                    <w:tc>
                      <w:tcPr>
                        <w:tcW w:w="2740" w:type="dxa"/>
                        <w:tcBorders>
                          <w:top w:val="single" w:sz="8" w:space="0" w:color="231F20"/>
                        </w:tcBorders>
                      </w:tcPr>
                      <w:p>
                        <w:pPr>
                          <w:pStyle w:val="TableParagraph"/>
                          <w:tabs>
                            <w:tab w:pos="2299" w:val="left" w:leader="none"/>
                          </w:tabs>
                          <w:jc w:val="right"/>
                          <w:rPr>
                            <w:sz w:val="20"/>
                          </w:rPr>
                        </w:pPr>
                        <w:r>
                          <w:rPr>
                            <w:color w:val="231F20"/>
                            <w:sz w:val="20"/>
                          </w:rPr>
                          <w:t>$</w:t>
                          <w:tab/>
                          <w:t>(618)</w:t>
                        </w:r>
                      </w:p>
                    </w:tc>
                  </w:tr>
                  <w:tr>
                    <w:trPr>
                      <w:trHeight w:val="300" w:hRule="exact"/>
                    </w:trPr>
                    <w:tc>
                      <w:tcPr>
                        <w:tcW w:w="3040" w:type="dxa"/>
                        <w:shd w:val="clear" w:color="auto" w:fill="D1D3D4"/>
                      </w:tcPr>
                      <w:p>
                        <w:pPr>
                          <w:pStyle w:val="TableParagraph"/>
                          <w:ind w:right="1319"/>
                          <w:jc w:val="right"/>
                          <w:rPr>
                            <w:sz w:val="20"/>
                          </w:rPr>
                        </w:pPr>
                        <w:r>
                          <w:rPr>
                            <w:color w:val="231F20"/>
                            <w:sz w:val="20"/>
                          </w:rPr>
                          <w:t>2017</w:t>
                        </w:r>
                      </w:p>
                    </w:tc>
                    <w:tc>
                      <w:tcPr>
                        <w:tcW w:w="200" w:type="dxa"/>
                        <w:shd w:val="clear" w:color="auto" w:fill="D1D3D4"/>
                      </w:tcPr>
                      <w:p>
                        <w:pPr/>
                      </w:p>
                    </w:tc>
                    <w:tc>
                      <w:tcPr>
                        <w:tcW w:w="2840" w:type="dxa"/>
                        <w:shd w:val="clear" w:color="auto" w:fill="D1D3D4"/>
                      </w:tcPr>
                      <w:p>
                        <w:pPr>
                          <w:pStyle w:val="TableParagraph"/>
                          <w:jc w:val="right"/>
                          <w:rPr>
                            <w:sz w:val="20"/>
                          </w:rPr>
                        </w:pPr>
                        <w:r>
                          <w:rPr>
                            <w:color w:val="231F20"/>
                            <w:sz w:val="20"/>
                          </w:rPr>
                          <w:t>(630)</w:t>
                        </w:r>
                      </w:p>
                    </w:tc>
                    <w:tc>
                      <w:tcPr>
                        <w:tcW w:w="300" w:type="dxa"/>
                        <w:shd w:val="clear" w:color="auto" w:fill="D1D3D4"/>
                      </w:tcPr>
                      <w:p>
                        <w:pPr/>
                      </w:p>
                    </w:tc>
                    <w:tc>
                      <w:tcPr>
                        <w:tcW w:w="2740" w:type="dxa"/>
                        <w:shd w:val="clear" w:color="auto" w:fill="D1D3D4"/>
                      </w:tcPr>
                      <w:p>
                        <w:pPr>
                          <w:pStyle w:val="TableParagraph"/>
                          <w:jc w:val="right"/>
                          <w:rPr>
                            <w:sz w:val="20"/>
                          </w:rPr>
                        </w:pPr>
                        <w:r>
                          <w:rPr>
                            <w:color w:val="231F20"/>
                            <w:sz w:val="20"/>
                          </w:rPr>
                          <w:t>(409)</w:t>
                        </w:r>
                      </w:p>
                    </w:tc>
                  </w:tr>
                  <w:tr>
                    <w:trPr>
                      <w:trHeight w:val="315" w:hRule="exact"/>
                    </w:trPr>
                    <w:tc>
                      <w:tcPr>
                        <w:tcW w:w="3040" w:type="dxa"/>
                      </w:tcPr>
                      <w:p>
                        <w:pPr>
                          <w:pStyle w:val="TableParagraph"/>
                          <w:ind w:right="1319"/>
                          <w:jc w:val="right"/>
                          <w:rPr>
                            <w:sz w:val="20"/>
                          </w:rPr>
                        </w:pPr>
                        <w:r>
                          <w:rPr>
                            <w:color w:val="231F20"/>
                            <w:sz w:val="20"/>
                          </w:rPr>
                          <w:t>2018</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12</w:t>
                        </w:r>
                      </w:p>
                    </w:tc>
                    <w:tc>
                      <w:tcPr>
                        <w:tcW w:w="300" w:type="dxa"/>
                      </w:tcPr>
                      <w:p>
                        <w:pPr/>
                      </w:p>
                    </w:tc>
                    <w:tc>
                      <w:tcPr>
                        <w:tcW w:w="2740" w:type="dxa"/>
                        <w:tcBorders>
                          <w:bottom w:val="single" w:sz="4" w:space="0" w:color="231F20"/>
                        </w:tcBorders>
                      </w:tcPr>
                      <w:p>
                        <w:pPr>
                          <w:pStyle w:val="TableParagraph"/>
                          <w:jc w:val="right"/>
                          <w:rPr>
                            <w:sz w:val="20"/>
                          </w:rPr>
                        </w:pPr>
                        <w:r>
                          <w:rPr>
                            <w:color w:val="231F20"/>
                            <w:sz w:val="20"/>
                          </w:rPr>
                          <w:t>(21)</w:t>
                        </w:r>
                      </w:p>
                    </w:tc>
                  </w:tr>
                  <w:tr>
                    <w:trPr>
                      <w:trHeight w:val="360" w:hRule="exact"/>
                    </w:trPr>
                    <w:tc>
                      <w:tcPr>
                        <w:tcW w:w="3040" w:type="dxa"/>
                        <w:shd w:val="clear" w:color="auto" w:fill="D1D3D4"/>
                      </w:tcPr>
                      <w:p>
                        <w:pPr>
                          <w:pStyle w:val="TableParagraph"/>
                          <w:ind w:right="1307"/>
                          <w:jc w:val="right"/>
                          <w:rPr>
                            <w:sz w:val="20"/>
                          </w:rPr>
                        </w:pPr>
                        <w:r>
                          <w:rPr>
                            <w:color w:val="231F20"/>
                            <w:sz w:val="20"/>
                          </w:rPr>
                          <w:t>Total</w:t>
                        </w:r>
                      </w:p>
                    </w:tc>
                    <w:tc>
                      <w:tcPr>
                        <w:tcW w:w="200" w:type="dxa"/>
                        <w:shd w:val="clear" w:color="auto" w:fill="D1D3D4"/>
                      </w:tcPr>
                      <w:p>
                        <w:pPr/>
                      </w:p>
                    </w:tc>
                    <w:tc>
                      <w:tcPr>
                        <w:tcW w:w="2840" w:type="dxa"/>
                        <w:tcBorders>
                          <w:top w:val="single" w:sz="4" w:space="0" w:color="231F20"/>
                          <w:bottom w:val="single" w:sz="4" w:space="0" w:color="231F20"/>
                        </w:tcBorders>
                        <w:shd w:val="clear" w:color="auto" w:fill="D1D3D4"/>
                      </w:tcPr>
                      <w:p>
                        <w:pPr>
                          <w:pStyle w:val="TableParagraph"/>
                          <w:tabs>
                            <w:tab w:pos="2166" w:val="left" w:leader="none"/>
                          </w:tabs>
                          <w:jc w:val="right"/>
                          <w:rPr>
                            <w:sz w:val="20"/>
                          </w:rPr>
                        </w:pPr>
                        <w:r>
                          <w:rPr>
                            <w:color w:val="231F20"/>
                            <w:sz w:val="20"/>
                          </w:rPr>
                          <w:t>$</w:t>
                          <w:tab/>
                        </w:r>
                        <w:r>
                          <w:rPr>
                            <w:color w:val="231F20"/>
                            <w:spacing w:val="-1"/>
                            <w:sz w:val="20"/>
                          </w:rPr>
                          <w:t>(1,481)</w:t>
                        </w:r>
                      </w:p>
                    </w:tc>
                    <w:tc>
                      <w:tcPr>
                        <w:tcW w:w="300" w:type="dxa"/>
                        <w:shd w:val="clear" w:color="auto" w:fill="D1D3D4"/>
                      </w:tcPr>
                      <w:p>
                        <w:pPr/>
                      </w:p>
                    </w:tc>
                    <w:tc>
                      <w:tcPr>
                        <w:tcW w:w="2740" w:type="dxa"/>
                        <w:tcBorders>
                          <w:top w:val="single" w:sz="4" w:space="0" w:color="231F20"/>
                          <w:bottom w:val="single" w:sz="4" w:space="0" w:color="231F20"/>
                        </w:tcBorders>
                        <w:shd w:val="clear" w:color="auto" w:fill="D1D3D4"/>
                      </w:tcPr>
                      <w:p>
                        <w:pPr>
                          <w:pStyle w:val="TableParagraph"/>
                          <w:tabs>
                            <w:tab w:pos="2099" w:val="left" w:leader="none"/>
                          </w:tabs>
                          <w:spacing w:before="48"/>
                          <w:jc w:val="right"/>
                          <w:rPr>
                            <w:sz w:val="20"/>
                          </w:rPr>
                        </w:pPr>
                        <w:r>
                          <w:rPr>
                            <w:color w:val="231F20"/>
                            <w:sz w:val="20"/>
                          </w:rPr>
                          <w:t>$</w:t>
                          <w:tab/>
                          <w:t>(1,048)</w:t>
                        </w:r>
                      </w:p>
                    </w:tc>
                  </w:tr>
                </w:tbl>
                <w:p>
                  <w:pPr>
                    <w:pStyle w:val="BodyText"/>
                  </w:pPr>
                </w:p>
              </w:txbxContent>
            </v:textbox>
            <w10:wrap type="none"/>
          </v:shape>
        </w:pict>
      </w:r>
      <w:r>
        <w:rPr>
          <w:b/>
          <w:color w:val="231F20"/>
          <w:sz w:val="20"/>
        </w:rPr>
        <w:t>Fair value (liability) of fuel derivative contracts</w:t>
      </w:r>
    </w:p>
    <w:p>
      <w:pPr>
        <w:pStyle w:val="BodyText"/>
        <w:spacing w:before="5"/>
        <w:rPr>
          <w:b/>
          <w:sz w:val="19"/>
        </w:rPr>
      </w:pPr>
      <w:r>
        <w:rPr/>
        <w:br w:type="column"/>
      </w:r>
      <w:r>
        <w:rPr>
          <w:b/>
          <w:sz w:val="19"/>
        </w:rPr>
      </w:r>
    </w:p>
    <w:p>
      <w:pPr>
        <w:spacing w:line="200" w:lineRule="exact" w:before="1"/>
        <w:ind w:left="811" w:right="83" w:hanging="342"/>
        <w:jc w:val="left"/>
        <w:rPr>
          <w:b/>
          <w:sz w:val="20"/>
        </w:rPr>
      </w:pPr>
      <w:r>
        <w:rPr>
          <w:b/>
          <w:color w:val="231F20"/>
          <w:sz w:val="20"/>
        </w:rPr>
        <w:t>Amount of gains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80" w:right="1220"/>
          <w:cols w:num="2" w:equalWidth="0">
            <w:col w:w="5912" w:space="40"/>
            <w:col w:w="342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pStyle w:val="BodyText"/>
        <w:spacing w:line="20" w:lineRule="exact"/>
        <w:ind w:left="3335"/>
        <w:rPr>
          <w:sz w:val="2"/>
        </w:rPr>
      </w:pPr>
      <w:r>
        <w:rPr>
          <w:sz w:val="2"/>
        </w:rPr>
        <w:pict>
          <v:group style="width:142.5pt;height:.5pt;mso-position-horizontal-relative:char;mso-position-vertical-relative:line" coordorigin="0,0" coordsize="2850,10">
            <v:line style="position:absolute" from="5,5" to="2845,5" stroked="true" strokeweight=".5pt" strokecolor="#231f20">
              <v:stroke dashstyle="solid"/>
            </v:line>
          </v:group>
        </w:pict>
      </w:r>
      <w:r>
        <w:rPr>
          <w:sz w:val="2"/>
        </w:rPr>
      </w:r>
    </w:p>
    <w:p>
      <w:pPr>
        <w:pStyle w:val="BodyText"/>
        <w:spacing w:before="2"/>
        <w:rPr>
          <w:b/>
          <w:sz w:val="20"/>
        </w:rPr>
      </w:pPr>
    </w:p>
    <w:p>
      <w:pPr>
        <w:pStyle w:val="BodyText"/>
        <w:spacing w:line="247" w:lineRule="auto" w:before="92"/>
        <w:ind w:left="100" w:right="157"/>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2016, and full year 2016, jet fuel prices at different crude oil assumptions as of January 15, 2016, and for expected premium costs associated with settling contracts each period, respectively.</w:t>
      </w:r>
    </w:p>
    <w:p>
      <w:pPr>
        <w:spacing w:after="0" w:line="247" w:lineRule="auto"/>
        <w:jc w:val="both"/>
        <w:sectPr>
          <w:type w:val="continuous"/>
          <w:pgSz w:w="11880" w:h="15480"/>
          <w:pgMar w:top="1260" w:bottom="280" w:left="1280" w:right="1220"/>
        </w:sectPr>
      </w:pPr>
    </w:p>
    <w:p>
      <w:pPr>
        <w:pStyle w:val="BodyText"/>
      </w:pPr>
    </w:p>
    <w:p>
      <w:pPr>
        <w:pStyle w:val="BodyText"/>
        <w:spacing w:before="1"/>
        <w:rPr>
          <w:sz w:val="26"/>
        </w:rPr>
      </w:pPr>
    </w:p>
    <w:p>
      <w:pPr>
        <w:spacing w:before="0"/>
        <w:ind w:left="1179" w:right="0" w:firstLine="0"/>
        <w:jc w:val="left"/>
        <w:rPr>
          <w:b/>
          <w:sz w:val="20"/>
        </w:rPr>
      </w:pPr>
      <w:r>
        <w:rPr/>
        <w:pict>
          <v:shape style="position:absolute;margin-left:69pt;margin-top:10.035937pt;width:456pt;height:101.5pt;mso-position-horizontal-relative:page;mso-position-vertical-relative:paragraph;z-index:27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71"/>
                    <w:gridCol w:w="2599"/>
                    <w:gridCol w:w="2350"/>
                  </w:tblGrid>
                  <w:tr>
                    <w:trPr>
                      <w:trHeight w:val="236" w:hRule="exact"/>
                    </w:trPr>
                    <w:tc>
                      <w:tcPr>
                        <w:tcW w:w="4171" w:type="dxa"/>
                        <w:tcBorders>
                          <w:bottom w:val="single" w:sz="8" w:space="0" w:color="231F20"/>
                        </w:tcBorders>
                      </w:tcPr>
                      <w:p>
                        <w:pPr>
                          <w:pStyle w:val="TableParagraph"/>
                          <w:spacing w:line="229" w:lineRule="exact" w:before="0"/>
                          <w:ind w:left="880" w:right="733"/>
                          <w:jc w:val="center"/>
                          <w:rPr>
                            <w:b/>
                            <w:sz w:val="20"/>
                          </w:rPr>
                        </w:pPr>
                        <w:r>
                          <w:rPr>
                            <w:b/>
                            <w:color w:val="231F20"/>
                            <w:sz w:val="20"/>
                          </w:rPr>
                          <w:t>price per barrel</w:t>
                        </w:r>
                      </w:p>
                    </w:tc>
                    <w:tc>
                      <w:tcPr>
                        <w:tcW w:w="2599" w:type="dxa"/>
                        <w:tcBorders>
                          <w:bottom w:val="single" w:sz="8" w:space="0" w:color="231F20"/>
                        </w:tcBorders>
                      </w:tcPr>
                      <w:p>
                        <w:pPr>
                          <w:pStyle w:val="TableParagraph"/>
                          <w:spacing w:line="229" w:lineRule="exact" w:before="0"/>
                          <w:ind w:left="731" w:right="432"/>
                          <w:jc w:val="center"/>
                          <w:rPr>
                            <w:b/>
                            <w:sz w:val="20"/>
                          </w:rPr>
                        </w:pPr>
                        <w:r>
                          <w:rPr>
                            <w:b/>
                            <w:color w:val="231F20"/>
                            <w:sz w:val="20"/>
                          </w:rPr>
                          <w:t>1Q 2016 (2)</w:t>
                        </w:r>
                      </w:p>
                    </w:tc>
                    <w:tc>
                      <w:tcPr>
                        <w:tcW w:w="2350" w:type="dxa"/>
                        <w:tcBorders>
                          <w:bottom w:val="single" w:sz="8" w:space="0" w:color="231F20"/>
                        </w:tcBorders>
                      </w:tcPr>
                      <w:p>
                        <w:pPr>
                          <w:pStyle w:val="TableParagraph"/>
                          <w:spacing w:line="229" w:lineRule="exact" w:before="0"/>
                          <w:ind w:left="431" w:right="283"/>
                          <w:jc w:val="center"/>
                          <w:rPr>
                            <w:b/>
                            <w:sz w:val="20"/>
                          </w:rPr>
                        </w:pPr>
                        <w:r>
                          <w:rPr>
                            <w:b/>
                            <w:color w:val="231F20"/>
                            <w:sz w:val="20"/>
                          </w:rPr>
                          <w:t>Full Year 2016 (2)</w:t>
                        </w:r>
                      </w:p>
                    </w:tc>
                  </w:tr>
                  <w:tr>
                    <w:trPr>
                      <w:trHeight w:val="310" w:hRule="exact"/>
                    </w:trPr>
                    <w:tc>
                      <w:tcPr>
                        <w:tcW w:w="4171" w:type="dxa"/>
                        <w:tcBorders>
                          <w:top w:val="single" w:sz="8" w:space="0" w:color="231F20"/>
                        </w:tcBorders>
                        <w:shd w:val="clear" w:color="auto" w:fill="D1D3D4"/>
                      </w:tcPr>
                      <w:p>
                        <w:pPr>
                          <w:pStyle w:val="TableParagraph"/>
                          <w:ind w:left="881" w:right="732"/>
                          <w:jc w:val="center"/>
                          <w:rPr>
                            <w:b/>
                            <w:sz w:val="20"/>
                          </w:rPr>
                        </w:pPr>
                        <w:r>
                          <w:rPr>
                            <w:b/>
                            <w:color w:val="231F20"/>
                            <w:sz w:val="20"/>
                          </w:rPr>
                          <w:t>$15</w:t>
                        </w:r>
                      </w:p>
                    </w:tc>
                    <w:tc>
                      <w:tcPr>
                        <w:tcW w:w="2599" w:type="dxa"/>
                        <w:tcBorders>
                          <w:top w:val="single" w:sz="8" w:space="0" w:color="231F20"/>
                        </w:tcBorders>
                        <w:shd w:val="clear" w:color="auto" w:fill="D1D3D4"/>
                      </w:tcPr>
                      <w:p>
                        <w:pPr>
                          <w:pStyle w:val="TableParagraph"/>
                          <w:ind w:left="731" w:right="433"/>
                          <w:jc w:val="center"/>
                          <w:rPr>
                            <w:sz w:val="20"/>
                          </w:rPr>
                        </w:pPr>
                        <w:r>
                          <w:rPr>
                            <w:color w:val="231F20"/>
                            <w:sz w:val="20"/>
                          </w:rPr>
                          <w:t>$1.20 - $1.25</w:t>
                        </w:r>
                      </w:p>
                    </w:tc>
                    <w:tc>
                      <w:tcPr>
                        <w:tcW w:w="2350" w:type="dxa"/>
                        <w:tcBorders>
                          <w:top w:val="single" w:sz="8" w:space="0" w:color="231F20"/>
                        </w:tcBorders>
                        <w:shd w:val="clear" w:color="auto" w:fill="D1D3D4"/>
                      </w:tcPr>
                      <w:p>
                        <w:pPr>
                          <w:pStyle w:val="TableParagraph"/>
                          <w:ind w:left="432" w:right="283"/>
                          <w:jc w:val="center"/>
                          <w:rPr>
                            <w:sz w:val="20"/>
                          </w:rPr>
                        </w:pPr>
                        <w:r>
                          <w:rPr>
                            <w:color w:val="231F20"/>
                            <w:sz w:val="20"/>
                          </w:rPr>
                          <w:t>$1.30 - $1.35</w:t>
                        </w:r>
                      </w:p>
                    </w:tc>
                  </w:tr>
                  <w:tr>
                    <w:trPr>
                      <w:trHeight w:val="300" w:hRule="exact"/>
                    </w:trPr>
                    <w:tc>
                      <w:tcPr>
                        <w:tcW w:w="4171" w:type="dxa"/>
                      </w:tcPr>
                      <w:p>
                        <w:pPr>
                          <w:pStyle w:val="TableParagraph"/>
                          <w:ind w:left="881" w:right="732"/>
                          <w:jc w:val="center"/>
                          <w:rPr>
                            <w:b/>
                            <w:sz w:val="20"/>
                          </w:rPr>
                        </w:pPr>
                        <w:r>
                          <w:rPr>
                            <w:b/>
                            <w:color w:val="231F20"/>
                            <w:sz w:val="20"/>
                          </w:rPr>
                          <w:t>$25</w:t>
                        </w:r>
                      </w:p>
                    </w:tc>
                    <w:tc>
                      <w:tcPr>
                        <w:tcW w:w="2599" w:type="dxa"/>
                      </w:tcPr>
                      <w:p>
                        <w:pPr>
                          <w:pStyle w:val="TableParagraph"/>
                          <w:ind w:left="731" w:right="433"/>
                          <w:jc w:val="center"/>
                          <w:rPr>
                            <w:sz w:val="20"/>
                          </w:rPr>
                        </w:pPr>
                        <w:r>
                          <w:rPr>
                            <w:color w:val="231F20"/>
                            <w:sz w:val="20"/>
                          </w:rPr>
                          <w:t>$1.45 - $1.50</w:t>
                        </w:r>
                      </w:p>
                    </w:tc>
                    <w:tc>
                      <w:tcPr>
                        <w:tcW w:w="2350" w:type="dxa"/>
                      </w:tcPr>
                      <w:p>
                        <w:pPr>
                          <w:pStyle w:val="TableParagraph"/>
                          <w:ind w:left="432" w:right="283"/>
                          <w:jc w:val="center"/>
                          <w:rPr>
                            <w:sz w:val="20"/>
                          </w:rPr>
                        </w:pPr>
                        <w:r>
                          <w:rPr>
                            <w:color w:val="231F20"/>
                            <w:sz w:val="20"/>
                          </w:rPr>
                          <w:t>$1.50 - $1.55</w:t>
                        </w:r>
                      </w:p>
                    </w:tc>
                  </w:tr>
                  <w:tr>
                    <w:trPr>
                      <w:trHeight w:val="300" w:hRule="exact"/>
                    </w:trPr>
                    <w:tc>
                      <w:tcPr>
                        <w:tcW w:w="4171" w:type="dxa"/>
                        <w:shd w:val="clear" w:color="auto" w:fill="D1D3D4"/>
                      </w:tcPr>
                      <w:p>
                        <w:pPr>
                          <w:pStyle w:val="TableParagraph"/>
                          <w:ind w:left="880" w:right="733"/>
                          <w:jc w:val="center"/>
                          <w:rPr>
                            <w:b/>
                            <w:sz w:val="20"/>
                          </w:rPr>
                        </w:pPr>
                        <w:r>
                          <w:rPr>
                            <w:b/>
                            <w:color w:val="231F20"/>
                            <w:sz w:val="20"/>
                          </w:rPr>
                          <w:t>Current Market (1)</w:t>
                        </w:r>
                      </w:p>
                    </w:tc>
                    <w:tc>
                      <w:tcPr>
                        <w:tcW w:w="2599" w:type="dxa"/>
                        <w:shd w:val="clear" w:color="auto" w:fill="D1D3D4"/>
                      </w:tcPr>
                      <w:p>
                        <w:pPr>
                          <w:pStyle w:val="TableParagraph"/>
                          <w:ind w:left="731" w:right="433"/>
                          <w:jc w:val="center"/>
                          <w:rPr>
                            <w:sz w:val="20"/>
                          </w:rPr>
                        </w:pPr>
                        <w:r>
                          <w:rPr>
                            <w:color w:val="231F20"/>
                            <w:sz w:val="20"/>
                          </w:rPr>
                          <w:t>$1.65 - $1.70</w:t>
                        </w:r>
                      </w:p>
                    </w:tc>
                    <w:tc>
                      <w:tcPr>
                        <w:tcW w:w="2350" w:type="dxa"/>
                        <w:shd w:val="clear" w:color="auto" w:fill="D1D3D4"/>
                      </w:tcPr>
                      <w:p>
                        <w:pPr>
                          <w:pStyle w:val="TableParagraph"/>
                          <w:ind w:left="432" w:right="283"/>
                          <w:jc w:val="center"/>
                          <w:rPr>
                            <w:sz w:val="20"/>
                          </w:rPr>
                        </w:pPr>
                        <w:r>
                          <w:rPr>
                            <w:color w:val="231F20"/>
                            <w:sz w:val="20"/>
                          </w:rPr>
                          <w:t>$1.70 - $1.75</w:t>
                        </w:r>
                      </w:p>
                    </w:tc>
                  </w:tr>
                  <w:tr>
                    <w:trPr>
                      <w:trHeight w:val="300" w:hRule="exact"/>
                    </w:trPr>
                    <w:tc>
                      <w:tcPr>
                        <w:tcW w:w="4171" w:type="dxa"/>
                      </w:tcPr>
                      <w:p>
                        <w:pPr>
                          <w:pStyle w:val="TableParagraph"/>
                          <w:ind w:left="881" w:right="732"/>
                          <w:jc w:val="center"/>
                          <w:rPr>
                            <w:b/>
                            <w:sz w:val="20"/>
                          </w:rPr>
                        </w:pPr>
                        <w:r>
                          <w:rPr>
                            <w:b/>
                            <w:color w:val="231F20"/>
                            <w:sz w:val="20"/>
                          </w:rPr>
                          <w:t>$45</w:t>
                        </w:r>
                      </w:p>
                    </w:tc>
                    <w:tc>
                      <w:tcPr>
                        <w:tcW w:w="2599" w:type="dxa"/>
                      </w:tcPr>
                      <w:p>
                        <w:pPr>
                          <w:pStyle w:val="TableParagraph"/>
                          <w:ind w:left="731" w:right="433"/>
                          <w:jc w:val="center"/>
                          <w:rPr>
                            <w:sz w:val="20"/>
                          </w:rPr>
                        </w:pPr>
                        <w:r>
                          <w:rPr>
                            <w:color w:val="231F20"/>
                            <w:sz w:val="20"/>
                          </w:rPr>
                          <w:t>$2.00 - $2.05</w:t>
                        </w:r>
                      </w:p>
                    </w:tc>
                    <w:tc>
                      <w:tcPr>
                        <w:tcW w:w="2350" w:type="dxa"/>
                      </w:tcPr>
                      <w:p>
                        <w:pPr>
                          <w:pStyle w:val="TableParagraph"/>
                          <w:ind w:left="432" w:right="283"/>
                          <w:jc w:val="center"/>
                          <w:rPr>
                            <w:sz w:val="20"/>
                          </w:rPr>
                        </w:pPr>
                        <w:r>
                          <w:rPr>
                            <w:color w:val="231F20"/>
                            <w:sz w:val="20"/>
                          </w:rPr>
                          <w:t>$1.95 - $2.00</w:t>
                        </w:r>
                      </w:p>
                    </w:tc>
                  </w:tr>
                  <w:tr>
                    <w:trPr>
                      <w:trHeight w:val="300" w:hRule="exact"/>
                    </w:trPr>
                    <w:tc>
                      <w:tcPr>
                        <w:tcW w:w="4171" w:type="dxa"/>
                        <w:shd w:val="clear" w:color="auto" w:fill="D1D3D4"/>
                      </w:tcPr>
                      <w:p>
                        <w:pPr>
                          <w:pStyle w:val="TableParagraph"/>
                          <w:ind w:left="881" w:right="732"/>
                          <w:jc w:val="center"/>
                          <w:rPr>
                            <w:b/>
                            <w:sz w:val="20"/>
                          </w:rPr>
                        </w:pPr>
                        <w:r>
                          <w:rPr>
                            <w:b/>
                            <w:color w:val="231F20"/>
                            <w:sz w:val="20"/>
                          </w:rPr>
                          <w:t>$55</w:t>
                        </w:r>
                      </w:p>
                    </w:tc>
                    <w:tc>
                      <w:tcPr>
                        <w:tcW w:w="2599" w:type="dxa"/>
                        <w:shd w:val="clear" w:color="auto" w:fill="D1D3D4"/>
                      </w:tcPr>
                      <w:p>
                        <w:pPr>
                          <w:pStyle w:val="TableParagraph"/>
                          <w:ind w:left="731" w:right="433"/>
                          <w:jc w:val="center"/>
                          <w:rPr>
                            <w:sz w:val="20"/>
                          </w:rPr>
                        </w:pPr>
                        <w:r>
                          <w:rPr>
                            <w:color w:val="231F20"/>
                            <w:sz w:val="20"/>
                          </w:rPr>
                          <w:t>$2.30 - $2.35</w:t>
                        </w:r>
                      </w:p>
                    </w:tc>
                    <w:tc>
                      <w:tcPr>
                        <w:tcW w:w="2350" w:type="dxa"/>
                        <w:shd w:val="clear" w:color="auto" w:fill="D1D3D4"/>
                      </w:tcPr>
                      <w:p>
                        <w:pPr>
                          <w:pStyle w:val="TableParagraph"/>
                          <w:ind w:left="432" w:right="283"/>
                          <w:jc w:val="center"/>
                          <w:rPr>
                            <w:sz w:val="20"/>
                          </w:rPr>
                        </w:pPr>
                        <w:r>
                          <w:rPr>
                            <w:color w:val="231F20"/>
                            <w:sz w:val="20"/>
                          </w:rPr>
                          <w:t>$2.15 - $2.20</w:t>
                        </w:r>
                      </w:p>
                    </w:tc>
                  </w:tr>
                  <w:tr>
                    <w:trPr>
                      <w:trHeight w:val="284" w:hRule="exact"/>
                    </w:trPr>
                    <w:tc>
                      <w:tcPr>
                        <w:tcW w:w="4171" w:type="dxa"/>
                      </w:tcPr>
                      <w:p>
                        <w:pPr>
                          <w:pStyle w:val="TableParagraph"/>
                          <w:ind w:left="881" w:right="733"/>
                          <w:jc w:val="center"/>
                          <w:rPr>
                            <w:b/>
                            <w:sz w:val="20"/>
                          </w:rPr>
                        </w:pPr>
                        <w:r>
                          <w:rPr>
                            <w:b/>
                            <w:color w:val="231F20"/>
                            <w:sz w:val="20"/>
                          </w:rPr>
                          <w:t>Estimated Premium Costs (3)</w:t>
                        </w:r>
                      </w:p>
                    </w:tc>
                    <w:tc>
                      <w:tcPr>
                        <w:tcW w:w="2599" w:type="dxa"/>
                      </w:tcPr>
                      <w:p>
                        <w:pPr>
                          <w:pStyle w:val="TableParagraph"/>
                          <w:ind w:left="731" w:right="433"/>
                          <w:jc w:val="center"/>
                          <w:rPr>
                            <w:sz w:val="20"/>
                          </w:rPr>
                        </w:pPr>
                        <w:r>
                          <w:rPr>
                            <w:color w:val="231F20"/>
                            <w:sz w:val="20"/>
                          </w:rPr>
                          <w:t>$35 - $40 million</w:t>
                        </w:r>
                      </w:p>
                    </w:tc>
                    <w:tc>
                      <w:tcPr>
                        <w:tcW w:w="2350" w:type="dxa"/>
                      </w:tcPr>
                      <w:p>
                        <w:pPr>
                          <w:pStyle w:val="TableParagraph"/>
                          <w:ind w:left="432" w:right="283"/>
                          <w:jc w:val="center"/>
                          <w:rPr>
                            <w:sz w:val="20"/>
                          </w:rPr>
                        </w:pPr>
                        <w:r>
                          <w:rPr>
                            <w:color w:val="231F20"/>
                            <w:sz w:val="20"/>
                          </w:rPr>
                          <w:t>$150 - $160 million</w:t>
                        </w:r>
                      </w:p>
                    </w:tc>
                  </w:tr>
                </w:tbl>
                <w:p>
                  <w:pPr>
                    <w:pStyle w:val="BodyText"/>
                  </w:pPr>
                </w:p>
              </w:txbxContent>
            </v:textbox>
            <w10:wrap type="none"/>
          </v:shape>
        </w:pict>
      </w:r>
      <w:r>
        <w:rPr>
          <w:b/>
          <w:color w:val="231F20"/>
          <w:sz w:val="20"/>
        </w:rPr>
        <w:t>Average Brent Crude Oil</w:t>
      </w:r>
    </w:p>
    <w:p>
      <w:pPr>
        <w:spacing w:line="200" w:lineRule="exact" w:before="100"/>
        <w:ind w:left="2442" w:right="501" w:hanging="1263"/>
        <w:jc w:val="left"/>
        <w:rPr>
          <w:b/>
          <w:sz w:val="20"/>
        </w:rPr>
      </w:pPr>
      <w:r>
        <w:rPr/>
        <w:br w:type="column"/>
      </w:r>
      <w:r>
        <w:rPr>
          <w:b/>
          <w:color w:val="231F20"/>
          <w:sz w:val="20"/>
        </w:rPr>
        <w:t>Estimated economic jet fuel price per gallon, including taxes</w:t>
      </w:r>
    </w:p>
    <w:p>
      <w:pPr>
        <w:pStyle w:val="BodyText"/>
        <w:spacing w:line="20" w:lineRule="exact"/>
        <w:ind w:left="775"/>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after="0" w:line="20" w:lineRule="exact"/>
        <w:rPr>
          <w:sz w:val="2"/>
        </w:rPr>
        <w:sectPr>
          <w:pgSz w:w="11880" w:h="15480"/>
          <w:pgMar w:header="0" w:footer="1240" w:top="1200" w:bottom="1420" w:left="1280" w:right="1260"/>
          <w:cols w:num="2" w:equalWidth="0">
            <w:col w:w="3340" w:space="495"/>
            <w:col w:w="550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9"/>
        </w:rPr>
      </w:pPr>
    </w:p>
    <w:p>
      <w:pPr>
        <w:pStyle w:val="ListParagraph"/>
        <w:numPr>
          <w:ilvl w:val="0"/>
          <w:numId w:val="9"/>
        </w:numPr>
        <w:tabs>
          <w:tab w:pos="391" w:val="left" w:leader="none"/>
        </w:tabs>
        <w:spacing w:line="249" w:lineRule="auto" w:before="93" w:after="0"/>
        <w:ind w:left="100" w:right="118" w:firstLine="0"/>
        <w:jc w:val="both"/>
        <w:rPr>
          <w:sz w:val="20"/>
        </w:rPr>
      </w:pPr>
      <w:r>
        <w:rPr>
          <w:color w:val="231F20"/>
          <w:sz w:val="20"/>
        </w:rPr>
        <w:t>Brent crude oil average market prices as of January 15, 2016, were approximately $30 and $33 per barrel for first quarter 2016 and full year 2016,</w:t>
      </w:r>
      <w:r>
        <w:rPr>
          <w:color w:val="231F20"/>
          <w:spacing w:val="3"/>
          <w:sz w:val="20"/>
        </w:rPr>
        <w:t> </w:t>
      </w:r>
      <w:r>
        <w:rPr>
          <w:color w:val="231F20"/>
          <w:sz w:val="20"/>
        </w:rPr>
        <w:t>respectively.</w:t>
      </w:r>
    </w:p>
    <w:p>
      <w:pPr>
        <w:pStyle w:val="ListParagraph"/>
        <w:numPr>
          <w:ilvl w:val="0"/>
          <w:numId w:val="9"/>
        </w:numPr>
        <w:tabs>
          <w:tab w:pos="386" w:val="left" w:leader="none"/>
        </w:tabs>
        <w:spacing w:line="249" w:lineRule="auto" w:before="0" w:after="0"/>
        <w:ind w:left="100" w:right="118" w:firstLine="0"/>
        <w:jc w:val="both"/>
        <w:rPr>
          <w:sz w:val="20"/>
        </w:rPr>
      </w:pPr>
      <w:r>
        <w:rPr>
          <w:color w:val="231F20"/>
          <w:sz w:val="20"/>
        </w:rPr>
        <w:t>The economic fuel price per gallon sensitivities provided assume the relationship between Brent crude oil and refined products based on market prices as of January 15,</w:t>
      </w:r>
      <w:r>
        <w:rPr>
          <w:color w:val="231F20"/>
          <w:spacing w:val="5"/>
          <w:sz w:val="20"/>
        </w:rPr>
        <w:t> </w:t>
      </w:r>
      <w:r>
        <w:rPr>
          <w:color w:val="231F20"/>
          <w:sz w:val="20"/>
        </w:rPr>
        <w:t>2016.</w:t>
      </w:r>
    </w:p>
    <w:p>
      <w:pPr>
        <w:pStyle w:val="ListParagraph"/>
        <w:numPr>
          <w:ilvl w:val="0"/>
          <w:numId w:val="9"/>
        </w:numPr>
        <w:tabs>
          <w:tab w:pos="384" w:val="left" w:leader="none"/>
        </w:tabs>
        <w:spacing w:line="240" w:lineRule="auto" w:before="0" w:after="0"/>
        <w:ind w:left="384" w:right="0" w:hanging="284"/>
        <w:jc w:val="both"/>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3"/>
        <w:rPr>
          <w:sz w:val="18"/>
        </w:rPr>
      </w:pPr>
    </w:p>
    <w:p>
      <w:pPr>
        <w:pStyle w:val="BodyText"/>
        <w:spacing w:line="247" w:lineRule="auto"/>
        <w:ind w:left="100" w:right="117"/>
        <w:jc w:val="both"/>
      </w:pPr>
      <w:r>
        <w:rPr>
          <w:color w:val="231F20"/>
        </w:rPr>
        <w:t>Maintenance materials and repairs expense for 2015 increased by $27 million, or 2.8 percent,  compared with 2014. On a per ASM basis, Maintenance materials and repairs expense for 2015 decreased 4.0 percent, compared with 2014, as the dollar increases were more than offset by the 7.2 percent increase in capacity. On a dollar basis, the majority of the increase was attributable to the timing of regular airframe maintenance checks, partially offset by reduced engine and avionic repair expense as a result of the B717 aircraft transitioning out of the Company’s fleet. The Company currently expects Maintenance materials and repairs expense per ASM for first quarter 2016 to  increase, compared with first quarter</w:t>
      </w:r>
      <w:r>
        <w:rPr>
          <w:color w:val="231F20"/>
          <w:spacing w:val="-2"/>
        </w:rPr>
        <w:t> </w:t>
      </w:r>
      <w:r>
        <w:rPr>
          <w:color w:val="231F20"/>
        </w:rPr>
        <w:t>2015.</w:t>
      </w:r>
    </w:p>
    <w:p>
      <w:pPr>
        <w:pStyle w:val="BodyText"/>
        <w:spacing w:line="247" w:lineRule="auto" w:before="198"/>
        <w:ind w:left="100" w:right="117"/>
        <w:jc w:val="both"/>
      </w:pPr>
      <w:r>
        <w:rPr>
          <w:color w:val="231F20"/>
        </w:rPr>
        <w:t>Aircraft rentals expense for 2015 decreased by $57 million, or 19.3 percent, compared with 2014. On a per ASM basis, Aircraft rentals expense decreased 22.7 percent, compared with 2014. On both a dollar and per ASM basis, the decrease was primarily due to the transition of leased B717 aircraft out of the Company’s fleet for conversion and delivery to Delta. The Company currently expects Aircraft rentals expense per ASM for first quarter 2016 to be comparable to fourth quarter 2015.</w:t>
      </w:r>
    </w:p>
    <w:p>
      <w:pPr>
        <w:pStyle w:val="BodyText"/>
        <w:spacing w:line="247" w:lineRule="auto" w:before="198"/>
        <w:ind w:left="100" w:right="117"/>
        <w:jc w:val="both"/>
      </w:pPr>
      <w:r>
        <w:rPr>
          <w:color w:val="231F20"/>
        </w:rPr>
        <w:t>Landing fees and other rentals expense for 2015 increased by $55 million, or 5.0 percent, compared with 2014. On a per ASM basis, Landing fees and other rentals expense for 2015 decreased 2.4  percent, compared with 2014, as the dollar increases were more than offset by the 7.2 percent increase in capacity. On a dollar basis, the majority of the increase was due was due to higher space rental rates at various airports. The remaining increase was due to heavier landing weights for the Company’s higher capacity 737-800 aircraft, which now make up a larger portion of the Company’s fleet. The Company currently expects Landing fees and other rentals expense per ASM for first quarter 2016 to decrease, compared with first quarter</w:t>
      </w:r>
      <w:r>
        <w:rPr>
          <w:color w:val="231F20"/>
          <w:spacing w:val="-2"/>
        </w:rPr>
        <w:t> </w:t>
      </w:r>
      <w:r>
        <w:rPr>
          <w:color w:val="231F20"/>
        </w:rPr>
        <w:t>2015.</w:t>
      </w:r>
    </w:p>
    <w:p>
      <w:pPr>
        <w:pStyle w:val="BodyText"/>
        <w:spacing w:line="247" w:lineRule="auto" w:before="198"/>
        <w:ind w:left="100" w:right="117"/>
        <w:jc w:val="both"/>
      </w:pPr>
      <w:r>
        <w:rPr>
          <w:color w:val="231F20"/>
        </w:rPr>
        <w:t>Depreciation and amortization expense for 2015 increased by $77 million, or 8.2 percent, compared with 2014. On a per ASM basis, Depreciation and amortization expense remained flat, compared with 2014. On a dollar basis, the majority of the increase was due to the purchase and capital lease of new and used aircraft since 2014, the majority of which replaced B717s removed from service in late 2014. The Company currently expects Depreciation and amortization expense per ASM for first quarter 2016 to increase, compared with first quarter 2015, due to the accelerated retirement of the owned 737-300 and 737-500 fleet and the acquisition of new 737-800 and 737-700 aircraft. See Note 1 to the Consolidated Financial Statements for further information.</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The Company incurred $39 million in Acquisition and integration costs in 2015, related to the AirTran integration, compared with $126 million in 2014. This expense primarily consisted of Employee training, facilities integration, and certain expenses associated with the grounding and conversion costs resulting from the transition of B717s to Delta. The Company does not expect to incur any further Acquisition and integration costs beyond 2015. See Note 7 to the Consolidated Financial Statements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Other operating expenses for 2015 increased by $37 million, or 1.7 percent, compared with 2014. On a per ASM basis, Other operating expenses for 2015 decreased 4.8 percent, compared with 2014, as the dollar increases  were more than offset by the 7.2 percent increase  in capacity. On a dollar basis,       the increase was equally attributable to higher personnel expenses associated with travel costs of the Company’s flight crew and credit card fees paid to third parties associated with the increase in Passenger revenues. These and other smaller increases were partially offset by a decrease in security expenses as a result of the repeal of the TSA Aviation Security Infrastructure Fee in October 2014 and a litigation settlement received by the Company in the first quarter of 2015. The Company currently expects Other operating expenses per ASM for first quarter 2016 to be comparable with fourth quarter 2015.</w:t>
      </w:r>
    </w:p>
    <w:p>
      <w:pPr>
        <w:pStyle w:val="BodyText"/>
        <w:spacing w:before="9"/>
        <w:rPr>
          <w:sz w:val="20"/>
        </w:rPr>
      </w:pPr>
    </w:p>
    <w:p>
      <w:pPr>
        <w:pStyle w:val="Heading1"/>
      </w:pPr>
      <w:r>
        <w:rPr>
          <w:color w:val="231F20"/>
        </w:rPr>
        <w:t>Other</w:t>
      </w:r>
    </w:p>
    <w:p>
      <w:pPr>
        <w:pStyle w:val="BodyText"/>
        <w:spacing w:before="4"/>
        <w:rPr>
          <w:b/>
          <w:sz w:val="21"/>
        </w:rPr>
      </w:pPr>
    </w:p>
    <w:p>
      <w:pPr>
        <w:pStyle w:val="BodyText"/>
        <w:spacing w:line="247" w:lineRule="auto" w:before="1"/>
        <w:ind w:left="10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2015, and 2014:</w:t>
      </w:r>
    </w:p>
    <w:p>
      <w:pPr>
        <w:pStyle w:val="BodyText"/>
        <w:spacing w:before="3"/>
        <w:rPr>
          <w:sz w:val="17"/>
        </w:rPr>
      </w:pPr>
    </w:p>
    <w:p>
      <w:pPr>
        <w:spacing w:before="0" w:after="27"/>
        <w:ind w:left="674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910"/>
        <w:gridCol w:w="436"/>
        <w:gridCol w:w="134"/>
        <w:gridCol w:w="860"/>
        <w:gridCol w:w="420"/>
      </w:tblGrid>
      <w:tr>
        <w:trPr>
          <w:trHeight w:val="280" w:hRule="exact"/>
        </w:trPr>
        <w:tc>
          <w:tcPr>
            <w:tcW w:w="6360" w:type="dxa"/>
          </w:tcPr>
          <w:p>
            <w:pPr>
              <w:pStyle w:val="TableParagraph"/>
              <w:spacing w:before="23"/>
              <w:ind w:left="60"/>
              <w:rPr>
                <w:sz w:val="20"/>
              </w:rPr>
            </w:pPr>
            <w:r>
              <w:rPr>
                <w:color w:val="231F20"/>
                <w:sz w:val="20"/>
              </w:rPr>
              <w:t>(in millions)</w:t>
            </w:r>
          </w:p>
        </w:tc>
        <w:tc>
          <w:tcPr>
            <w:tcW w:w="910" w:type="dxa"/>
            <w:tcBorders>
              <w:top w:val="single" w:sz="8" w:space="0" w:color="231F20"/>
              <w:bottom w:val="single" w:sz="8" w:space="0" w:color="231F20"/>
            </w:tcBorders>
          </w:tcPr>
          <w:p>
            <w:pPr>
              <w:pStyle w:val="TableParagraph"/>
              <w:spacing w:before="13"/>
              <w:ind w:left="440"/>
              <w:rPr>
                <w:b/>
                <w:sz w:val="20"/>
              </w:rPr>
            </w:pPr>
            <w:r>
              <w:rPr>
                <w:b/>
                <w:color w:val="231F20"/>
                <w:sz w:val="20"/>
              </w:rPr>
              <w:t>2015</w:t>
            </w:r>
          </w:p>
        </w:tc>
        <w:tc>
          <w:tcPr>
            <w:tcW w:w="436" w:type="dxa"/>
            <w:tcBorders>
              <w:top w:val="single" w:sz="8" w:space="0" w:color="231F20"/>
              <w:bottom w:val="single" w:sz="8" w:space="0" w:color="231F20"/>
            </w:tcBorders>
          </w:tcPr>
          <w:p>
            <w:pPr/>
          </w:p>
        </w:tc>
        <w:tc>
          <w:tcPr>
            <w:tcW w:w="134" w:type="dxa"/>
            <w:tcBorders>
              <w:top w:val="single" w:sz="8" w:space="0" w:color="231F20"/>
            </w:tcBorders>
          </w:tcPr>
          <w:p>
            <w:pPr/>
          </w:p>
        </w:tc>
        <w:tc>
          <w:tcPr>
            <w:tcW w:w="860" w:type="dxa"/>
            <w:tcBorders>
              <w:top w:val="single" w:sz="8" w:space="0" w:color="231F20"/>
              <w:bottom w:val="single" w:sz="8" w:space="0" w:color="231F20"/>
            </w:tcBorders>
          </w:tcPr>
          <w:p>
            <w:pPr>
              <w:pStyle w:val="TableParagraph"/>
              <w:spacing w:before="13"/>
              <w:ind w:left="440"/>
              <w:rPr>
                <w:b/>
                <w:sz w:val="20"/>
              </w:rPr>
            </w:pPr>
            <w:r>
              <w:rPr>
                <w:b/>
                <w:color w:val="231F20"/>
                <w:sz w:val="20"/>
              </w:rPr>
              <w:t>2014</w:t>
            </w:r>
          </w:p>
        </w:tc>
        <w:tc>
          <w:tcPr>
            <w:tcW w:w="420" w:type="dxa"/>
            <w:tcBorders>
              <w:top w:val="single" w:sz="8" w:space="0" w:color="231F20"/>
              <w:bottom w:val="single" w:sz="8" w:space="0" w:color="231F20"/>
            </w:tcBorders>
          </w:tcPr>
          <w:p>
            <w:pPr/>
          </w:p>
        </w:tc>
      </w:tr>
      <w:tr>
        <w:trPr>
          <w:trHeight w:val="310" w:hRule="exact"/>
        </w:trPr>
        <w:tc>
          <w:tcPr>
            <w:tcW w:w="6360" w:type="dxa"/>
            <w:shd w:val="clear" w:color="auto" w:fill="D1D3D4"/>
          </w:tcPr>
          <w:p>
            <w:pPr>
              <w:pStyle w:val="TableParagraph"/>
              <w:spacing w:before="63"/>
              <w:ind w:left="60"/>
              <w:rPr>
                <w:sz w:val="20"/>
              </w:rPr>
            </w:pPr>
            <w:r>
              <w:rPr>
                <w:color w:val="231F20"/>
                <w:sz w:val="20"/>
              </w:rPr>
              <w:t>Mark-to-market impact from fuel contracts settling in future periods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436" w:type="dxa"/>
            <w:tcBorders>
              <w:top w:val="single" w:sz="8" w:space="0" w:color="231F20"/>
            </w:tcBorders>
            <w:shd w:val="clear" w:color="auto" w:fill="D1D3D4"/>
          </w:tcPr>
          <w:p>
            <w:pPr>
              <w:pStyle w:val="TableParagraph"/>
              <w:ind w:left="70"/>
              <w:rPr>
                <w:sz w:val="20"/>
              </w:rPr>
            </w:pPr>
            <w:r>
              <w:rPr>
                <w:color w:val="231F20"/>
                <w:sz w:val="20"/>
              </w:rPr>
              <w:t>373</w:t>
            </w:r>
          </w:p>
        </w:tc>
        <w:tc>
          <w:tcPr>
            <w:tcW w:w="134" w:type="dxa"/>
            <w:shd w:val="clear" w:color="auto" w:fill="D1D3D4"/>
          </w:tcPr>
          <w:p>
            <w:pPr/>
          </w:p>
        </w:tc>
        <w:tc>
          <w:tcPr>
            <w:tcW w:w="860" w:type="dxa"/>
            <w:tcBorders>
              <w:top w:val="single" w:sz="8" w:space="0" w:color="231F20"/>
            </w:tcBorders>
            <w:shd w:val="clear" w:color="auto" w:fill="D1D3D4"/>
          </w:tcPr>
          <w:p>
            <w:pPr>
              <w:pStyle w:val="TableParagraph"/>
              <w:rPr>
                <w:sz w:val="20"/>
              </w:rPr>
            </w:pPr>
            <w:r>
              <w:rPr>
                <w:color w:val="231F20"/>
                <w:sz w:val="20"/>
              </w:rPr>
              <w:t>$</w:t>
            </w:r>
          </w:p>
        </w:tc>
        <w:tc>
          <w:tcPr>
            <w:tcW w:w="420" w:type="dxa"/>
            <w:tcBorders>
              <w:top w:val="single" w:sz="8" w:space="0" w:color="231F20"/>
            </w:tcBorders>
            <w:shd w:val="clear" w:color="auto" w:fill="D1D3D4"/>
          </w:tcPr>
          <w:p>
            <w:pPr>
              <w:pStyle w:val="TableParagraph"/>
              <w:ind w:right="97"/>
              <w:jc w:val="right"/>
              <w:rPr>
                <w:sz w:val="20"/>
              </w:rPr>
            </w:pPr>
            <w:r>
              <w:rPr>
                <w:color w:val="231F20"/>
                <w:sz w:val="20"/>
              </w:rPr>
              <w:t>251</w:t>
            </w:r>
          </w:p>
        </w:tc>
      </w:tr>
      <w:tr>
        <w:trPr>
          <w:trHeight w:val="300" w:hRule="exact"/>
        </w:trPr>
        <w:tc>
          <w:tcPr>
            <w:tcW w:w="6360" w:type="dxa"/>
          </w:tcPr>
          <w:p>
            <w:pPr>
              <w:pStyle w:val="TableParagraph"/>
              <w:ind w:left="60"/>
              <w:rPr>
                <w:sz w:val="20"/>
              </w:rPr>
            </w:pPr>
            <w:r>
              <w:rPr>
                <w:color w:val="231F20"/>
                <w:sz w:val="20"/>
              </w:rPr>
              <w:t>Ineffectiveness from fuel hedges settling in future periods</w:t>
            </w:r>
          </w:p>
        </w:tc>
        <w:tc>
          <w:tcPr>
            <w:tcW w:w="910" w:type="dxa"/>
          </w:tcPr>
          <w:p>
            <w:pPr/>
          </w:p>
        </w:tc>
        <w:tc>
          <w:tcPr>
            <w:tcW w:w="436" w:type="dxa"/>
          </w:tcPr>
          <w:p>
            <w:pPr>
              <w:pStyle w:val="TableParagraph"/>
              <w:jc w:val="right"/>
              <w:rPr>
                <w:sz w:val="20"/>
              </w:rPr>
            </w:pPr>
            <w:r>
              <w:rPr>
                <w:color w:val="231F20"/>
                <w:sz w:val="20"/>
              </w:rPr>
              <w:t>(9)</w:t>
            </w:r>
          </w:p>
        </w:tc>
        <w:tc>
          <w:tcPr>
            <w:tcW w:w="134" w:type="dxa"/>
          </w:tcPr>
          <w:p>
            <w:pPr/>
          </w:p>
        </w:tc>
        <w:tc>
          <w:tcPr>
            <w:tcW w:w="860" w:type="dxa"/>
          </w:tcPr>
          <w:p>
            <w:pPr/>
          </w:p>
        </w:tc>
        <w:tc>
          <w:tcPr>
            <w:tcW w:w="420" w:type="dxa"/>
          </w:tcPr>
          <w:p>
            <w:pPr>
              <w:pStyle w:val="TableParagraph"/>
              <w:ind w:right="97"/>
              <w:jc w:val="right"/>
              <w:rPr>
                <w:sz w:val="20"/>
              </w:rPr>
            </w:pPr>
            <w:r>
              <w:rPr>
                <w:color w:val="231F20"/>
                <w:sz w:val="20"/>
              </w:rPr>
              <w:t>5</w:t>
            </w:r>
          </w:p>
        </w:tc>
      </w:tr>
      <w:tr>
        <w:trPr>
          <w:trHeight w:val="300" w:hRule="exact"/>
        </w:trPr>
        <w:tc>
          <w:tcPr>
            <w:tcW w:w="6360" w:type="dxa"/>
            <w:shd w:val="clear" w:color="auto" w:fill="D1D3D4"/>
          </w:tcPr>
          <w:p>
            <w:pPr>
              <w:pStyle w:val="TableParagraph"/>
              <w:ind w:left="60"/>
              <w:rPr>
                <w:sz w:val="20"/>
              </w:rPr>
            </w:pPr>
            <w:r>
              <w:rPr>
                <w:color w:val="231F20"/>
                <w:sz w:val="20"/>
              </w:rPr>
              <w:t>Realized ineffectiveness and mark-to-market (gains) or losses</w:t>
            </w:r>
          </w:p>
        </w:tc>
        <w:tc>
          <w:tcPr>
            <w:tcW w:w="910" w:type="dxa"/>
            <w:shd w:val="clear" w:color="auto" w:fill="D1D3D4"/>
          </w:tcPr>
          <w:p>
            <w:pPr/>
          </w:p>
        </w:tc>
        <w:tc>
          <w:tcPr>
            <w:tcW w:w="436" w:type="dxa"/>
            <w:shd w:val="clear" w:color="auto" w:fill="D1D3D4"/>
          </w:tcPr>
          <w:p>
            <w:pPr>
              <w:pStyle w:val="TableParagraph"/>
              <w:ind w:left="170"/>
              <w:rPr>
                <w:sz w:val="20"/>
              </w:rPr>
            </w:pPr>
            <w:r>
              <w:rPr>
                <w:color w:val="231F20"/>
                <w:sz w:val="20"/>
              </w:rPr>
              <w:t>72</w:t>
            </w:r>
          </w:p>
        </w:tc>
        <w:tc>
          <w:tcPr>
            <w:tcW w:w="134" w:type="dxa"/>
            <w:shd w:val="clear" w:color="auto" w:fill="D1D3D4"/>
          </w:tcPr>
          <w:p>
            <w:pPr/>
          </w:p>
        </w:tc>
        <w:tc>
          <w:tcPr>
            <w:tcW w:w="860" w:type="dxa"/>
            <w:shd w:val="clear" w:color="auto" w:fill="D1D3D4"/>
          </w:tcPr>
          <w:p>
            <w:pPr/>
          </w:p>
        </w:tc>
        <w:tc>
          <w:tcPr>
            <w:tcW w:w="420" w:type="dxa"/>
            <w:shd w:val="clear" w:color="auto" w:fill="D1D3D4"/>
          </w:tcPr>
          <w:p>
            <w:pPr>
              <w:pStyle w:val="TableParagraph"/>
              <w:ind w:right="48"/>
              <w:jc w:val="right"/>
              <w:rPr>
                <w:sz w:val="20"/>
              </w:rPr>
            </w:pPr>
            <w:r>
              <w:rPr>
                <w:color w:val="231F20"/>
                <w:sz w:val="20"/>
              </w:rPr>
              <w:t>(4)</w:t>
            </w:r>
          </w:p>
        </w:tc>
      </w:tr>
      <w:tr>
        <w:trPr>
          <w:trHeight w:val="300" w:hRule="exact"/>
        </w:trPr>
        <w:tc>
          <w:tcPr>
            <w:tcW w:w="6360" w:type="dxa"/>
          </w:tcPr>
          <w:p>
            <w:pPr>
              <w:pStyle w:val="TableParagraph"/>
              <w:ind w:left="60"/>
              <w:rPr>
                <w:sz w:val="20"/>
              </w:rPr>
            </w:pPr>
            <w:r>
              <w:rPr>
                <w:color w:val="231F20"/>
                <w:sz w:val="20"/>
              </w:rPr>
              <w:t>Premium cost of fuel contracts</w:t>
            </w:r>
          </w:p>
        </w:tc>
        <w:tc>
          <w:tcPr>
            <w:tcW w:w="910" w:type="dxa"/>
          </w:tcPr>
          <w:p>
            <w:pPr/>
          </w:p>
        </w:tc>
        <w:tc>
          <w:tcPr>
            <w:tcW w:w="436" w:type="dxa"/>
          </w:tcPr>
          <w:p>
            <w:pPr>
              <w:pStyle w:val="TableParagraph"/>
              <w:ind w:left="70"/>
              <w:rPr>
                <w:sz w:val="20"/>
              </w:rPr>
            </w:pPr>
            <w:r>
              <w:rPr>
                <w:color w:val="231F20"/>
                <w:sz w:val="20"/>
              </w:rPr>
              <w:t>124</w:t>
            </w:r>
          </w:p>
        </w:tc>
        <w:tc>
          <w:tcPr>
            <w:tcW w:w="134" w:type="dxa"/>
          </w:tcPr>
          <w:p>
            <w:pPr/>
          </w:p>
        </w:tc>
        <w:tc>
          <w:tcPr>
            <w:tcW w:w="860" w:type="dxa"/>
          </w:tcPr>
          <w:p>
            <w:pPr/>
          </w:p>
        </w:tc>
        <w:tc>
          <w:tcPr>
            <w:tcW w:w="420" w:type="dxa"/>
          </w:tcPr>
          <w:p>
            <w:pPr>
              <w:pStyle w:val="TableParagraph"/>
              <w:ind w:right="99"/>
              <w:jc w:val="right"/>
              <w:rPr>
                <w:sz w:val="20"/>
              </w:rPr>
            </w:pPr>
            <w:r>
              <w:rPr>
                <w:color w:val="231F20"/>
                <w:sz w:val="20"/>
              </w:rPr>
              <w:t>62</w:t>
            </w:r>
          </w:p>
        </w:tc>
      </w:tr>
      <w:tr>
        <w:trPr>
          <w:trHeight w:val="315" w:hRule="exact"/>
        </w:trPr>
        <w:tc>
          <w:tcPr>
            <w:tcW w:w="6360" w:type="dxa"/>
            <w:shd w:val="clear" w:color="auto" w:fill="D1D3D4"/>
          </w:tcPr>
          <w:p>
            <w:pPr>
              <w:pStyle w:val="TableParagraph"/>
              <w:ind w:left="60"/>
              <w:rPr>
                <w:sz w:val="20"/>
              </w:rPr>
            </w:pPr>
            <w:r>
              <w:rPr>
                <w:color w:val="231F20"/>
                <w:sz w:val="20"/>
              </w:rPr>
              <w:t>Other</w:t>
            </w:r>
          </w:p>
        </w:tc>
        <w:tc>
          <w:tcPr>
            <w:tcW w:w="910" w:type="dxa"/>
            <w:tcBorders>
              <w:bottom w:val="single" w:sz="4" w:space="0" w:color="231F20"/>
            </w:tcBorders>
            <w:shd w:val="clear" w:color="auto" w:fill="D1D3D4"/>
          </w:tcPr>
          <w:p>
            <w:pPr/>
          </w:p>
        </w:tc>
        <w:tc>
          <w:tcPr>
            <w:tcW w:w="436" w:type="dxa"/>
            <w:tcBorders>
              <w:bottom w:val="single" w:sz="4" w:space="0" w:color="231F20"/>
            </w:tcBorders>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860" w:type="dxa"/>
            <w:tcBorders>
              <w:bottom w:val="single" w:sz="4" w:space="0" w:color="231F20"/>
            </w:tcBorders>
            <w:shd w:val="clear" w:color="auto" w:fill="D1D3D4"/>
          </w:tcPr>
          <w:p>
            <w:pPr/>
          </w:p>
        </w:tc>
        <w:tc>
          <w:tcPr>
            <w:tcW w:w="420" w:type="dxa"/>
            <w:tcBorders>
              <w:bottom w:val="single" w:sz="4" w:space="0" w:color="231F20"/>
            </w:tcBorders>
            <w:shd w:val="clear" w:color="auto" w:fill="D1D3D4"/>
          </w:tcPr>
          <w:p>
            <w:pPr>
              <w:pStyle w:val="TableParagraph"/>
              <w:ind w:right="48"/>
              <w:jc w:val="right"/>
              <w:rPr>
                <w:sz w:val="20"/>
              </w:rPr>
            </w:pPr>
            <w:r>
              <w:rPr>
                <w:color w:val="231F20"/>
                <w:sz w:val="20"/>
              </w:rPr>
              <w:t>(5)</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910" w:type="dxa"/>
            <w:tcBorders>
              <w:top w:val="single" w:sz="4" w:space="0" w:color="231F20"/>
            </w:tcBorders>
          </w:tcPr>
          <w:p>
            <w:pPr>
              <w:pStyle w:val="TableParagraph"/>
              <w:rPr>
                <w:sz w:val="20"/>
              </w:rPr>
            </w:pPr>
            <w:r>
              <w:rPr>
                <w:color w:val="231F20"/>
                <w:sz w:val="20"/>
              </w:rPr>
              <w:t>$</w:t>
            </w:r>
          </w:p>
        </w:tc>
        <w:tc>
          <w:tcPr>
            <w:tcW w:w="436" w:type="dxa"/>
            <w:tcBorders>
              <w:top w:val="single" w:sz="4" w:space="0" w:color="231F20"/>
            </w:tcBorders>
          </w:tcPr>
          <w:p>
            <w:pPr>
              <w:pStyle w:val="TableParagraph"/>
              <w:ind w:left="69"/>
              <w:rPr>
                <w:sz w:val="20"/>
              </w:rPr>
            </w:pPr>
            <w:r>
              <w:rPr>
                <w:color w:val="231F20"/>
                <w:sz w:val="20"/>
              </w:rPr>
              <w:t>556</w:t>
            </w:r>
          </w:p>
        </w:tc>
        <w:tc>
          <w:tcPr>
            <w:tcW w:w="134" w:type="dxa"/>
          </w:tcPr>
          <w:p>
            <w:pPr/>
          </w:p>
        </w:tc>
        <w:tc>
          <w:tcPr>
            <w:tcW w:w="860" w:type="dxa"/>
            <w:tcBorders>
              <w:top w:val="single" w:sz="4" w:space="0" w:color="231F20"/>
            </w:tcBorders>
          </w:tcPr>
          <w:p>
            <w:pPr>
              <w:pStyle w:val="TableParagraph"/>
              <w:spacing w:before="68"/>
              <w:rPr>
                <w:sz w:val="20"/>
              </w:rPr>
            </w:pPr>
            <w:r>
              <w:rPr>
                <w:color w:val="231F20"/>
                <w:sz w:val="20"/>
              </w:rPr>
              <w:t>$</w:t>
            </w:r>
          </w:p>
        </w:tc>
        <w:tc>
          <w:tcPr>
            <w:tcW w:w="420" w:type="dxa"/>
            <w:tcBorders>
              <w:top w:val="single" w:sz="4" w:space="0" w:color="231F20"/>
            </w:tcBorders>
          </w:tcPr>
          <w:p>
            <w:pPr>
              <w:pStyle w:val="TableParagraph"/>
              <w:spacing w:before="68"/>
              <w:ind w:right="99"/>
              <w:jc w:val="right"/>
              <w:rPr>
                <w:sz w:val="20"/>
              </w:rPr>
            </w:pPr>
            <w:r>
              <w:rPr>
                <w:color w:val="231F20"/>
                <w:sz w:val="20"/>
              </w:rPr>
              <w:t>309</w:t>
            </w:r>
          </w:p>
        </w:tc>
      </w:tr>
    </w:tbl>
    <w:p>
      <w:pPr>
        <w:pStyle w:val="BodyText"/>
        <w:spacing w:before="5"/>
        <w:rPr>
          <w:b/>
          <w:sz w:val="21"/>
        </w:rPr>
      </w:pPr>
    </w:p>
    <w:p>
      <w:pPr>
        <w:pStyle w:val="BodyText"/>
        <w:spacing w:line="247" w:lineRule="auto"/>
        <w:ind w:left="100" w:right="118"/>
        <w:jc w:val="both"/>
      </w:pPr>
      <w:r>
        <w:rPr>
          <w:color w:val="231F20"/>
        </w:rPr>
        <w:t>The Company’s effective tax rate was approximately 37.3 percent for 2015, compared with 37.4 percent for 2014. On a non-GAAP basis, the Company currently projects a full year 2016 effective tax rate of approximately 37 to 38 percent based on forecasted financial results. However, the Company’s effective tax rate during interim periods of 2016 may differ significantly from this full-year estimate.</w:t>
      </w:r>
    </w:p>
    <w:p>
      <w:pPr>
        <w:spacing w:after="0" w:line="247" w:lineRule="auto"/>
        <w:jc w:val="both"/>
        <w:sectPr>
          <w:pgSz w:w="11880" w:h="15480"/>
          <w:pgMar w:header="0" w:footer="1240" w:top="1240" w:bottom="1420" w:left="1280" w:right="1260"/>
        </w:sectPr>
      </w:pPr>
    </w:p>
    <w:p>
      <w:pPr>
        <w:pStyle w:val="Heading1"/>
        <w:spacing w:line="247" w:lineRule="auto" w:before="74"/>
        <w:ind w:right="131"/>
        <w:jc w:val="left"/>
      </w:pPr>
      <w:r>
        <w:rPr>
          <w:color w:val="231F20"/>
        </w:rPr>
        <w:t>Reconciliation of Reported Amounts to Non-GAAP Financial Measures (unaudited) (in millions, except per share and per ASM amounts)</w:t>
      </w:r>
    </w:p>
    <w:p>
      <w:pPr>
        <w:spacing w:after="0" w:line="247" w:lineRule="auto"/>
        <w:jc w:val="left"/>
        <w:sectPr>
          <w:pgSz w:w="11880" w:h="15480"/>
          <w:pgMar w:header="0" w:footer="1240" w:top="1240" w:bottom="1420" w:left="1280" w:right="1260"/>
        </w:sectPr>
      </w:pPr>
    </w:p>
    <w:p>
      <w:pPr>
        <w:pStyle w:val="BodyText"/>
        <w:spacing w:before="6"/>
        <w:rPr>
          <w:b/>
          <w:sz w:val="17"/>
        </w:rPr>
      </w:pPr>
    </w:p>
    <w:p>
      <w:pPr>
        <w:spacing w:line="160" w:lineRule="exact" w:before="0"/>
        <w:ind w:left="6968" w:right="193" w:hanging="1"/>
        <w:jc w:val="center"/>
        <w:rPr>
          <w:b/>
          <w:sz w:val="16"/>
        </w:rPr>
      </w:pPr>
      <w:r>
        <w:rPr/>
        <w:pict>
          <v:line style="position:absolute;mso-position-horizontal-relative:page;mso-position-vertical-relative:paragraph;z-index:3040" from="390.75pt,17.9pt" to="480.75pt,17.9pt" stroked="true" strokeweight="1pt" strokecolor="#231f20">
            <v:stroke dashstyle="solid"/>
            <w10:wrap type="none"/>
          </v:line>
        </w:pict>
      </w:r>
      <w:r>
        <w:rPr>
          <w:b/>
          <w:color w:val="231F20"/>
          <w:sz w:val="16"/>
        </w:rPr>
        <w:t>Year ended December 31,</w:t>
      </w:r>
    </w:p>
    <w:p>
      <w:pPr>
        <w:tabs>
          <w:tab w:pos="999" w:val="left" w:leader="none"/>
        </w:tabs>
        <w:spacing w:line="81" w:lineRule="exact" w:before="58"/>
        <w:ind w:left="0" w:right="0" w:firstLine="0"/>
        <w:jc w:val="right"/>
        <w:rPr>
          <w:b/>
          <w:sz w:val="16"/>
        </w:rPr>
      </w:pPr>
      <w:r>
        <w:rPr>
          <w:b/>
          <w:color w:val="231F20"/>
          <w:sz w:val="16"/>
        </w:rPr>
        <w:t>2014</w:t>
        <w:tab/>
        <w:t>2013</w:t>
      </w:r>
    </w:p>
    <w:p>
      <w:pPr>
        <w:pStyle w:val="BodyText"/>
        <w:rPr>
          <w:b/>
          <w:sz w:val="18"/>
        </w:rPr>
      </w:pPr>
      <w:r>
        <w:rPr/>
        <w:br w:type="column"/>
      </w:r>
      <w:r>
        <w:rPr>
          <w:b/>
          <w:sz w:val="18"/>
        </w:rPr>
      </w:r>
    </w:p>
    <w:p>
      <w:pPr>
        <w:pStyle w:val="BodyText"/>
        <w:spacing w:before="5"/>
        <w:rPr>
          <w:b/>
          <w:sz w:val="25"/>
        </w:rPr>
      </w:pPr>
    </w:p>
    <w:p>
      <w:pPr>
        <w:spacing w:line="161" w:lineRule="exact" w:before="0"/>
        <w:ind w:left="399" w:right="0" w:firstLine="0"/>
        <w:jc w:val="left"/>
        <w:rPr>
          <w:b/>
          <w:sz w:val="16"/>
        </w:rPr>
      </w:pPr>
      <w:r>
        <w:rPr>
          <w:b/>
          <w:color w:val="231F20"/>
          <w:sz w:val="16"/>
        </w:rPr>
        <w:t>Percent</w:t>
      </w:r>
    </w:p>
    <w:p>
      <w:pPr>
        <w:spacing w:after="0" w:line="161" w:lineRule="exact"/>
        <w:jc w:val="left"/>
        <w:rPr>
          <w:sz w:val="16"/>
        </w:rPr>
        <w:sectPr>
          <w:type w:val="continuous"/>
          <w:pgSz w:w="11880" w:h="15480"/>
          <w:pgMar w:top="1260" w:bottom="280" w:left="1280" w:right="1260"/>
          <w:cols w:num="2" w:equalWidth="0">
            <w:col w:w="8096" w:space="40"/>
            <w:col w:w="1204"/>
          </w:cols>
        </w:sectPr>
      </w:pPr>
    </w:p>
    <w:p>
      <w:pPr>
        <w:tabs>
          <w:tab w:pos="799" w:val="left" w:leader="none"/>
        </w:tabs>
        <w:spacing w:line="183" w:lineRule="exact" w:before="0"/>
        <w:ind w:left="0" w:right="278" w:firstLine="0"/>
        <w:jc w:val="right"/>
        <w:rPr>
          <w:b/>
          <w:sz w:val="16"/>
        </w:rPr>
      </w:pPr>
      <w:r>
        <w:rPr/>
        <w:pict>
          <v:shape style="position:absolute;margin-left:69pt;margin-top:6.90678pt;width:456.5pt;height:504.4pt;mso-position-horizontal-relative:page;mso-position-vertical-relative:paragraph;z-index:3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35"/>
                    <w:gridCol w:w="800"/>
                    <w:gridCol w:w="200"/>
                    <w:gridCol w:w="800"/>
                    <w:gridCol w:w="885"/>
                  </w:tblGrid>
                  <w:tr>
                    <w:trPr>
                      <w:trHeight w:val="242" w:hRule="exact"/>
                    </w:trPr>
                    <w:tc>
                      <w:tcPr>
                        <w:tcW w:w="6435" w:type="dxa"/>
                        <w:shd w:val="clear" w:color="auto" w:fill="D1D3D4"/>
                      </w:tcPr>
                      <w:p>
                        <w:pPr>
                          <w:pStyle w:val="TableParagraph"/>
                          <w:spacing w:before="22"/>
                          <w:ind w:left="60"/>
                          <w:rPr>
                            <w:b/>
                            <w:sz w:val="16"/>
                          </w:rPr>
                        </w:pPr>
                        <w:r>
                          <w:rPr>
                            <w:b/>
                            <w:color w:val="231F20"/>
                            <w:sz w:val="16"/>
                          </w:rPr>
                          <w:t>Fuel and oil expense, unhedged</w:t>
                        </w:r>
                      </w:p>
                    </w:tc>
                    <w:tc>
                      <w:tcPr>
                        <w:tcW w:w="800" w:type="dxa"/>
                        <w:tcBorders>
                          <w:top w:val="single" w:sz="8"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5,321</w:t>
                        </w:r>
                      </w:p>
                    </w:tc>
                    <w:tc>
                      <w:tcPr>
                        <w:tcW w:w="200" w:type="dxa"/>
                        <w:shd w:val="clear" w:color="auto" w:fill="D1D3D4"/>
                      </w:tcPr>
                      <w:p>
                        <w:pPr/>
                      </w:p>
                    </w:tc>
                    <w:tc>
                      <w:tcPr>
                        <w:tcW w:w="800" w:type="dxa"/>
                        <w:shd w:val="clear" w:color="auto" w:fill="D1D3D4"/>
                      </w:tcPr>
                      <w:p>
                        <w:pPr>
                          <w:pStyle w:val="TableParagraph"/>
                          <w:tabs>
                            <w:tab w:pos="359" w:val="left" w:leader="none"/>
                          </w:tabs>
                          <w:spacing w:before="22"/>
                          <w:rPr>
                            <w:sz w:val="16"/>
                          </w:rPr>
                        </w:pPr>
                        <w:r>
                          <w:rPr>
                            <w:color w:val="231F20"/>
                            <w:sz w:val="16"/>
                          </w:rPr>
                          <w:t>$</w:t>
                          <w:tab/>
                          <w:t>5,645</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(Deduct): Fuel hedge (gains) losses included in Fuel and oil expense</w:t>
                        </w:r>
                      </w:p>
                    </w:tc>
                    <w:tc>
                      <w:tcPr>
                        <w:tcW w:w="800" w:type="dxa"/>
                        <w:tcBorders>
                          <w:bottom w:val="single" w:sz="4" w:space="0" w:color="231F20"/>
                        </w:tcBorders>
                      </w:tcPr>
                      <w:p>
                        <w:pPr>
                          <w:pStyle w:val="TableParagraph"/>
                          <w:spacing w:before="22"/>
                          <w:ind w:right="24"/>
                          <w:jc w:val="right"/>
                          <w:rPr>
                            <w:sz w:val="16"/>
                          </w:rPr>
                        </w:pPr>
                        <w:r>
                          <w:rPr>
                            <w:color w:val="231F20"/>
                            <w:sz w:val="16"/>
                          </w:rPr>
                          <w:t>(28)</w:t>
                        </w:r>
                      </w:p>
                    </w:tc>
                    <w:tc>
                      <w:tcPr>
                        <w:tcW w:w="200" w:type="dxa"/>
                      </w:tcPr>
                      <w:p>
                        <w:pPr/>
                      </w:p>
                    </w:tc>
                    <w:tc>
                      <w:tcPr>
                        <w:tcW w:w="800" w:type="dxa"/>
                        <w:tcBorders>
                          <w:bottom w:val="single" w:sz="4" w:space="0" w:color="231F20"/>
                        </w:tcBorders>
                      </w:tcPr>
                      <w:p>
                        <w:pPr>
                          <w:pStyle w:val="TableParagraph"/>
                          <w:spacing w:before="22"/>
                          <w:ind w:right="77"/>
                          <w:jc w:val="right"/>
                          <w:rPr>
                            <w:sz w:val="16"/>
                          </w:rPr>
                        </w:pPr>
                        <w:r>
                          <w:rPr>
                            <w:color w:val="231F20"/>
                            <w:sz w:val="16"/>
                          </w:rPr>
                          <w:t>118</w:t>
                        </w:r>
                      </w:p>
                    </w:tc>
                    <w:tc>
                      <w:tcPr>
                        <w:tcW w:w="885" w:type="dxa"/>
                      </w:tcPr>
                      <w:p>
                        <w:pPr/>
                      </w:p>
                    </w:tc>
                  </w:tr>
                  <w:tr>
                    <w:trPr>
                      <w:trHeight w:val="237" w:hRule="exact"/>
                    </w:trPr>
                    <w:tc>
                      <w:tcPr>
                        <w:tcW w:w="6435" w:type="dxa"/>
                        <w:shd w:val="clear" w:color="auto" w:fill="D1D3D4"/>
                      </w:tcPr>
                      <w:p>
                        <w:pPr>
                          <w:pStyle w:val="TableParagraph"/>
                          <w:spacing w:before="22"/>
                          <w:ind w:left="60"/>
                          <w:rPr>
                            <w:b/>
                            <w:sz w:val="16"/>
                          </w:rPr>
                        </w:pPr>
                        <w:r>
                          <w:rPr>
                            <w:b/>
                            <w:color w:val="231F20"/>
                            <w:sz w:val="16"/>
                          </w:rPr>
                          <w:t>Fuel and oil expense, as reported</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5,293</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5,763</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Deduct: Net impact from fuel contracts</w:t>
                        </w:r>
                      </w:p>
                    </w:tc>
                    <w:tc>
                      <w:tcPr>
                        <w:tcW w:w="800" w:type="dxa"/>
                        <w:tcBorders>
                          <w:bottom w:val="single" w:sz="4" w:space="0" w:color="231F20"/>
                        </w:tcBorders>
                      </w:tcPr>
                      <w:p>
                        <w:pPr>
                          <w:pStyle w:val="TableParagraph"/>
                          <w:spacing w:before="22"/>
                          <w:ind w:right="24"/>
                          <w:jc w:val="right"/>
                          <w:rPr>
                            <w:sz w:val="16"/>
                          </w:rPr>
                        </w:pPr>
                        <w:r>
                          <w:rPr>
                            <w:color w:val="231F20"/>
                            <w:sz w:val="16"/>
                          </w:rPr>
                          <w:t>(28)</w:t>
                        </w:r>
                      </w:p>
                    </w:tc>
                    <w:tc>
                      <w:tcPr>
                        <w:tcW w:w="200" w:type="dxa"/>
                      </w:tcPr>
                      <w:p>
                        <w:pPr/>
                      </w:p>
                    </w:tc>
                    <w:tc>
                      <w:tcPr>
                        <w:tcW w:w="800" w:type="dxa"/>
                        <w:tcBorders>
                          <w:bottom w:val="single" w:sz="4" w:space="0" w:color="231F20"/>
                        </w:tcBorders>
                      </w:tcPr>
                      <w:p>
                        <w:pPr>
                          <w:pStyle w:val="TableParagraph"/>
                          <w:spacing w:before="22"/>
                          <w:ind w:right="24"/>
                          <w:jc w:val="right"/>
                          <w:rPr>
                            <w:sz w:val="16"/>
                          </w:rPr>
                        </w:pPr>
                        <w:r>
                          <w:rPr>
                            <w:color w:val="231F20"/>
                            <w:sz w:val="16"/>
                          </w:rPr>
                          <w:t>(84)</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Fuel and oil expense, non-GAAP</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5,265</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5,679</w:t>
                        </w:r>
                      </w:p>
                    </w:tc>
                    <w:tc>
                      <w:tcPr>
                        <w:tcW w:w="885" w:type="dxa"/>
                        <w:shd w:val="clear" w:color="auto" w:fill="D1D3D4"/>
                      </w:tcPr>
                      <w:p>
                        <w:pPr>
                          <w:pStyle w:val="TableParagraph"/>
                          <w:spacing w:before="22"/>
                          <w:ind w:right="11"/>
                          <w:jc w:val="right"/>
                          <w:rPr>
                            <w:sz w:val="16"/>
                          </w:rPr>
                        </w:pPr>
                        <w:r>
                          <w:rPr>
                            <w:color w:val="231F20"/>
                            <w:sz w:val="16"/>
                          </w:rPr>
                          <w:t>(7.3)%</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Total operating expenses, as reported</w:t>
                        </w:r>
                      </w:p>
                    </w:tc>
                    <w:tc>
                      <w:tcPr>
                        <w:tcW w:w="800" w:type="dxa"/>
                        <w:shd w:val="clear" w:color="auto" w:fill="D1D3D4"/>
                      </w:tcPr>
                      <w:p>
                        <w:pPr>
                          <w:pStyle w:val="TableParagraph"/>
                          <w:spacing w:before="22"/>
                          <w:ind w:right="79"/>
                          <w:jc w:val="right"/>
                          <w:rPr>
                            <w:sz w:val="16"/>
                          </w:rPr>
                        </w:pPr>
                        <w:r>
                          <w:rPr>
                            <w:color w:val="231F20"/>
                            <w:sz w:val="16"/>
                          </w:rPr>
                          <w:t>$     16,380</w:t>
                        </w:r>
                      </w:p>
                    </w:tc>
                    <w:tc>
                      <w:tcPr>
                        <w:tcW w:w="200" w:type="dxa"/>
                        <w:shd w:val="clear" w:color="auto" w:fill="D1D3D4"/>
                      </w:tcPr>
                      <w:p>
                        <w:pPr/>
                      </w:p>
                    </w:tc>
                    <w:tc>
                      <w:tcPr>
                        <w:tcW w:w="800" w:type="dxa"/>
                        <w:shd w:val="clear" w:color="auto" w:fill="D1D3D4"/>
                      </w:tcPr>
                      <w:p>
                        <w:pPr>
                          <w:pStyle w:val="TableParagraph"/>
                          <w:spacing w:before="22"/>
                          <w:rPr>
                            <w:sz w:val="16"/>
                          </w:rPr>
                        </w:pPr>
                        <w:r>
                          <w:rPr>
                            <w:color w:val="231F20"/>
                            <w:sz w:val="16"/>
                          </w:rPr>
                          <w:t>$     16,421</w:t>
                        </w:r>
                      </w:p>
                    </w:tc>
                    <w:tc>
                      <w:tcPr>
                        <w:tcW w:w="885" w:type="dxa"/>
                        <w:shd w:val="clear" w:color="auto" w:fill="D1D3D4"/>
                      </w:tcPr>
                      <w:p>
                        <w:pPr/>
                      </w:p>
                    </w:tc>
                  </w:tr>
                  <w:tr>
                    <w:trPr>
                      <w:trHeight w:val="605" w:hRule="exact"/>
                    </w:trPr>
                    <w:tc>
                      <w:tcPr>
                        <w:tcW w:w="6435" w:type="dxa"/>
                      </w:tcPr>
                      <w:p>
                        <w:pPr>
                          <w:pStyle w:val="TableParagraph"/>
                          <w:spacing w:line="172" w:lineRule="exact" w:before="34"/>
                          <w:ind w:left="220" w:right="147" w:hanging="160"/>
                          <w:rPr>
                            <w:sz w:val="16"/>
                          </w:rPr>
                        </w:pPr>
                        <w:r>
                          <w:rPr>
                            <w:color w:val="231F20"/>
                            <w:sz w:val="16"/>
                          </w:rPr>
                          <w:t>Add (Deduct): Reclassification between Fuel and oil and Other (gains) losses, net, associated with current period settled contracts</w:t>
                        </w:r>
                      </w:p>
                      <w:p>
                        <w:pPr>
                          <w:pStyle w:val="TableParagraph"/>
                          <w:spacing w:before="49"/>
                          <w:ind w:left="60"/>
                          <w:rPr>
                            <w:sz w:val="16"/>
                          </w:rPr>
                        </w:pPr>
                        <w:r>
                          <w:rPr>
                            <w:color w:val="231F20"/>
                            <w:sz w:val="16"/>
                          </w:rPr>
                          <w:t>Deduct: Contracts settling in the current period, but for which gains and/or (losses) have been</w:t>
                        </w:r>
                      </w:p>
                    </w:tc>
                    <w:tc>
                      <w:tcPr>
                        <w:tcW w:w="800" w:type="dxa"/>
                      </w:tcPr>
                      <w:p>
                        <w:pPr>
                          <w:pStyle w:val="TableParagraph"/>
                          <w:spacing w:before="0"/>
                          <w:rPr>
                            <w:sz w:val="17"/>
                          </w:rPr>
                        </w:pPr>
                      </w:p>
                      <w:p>
                        <w:pPr>
                          <w:pStyle w:val="TableParagraph"/>
                          <w:spacing w:before="0"/>
                          <w:ind w:right="24"/>
                          <w:jc w:val="right"/>
                          <w:rPr>
                            <w:sz w:val="16"/>
                          </w:rPr>
                        </w:pPr>
                        <w:r>
                          <w:rPr>
                            <w:color w:val="231F20"/>
                            <w:sz w:val="16"/>
                          </w:rPr>
                          <w:t>(4)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3</w:t>
                        </w:r>
                      </w:p>
                    </w:tc>
                    <w:tc>
                      <w:tcPr>
                        <w:tcW w:w="885" w:type="dxa"/>
                      </w:tcPr>
                      <w:p>
                        <w:pPr/>
                      </w:p>
                    </w:tc>
                  </w:tr>
                  <w:tr>
                    <w:trPr>
                      <w:trHeight w:val="206" w:hRule="exact"/>
                    </w:trPr>
                    <w:tc>
                      <w:tcPr>
                        <w:tcW w:w="6435" w:type="dxa"/>
                        <w:shd w:val="clear" w:color="auto" w:fill="D1D3D4"/>
                      </w:tcPr>
                      <w:p>
                        <w:pPr>
                          <w:pStyle w:val="TableParagraph"/>
                          <w:spacing w:line="178" w:lineRule="exact" w:before="0"/>
                          <w:ind w:left="220"/>
                          <w:rPr>
                            <w:sz w:val="16"/>
                          </w:rPr>
                        </w:pPr>
                        <w:r>
                          <w:rPr>
                            <w:color w:val="231F20"/>
                            <w:sz w:val="16"/>
                          </w:rPr>
                          <w:t>recognized in a prior period*</w:t>
                        </w:r>
                      </w:p>
                    </w:tc>
                    <w:tc>
                      <w:tcPr>
                        <w:tcW w:w="800" w:type="dxa"/>
                        <w:shd w:val="clear" w:color="auto" w:fill="D1D3D4"/>
                      </w:tcPr>
                      <w:p>
                        <w:pPr>
                          <w:pStyle w:val="TableParagraph"/>
                          <w:spacing w:line="179" w:lineRule="exact" w:before="0"/>
                          <w:ind w:right="24"/>
                          <w:jc w:val="right"/>
                          <w:rPr>
                            <w:sz w:val="16"/>
                          </w:rPr>
                        </w:pPr>
                        <w:r>
                          <w:rPr>
                            <w:color w:val="231F20"/>
                            <w:sz w:val="16"/>
                          </w:rPr>
                          <w:t>(24)</w:t>
                        </w:r>
                      </w:p>
                    </w:tc>
                    <w:tc>
                      <w:tcPr>
                        <w:tcW w:w="200" w:type="dxa"/>
                        <w:shd w:val="clear" w:color="auto" w:fill="D1D3D4"/>
                      </w:tcPr>
                      <w:p>
                        <w:pPr/>
                      </w:p>
                    </w:tc>
                    <w:tc>
                      <w:tcPr>
                        <w:tcW w:w="800" w:type="dxa"/>
                        <w:shd w:val="clear" w:color="auto" w:fill="D1D3D4"/>
                      </w:tcPr>
                      <w:p>
                        <w:pPr>
                          <w:pStyle w:val="TableParagraph"/>
                          <w:spacing w:line="179" w:lineRule="exact" w:before="0"/>
                          <w:ind w:right="24"/>
                          <w:jc w:val="right"/>
                          <w:rPr>
                            <w:sz w:val="16"/>
                          </w:rPr>
                        </w:pPr>
                        <w:r>
                          <w:rPr>
                            <w:color w:val="231F20"/>
                            <w:sz w:val="16"/>
                          </w:rPr>
                          <w:t>(87)</w:t>
                        </w:r>
                      </w:p>
                    </w:tc>
                    <w:tc>
                      <w:tcPr>
                        <w:tcW w:w="885" w:type="dxa"/>
                        <w:shd w:val="clear" w:color="auto" w:fill="D1D3D4"/>
                      </w:tcPr>
                      <w:p>
                        <w:pPr/>
                      </w:p>
                    </w:tc>
                  </w:tr>
                  <w:tr>
                    <w:trPr>
                      <w:trHeight w:val="230" w:hRule="exact"/>
                    </w:trPr>
                    <w:tc>
                      <w:tcPr>
                        <w:tcW w:w="6435" w:type="dxa"/>
                      </w:tcPr>
                      <w:p>
                        <w:pPr>
                          <w:pStyle w:val="TableParagraph"/>
                          <w:spacing w:before="21"/>
                          <w:ind w:left="60"/>
                          <w:rPr>
                            <w:sz w:val="16"/>
                          </w:rPr>
                        </w:pPr>
                        <w:r>
                          <w:rPr>
                            <w:color w:val="231F20"/>
                            <w:sz w:val="16"/>
                          </w:rPr>
                          <w:t>Deduct: Acquisition and integration costs</w:t>
                        </w:r>
                      </w:p>
                    </w:tc>
                    <w:tc>
                      <w:tcPr>
                        <w:tcW w:w="800" w:type="dxa"/>
                      </w:tcPr>
                      <w:p>
                        <w:pPr>
                          <w:pStyle w:val="TableParagraph"/>
                          <w:spacing w:before="21"/>
                          <w:ind w:right="24"/>
                          <w:jc w:val="right"/>
                          <w:rPr>
                            <w:sz w:val="16"/>
                          </w:rPr>
                        </w:pPr>
                        <w:r>
                          <w:rPr>
                            <w:color w:val="231F20"/>
                            <w:sz w:val="16"/>
                          </w:rPr>
                          <w:t>(126)</w:t>
                        </w:r>
                      </w:p>
                    </w:tc>
                    <w:tc>
                      <w:tcPr>
                        <w:tcW w:w="200" w:type="dxa"/>
                      </w:tcPr>
                      <w:p>
                        <w:pPr/>
                      </w:p>
                    </w:tc>
                    <w:tc>
                      <w:tcPr>
                        <w:tcW w:w="800" w:type="dxa"/>
                      </w:tcPr>
                      <w:p>
                        <w:pPr>
                          <w:pStyle w:val="TableParagraph"/>
                          <w:spacing w:before="21"/>
                          <w:ind w:right="24"/>
                          <w:jc w:val="right"/>
                          <w:rPr>
                            <w:sz w:val="16"/>
                          </w:rPr>
                        </w:pPr>
                        <w:r>
                          <w:rPr>
                            <w:color w:val="231F20"/>
                            <w:sz w:val="16"/>
                          </w:rPr>
                          <w:t>(86)</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Deduct: Union contract bonuses</w:t>
                        </w: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(9)</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w:t>
                        </w:r>
                      </w:p>
                    </w:tc>
                    <w:tc>
                      <w:tcPr>
                        <w:tcW w:w="885" w:type="dxa"/>
                        <w:shd w:val="clear" w:color="auto" w:fill="D1D3D4"/>
                      </w:tcPr>
                      <w:p>
                        <w:pPr/>
                      </w:p>
                    </w:tc>
                  </w:tr>
                  <w:tr>
                    <w:trPr>
                      <w:trHeight w:val="284" w:hRule="exact"/>
                    </w:trPr>
                    <w:tc>
                      <w:tcPr>
                        <w:tcW w:w="6435" w:type="dxa"/>
                      </w:tcPr>
                      <w:p>
                        <w:pPr>
                          <w:pStyle w:val="TableParagraph"/>
                          <w:spacing w:before="42"/>
                          <w:ind w:left="60"/>
                          <w:rPr>
                            <w:b/>
                            <w:sz w:val="16"/>
                          </w:rPr>
                        </w:pPr>
                        <w:r>
                          <w:rPr>
                            <w:b/>
                            <w:color w:val="231F20"/>
                            <w:sz w:val="16"/>
                          </w:rPr>
                          <w:t>Total operating expenses, non-GAAP</w:t>
                        </w:r>
                      </w:p>
                    </w:tc>
                    <w:tc>
                      <w:tcPr>
                        <w:tcW w:w="800" w:type="dxa"/>
                        <w:tcBorders>
                          <w:top w:val="single" w:sz="4" w:space="0" w:color="231F20"/>
                        </w:tcBorders>
                      </w:tcPr>
                      <w:p>
                        <w:pPr>
                          <w:pStyle w:val="TableParagraph"/>
                          <w:spacing w:before="22"/>
                          <w:ind w:right="79"/>
                          <w:jc w:val="right"/>
                          <w:rPr>
                            <w:sz w:val="16"/>
                          </w:rPr>
                        </w:pPr>
                        <w:r>
                          <w:rPr>
                            <w:color w:val="231F20"/>
                            <w:sz w:val="16"/>
                          </w:rPr>
                          <w:t>$     16,217</w:t>
                        </w:r>
                      </w:p>
                    </w:tc>
                    <w:tc>
                      <w:tcPr>
                        <w:tcW w:w="200" w:type="dxa"/>
                      </w:tcPr>
                      <w:p>
                        <w:pPr/>
                      </w:p>
                    </w:tc>
                    <w:tc>
                      <w:tcPr>
                        <w:tcW w:w="800" w:type="dxa"/>
                        <w:tcBorders>
                          <w:top w:val="single" w:sz="4" w:space="0" w:color="231F20"/>
                        </w:tcBorders>
                      </w:tcPr>
                      <w:p>
                        <w:pPr>
                          <w:pStyle w:val="TableParagraph"/>
                          <w:spacing w:before="22"/>
                          <w:rPr>
                            <w:sz w:val="16"/>
                          </w:rPr>
                        </w:pPr>
                        <w:r>
                          <w:rPr>
                            <w:color w:val="231F20"/>
                            <w:sz w:val="16"/>
                          </w:rPr>
                          <w:t>$     16,251</w:t>
                        </w:r>
                      </w:p>
                    </w:tc>
                    <w:tc>
                      <w:tcPr>
                        <w:tcW w:w="885" w:type="dxa"/>
                      </w:tcPr>
                      <w:p>
                        <w:pPr>
                          <w:pStyle w:val="TableParagraph"/>
                          <w:spacing w:before="42"/>
                          <w:ind w:right="11"/>
                          <w:jc w:val="right"/>
                          <w:rPr>
                            <w:sz w:val="16"/>
                          </w:rPr>
                        </w:pPr>
                        <w:r>
                          <w:rPr>
                            <w:color w:val="231F20"/>
                            <w:sz w:val="16"/>
                          </w:rPr>
                          <w:t>(0.2)%</w:t>
                        </w:r>
                      </w:p>
                    </w:tc>
                  </w:tr>
                  <w:tr>
                    <w:trPr>
                      <w:trHeight w:val="245" w:hRule="exact"/>
                    </w:trPr>
                    <w:tc>
                      <w:tcPr>
                        <w:tcW w:w="6435" w:type="dxa"/>
                        <w:shd w:val="clear" w:color="auto" w:fill="D1D3D4"/>
                      </w:tcPr>
                      <w:p>
                        <w:pPr/>
                      </w:p>
                    </w:tc>
                    <w:tc>
                      <w:tcPr>
                        <w:tcW w:w="800" w:type="dxa"/>
                        <w:shd w:val="clear" w:color="auto" w:fill="D1D3D4"/>
                      </w:tcPr>
                      <w:p>
                        <w:pPr/>
                      </w:p>
                    </w:tc>
                    <w:tc>
                      <w:tcPr>
                        <w:tcW w:w="200" w:type="dxa"/>
                        <w:shd w:val="clear" w:color="auto" w:fill="D1D3D4"/>
                      </w:tcPr>
                      <w:p>
                        <w:pPr/>
                      </w:p>
                    </w:tc>
                    <w:tc>
                      <w:tcPr>
                        <w:tcW w:w="800" w:type="dxa"/>
                        <w:shd w:val="clear" w:color="auto" w:fill="D1D3D4"/>
                      </w:tcPr>
                      <w:p>
                        <w:pPr/>
                      </w:p>
                    </w:tc>
                    <w:tc>
                      <w:tcPr>
                        <w:tcW w:w="885" w:type="dxa"/>
                        <w:shd w:val="clear" w:color="auto" w:fill="D1D3D4"/>
                      </w:tcPr>
                      <w:p>
                        <w:pPr/>
                      </w:p>
                    </w:tc>
                  </w:tr>
                  <w:tr>
                    <w:trPr>
                      <w:trHeight w:val="232" w:hRule="exact"/>
                    </w:trPr>
                    <w:tc>
                      <w:tcPr>
                        <w:tcW w:w="6435" w:type="dxa"/>
                      </w:tcPr>
                      <w:p>
                        <w:pPr>
                          <w:pStyle w:val="TableParagraph"/>
                          <w:spacing w:before="22"/>
                          <w:ind w:left="60"/>
                          <w:rPr>
                            <w:b/>
                            <w:sz w:val="16"/>
                          </w:rPr>
                        </w:pPr>
                        <w:r>
                          <w:rPr>
                            <w:b/>
                            <w:color w:val="231F20"/>
                            <w:sz w:val="16"/>
                          </w:rPr>
                          <w:t>Operating income, as reported</w:t>
                        </w:r>
                      </w:p>
                    </w:tc>
                    <w:tc>
                      <w:tcPr>
                        <w:tcW w:w="800" w:type="dxa"/>
                      </w:tcPr>
                      <w:p>
                        <w:pPr>
                          <w:pStyle w:val="TableParagraph"/>
                          <w:tabs>
                            <w:tab w:pos="359" w:val="left" w:leader="none"/>
                          </w:tabs>
                          <w:spacing w:before="22"/>
                          <w:ind w:right="79"/>
                          <w:jc w:val="right"/>
                          <w:rPr>
                            <w:sz w:val="16"/>
                          </w:rPr>
                        </w:pPr>
                        <w:r>
                          <w:rPr>
                            <w:color w:val="231F20"/>
                            <w:sz w:val="16"/>
                          </w:rPr>
                          <w:t>$</w:t>
                          <w:tab/>
                        </w:r>
                        <w:r>
                          <w:rPr>
                            <w:color w:val="231F20"/>
                            <w:spacing w:val="-1"/>
                            <w:sz w:val="16"/>
                          </w:rPr>
                          <w:t>2,225</w:t>
                        </w:r>
                      </w:p>
                    </w:tc>
                    <w:tc>
                      <w:tcPr>
                        <w:tcW w:w="200" w:type="dxa"/>
                      </w:tcPr>
                      <w:p>
                        <w:pPr/>
                      </w:p>
                    </w:tc>
                    <w:tc>
                      <w:tcPr>
                        <w:tcW w:w="800" w:type="dxa"/>
                      </w:tcPr>
                      <w:p>
                        <w:pPr>
                          <w:pStyle w:val="TableParagraph"/>
                          <w:tabs>
                            <w:tab w:pos="359" w:val="left" w:leader="none"/>
                          </w:tabs>
                          <w:spacing w:before="22"/>
                          <w:rPr>
                            <w:sz w:val="16"/>
                          </w:rPr>
                        </w:pPr>
                        <w:r>
                          <w:rPr>
                            <w:color w:val="231F20"/>
                            <w:sz w:val="16"/>
                          </w:rPr>
                          <w:t>$</w:t>
                          <w:tab/>
                          <w:t>1,278</w:t>
                        </w:r>
                      </w:p>
                    </w:tc>
                    <w:tc>
                      <w:tcPr>
                        <w:tcW w:w="885" w:type="dxa"/>
                      </w:tcPr>
                      <w:p>
                        <w:pPr/>
                      </w:p>
                    </w:tc>
                  </w:tr>
                  <w:tr>
                    <w:trPr>
                      <w:trHeight w:val="405" w:hRule="exact"/>
                    </w:trPr>
                    <w:tc>
                      <w:tcPr>
                        <w:tcW w:w="6435" w:type="dxa"/>
                        <w:shd w:val="clear" w:color="auto" w:fill="D1D3D4"/>
                      </w:tcPr>
                      <w:p>
                        <w:pPr>
                          <w:pStyle w:val="TableParagraph"/>
                          <w:spacing w:line="172" w:lineRule="exact" w:before="34"/>
                          <w:ind w:left="220" w:right="147" w:hanging="160"/>
                          <w:rPr>
                            <w:sz w:val="16"/>
                          </w:rPr>
                        </w:pPr>
                        <w:r>
                          <w:rPr>
                            <w:color w:val="231F20"/>
                            <w:sz w:val="16"/>
                          </w:rPr>
                          <w:t>Add (Deduct): Reclassification between Fuel and oil and Other (gains) losses, net, associated with current period settled contracts</w:t>
                        </w:r>
                      </w:p>
                    </w:tc>
                    <w:tc>
                      <w:tcPr>
                        <w:tcW w:w="800" w:type="dxa"/>
                        <w:shd w:val="clear" w:color="auto" w:fill="D1D3D4"/>
                      </w:tcPr>
                      <w:p>
                        <w:pPr>
                          <w:pStyle w:val="TableParagraph"/>
                          <w:spacing w:before="0"/>
                          <w:rPr>
                            <w:sz w:val="17"/>
                          </w:rPr>
                        </w:pPr>
                      </w:p>
                      <w:p>
                        <w:pPr>
                          <w:pStyle w:val="TableParagraph"/>
                          <w:spacing w:before="0"/>
                          <w:ind w:right="79"/>
                          <w:jc w:val="right"/>
                          <w:rPr>
                            <w:sz w:val="16"/>
                          </w:rPr>
                        </w:pPr>
                        <w:r>
                          <w:rPr>
                            <w:color w:val="231F20"/>
                            <w:sz w:val="16"/>
                          </w:rPr>
                          <w:t>4</w:t>
                        </w:r>
                      </w:p>
                    </w:tc>
                    <w:tc>
                      <w:tcPr>
                        <w:tcW w:w="200" w:type="dxa"/>
                        <w:shd w:val="clear" w:color="auto" w:fill="D1D3D4"/>
                      </w:tcPr>
                      <w:p>
                        <w:pPr/>
                      </w:p>
                    </w:tc>
                    <w:tc>
                      <w:tcPr>
                        <w:tcW w:w="800" w:type="dxa"/>
                        <w:shd w:val="clear" w:color="auto" w:fill="D1D3D4"/>
                      </w:tcPr>
                      <w:p>
                        <w:pPr>
                          <w:pStyle w:val="TableParagraph"/>
                          <w:spacing w:before="0"/>
                          <w:rPr>
                            <w:sz w:val="17"/>
                          </w:rPr>
                        </w:pPr>
                      </w:p>
                      <w:p>
                        <w:pPr>
                          <w:pStyle w:val="TableParagraph"/>
                          <w:spacing w:before="0"/>
                          <w:ind w:right="24"/>
                          <w:jc w:val="right"/>
                          <w:rPr>
                            <w:sz w:val="16"/>
                          </w:rPr>
                        </w:pPr>
                        <w:r>
                          <w:rPr>
                            <w:color w:val="231F20"/>
                            <w:sz w:val="16"/>
                          </w:rPr>
                          <w:t>(3)</w:t>
                        </w:r>
                      </w:p>
                    </w:tc>
                    <w:tc>
                      <w:tcPr>
                        <w:tcW w:w="885" w:type="dxa"/>
                        <w:shd w:val="clear" w:color="auto" w:fill="D1D3D4"/>
                      </w:tcPr>
                      <w:p>
                        <w:pPr/>
                      </w:p>
                    </w:tc>
                  </w:tr>
                  <w:tr>
                    <w:trPr>
                      <w:trHeight w:val="405" w:hRule="exact"/>
                    </w:trPr>
                    <w:tc>
                      <w:tcPr>
                        <w:tcW w:w="6435" w:type="dxa"/>
                      </w:tcPr>
                      <w:p>
                        <w:pPr>
                          <w:pStyle w:val="TableParagraph"/>
                          <w:spacing w:line="172" w:lineRule="exact" w:before="34"/>
                          <w:ind w:left="220" w:hanging="160"/>
                          <w:rPr>
                            <w:sz w:val="16"/>
                          </w:rPr>
                        </w:pPr>
                        <w:r>
                          <w:rPr>
                            <w:color w:val="231F20"/>
                            <w:sz w:val="16"/>
                          </w:rPr>
                          <w:t>Add: Contracts settling in the current period, but for which gains and/or (losses) have been recognized in a prior period*</w:t>
                        </w:r>
                      </w:p>
                    </w:tc>
                    <w:tc>
                      <w:tcPr>
                        <w:tcW w:w="800" w:type="dxa"/>
                      </w:tcPr>
                      <w:p>
                        <w:pPr>
                          <w:pStyle w:val="TableParagraph"/>
                          <w:spacing w:before="0"/>
                          <w:rPr>
                            <w:sz w:val="17"/>
                          </w:rPr>
                        </w:pPr>
                      </w:p>
                      <w:p>
                        <w:pPr>
                          <w:pStyle w:val="TableParagraph"/>
                          <w:spacing w:before="0"/>
                          <w:ind w:right="79"/>
                          <w:jc w:val="right"/>
                          <w:rPr>
                            <w:sz w:val="16"/>
                          </w:rPr>
                        </w:pPr>
                        <w:r>
                          <w:rPr>
                            <w:color w:val="231F20"/>
                            <w:sz w:val="16"/>
                          </w:rPr>
                          <w:t>24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87</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Acquisition and integration costs</w:t>
                        </w:r>
                      </w:p>
                    </w:tc>
                    <w:tc>
                      <w:tcPr>
                        <w:tcW w:w="800" w:type="dxa"/>
                        <w:shd w:val="clear" w:color="auto" w:fill="D1D3D4"/>
                      </w:tcPr>
                      <w:p>
                        <w:pPr>
                          <w:pStyle w:val="TableParagraph"/>
                          <w:spacing w:before="22"/>
                          <w:ind w:right="77"/>
                          <w:jc w:val="right"/>
                          <w:rPr>
                            <w:sz w:val="16"/>
                          </w:rPr>
                        </w:pPr>
                        <w:r>
                          <w:rPr>
                            <w:color w:val="231F20"/>
                            <w:sz w:val="16"/>
                          </w:rPr>
                          <w:t>126</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86</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Union contract bonuses</w:t>
                        </w:r>
                      </w:p>
                    </w:tc>
                    <w:tc>
                      <w:tcPr>
                        <w:tcW w:w="800" w:type="dxa"/>
                        <w:tcBorders>
                          <w:bottom w:val="single" w:sz="4" w:space="0" w:color="231F20"/>
                        </w:tcBorders>
                      </w:tcPr>
                      <w:p>
                        <w:pPr>
                          <w:pStyle w:val="TableParagraph"/>
                          <w:spacing w:before="22"/>
                          <w:ind w:right="79"/>
                          <w:jc w:val="right"/>
                          <w:rPr>
                            <w:sz w:val="16"/>
                          </w:rPr>
                        </w:pPr>
                        <w:r>
                          <w:rPr>
                            <w:color w:val="231F20"/>
                            <w:sz w:val="16"/>
                          </w:rPr>
                          <w:t>9</w:t>
                        </w:r>
                      </w:p>
                    </w:tc>
                    <w:tc>
                      <w:tcPr>
                        <w:tcW w:w="200" w:type="dxa"/>
                      </w:tcPr>
                      <w:p>
                        <w:pPr/>
                      </w:p>
                    </w:tc>
                    <w:tc>
                      <w:tcPr>
                        <w:tcW w:w="800" w:type="dxa"/>
                        <w:tcBorders>
                          <w:bottom w:val="single" w:sz="4" w:space="0" w:color="231F20"/>
                        </w:tcBorders>
                      </w:tcPr>
                      <w:p>
                        <w:pPr>
                          <w:pStyle w:val="TableParagraph"/>
                          <w:spacing w:before="22"/>
                          <w:ind w:right="79"/>
                          <w:jc w:val="right"/>
                          <w:rPr>
                            <w:sz w:val="16"/>
                          </w:rPr>
                        </w:pPr>
                        <w:r>
                          <w:rPr>
                            <w:color w:val="231F20"/>
                            <w:sz w:val="16"/>
                          </w:rPr>
                          <w:t>—</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Operating income, non-GAAP</w:t>
                        </w:r>
                      </w:p>
                    </w:tc>
                    <w:tc>
                      <w:tcPr>
                        <w:tcW w:w="800" w:type="dxa"/>
                        <w:tcBorders>
                          <w:top w:val="single" w:sz="4" w:space="0" w:color="231F20"/>
                        </w:tcBorders>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2,388</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359" w:val="left" w:leader="none"/>
                          </w:tabs>
                          <w:spacing w:before="22"/>
                          <w:rPr>
                            <w:sz w:val="16"/>
                          </w:rPr>
                        </w:pPr>
                        <w:r>
                          <w:rPr>
                            <w:color w:val="231F20"/>
                            <w:sz w:val="16"/>
                          </w:rPr>
                          <w:t>$</w:t>
                          <w:tab/>
                          <w:t>1,448</w:t>
                        </w:r>
                      </w:p>
                    </w:tc>
                    <w:tc>
                      <w:tcPr>
                        <w:tcW w:w="885" w:type="dxa"/>
                        <w:shd w:val="clear" w:color="auto" w:fill="D1D3D4"/>
                      </w:tcPr>
                      <w:p>
                        <w:pPr>
                          <w:pStyle w:val="TableParagraph"/>
                          <w:spacing w:before="22"/>
                          <w:ind w:right="64"/>
                          <w:jc w:val="right"/>
                          <w:rPr>
                            <w:sz w:val="16"/>
                          </w:rPr>
                        </w:pPr>
                        <w:r>
                          <w:rPr>
                            <w:color w:val="231F20"/>
                            <w:sz w:val="16"/>
                          </w:rPr>
                          <w:t>64.9%</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Net income, as reported</w:t>
                        </w:r>
                      </w:p>
                    </w:tc>
                    <w:tc>
                      <w:tcPr>
                        <w:tcW w:w="800" w:type="dxa"/>
                        <w:shd w:val="clear" w:color="auto" w:fill="D1D3D4"/>
                      </w:tcPr>
                      <w:p>
                        <w:pPr>
                          <w:pStyle w:val="TableParagraph"/>
                          <w:tabs>
                            <w:tab w:pos="359" w:val="left" w:leader="none"/>
                          </w:tabs>
                          <w:spacing w:before="22"/>
                          <w:ind w:right="79"/>
                          <w:jc w:val="right"/>
                          <w:rPr>
                            <w:sz w:val="16"/>
                          </w:rPr>
                        </w:pPr>
                        <w:r>
                          <w:rPr>
                            <w:color w:val="231F20"/>
                            <w:sz w:val="16"/>
                          </w:rPr>
                          <w:t>$</w:t>
                          <w:tab/>
                        </w:r>
                        <w:r>
                          <w:rPr>
                            <w:color w:val="231F20"/>
                            <w:spacing w:val="-1"/>
                            <w:sz w:val="16"/>
                          </w:rPr>
                          <w:t>1,136</w:t>
                        </w:r>
                      </w:p>
                    </w:tc>
                    <w:tc>
                      <w:tcPr>
                        <w:tcW w:w="200" w:type="dxa"/>
                        <w:shd w:val="clear" w:color="auto" w:fill="D1D3D4"/>
                      </w:tcPr>
                      <w:p>
                        <w:pPr/>
                      </w:p>
                    </w:tc>
                    <w:tc>
                      <w:tcPr>
                        <w:tcW w:w="800" w:type="dxa"/>
                        <w:shd w:val="clear" w:color="auto" w:fill="D1D3D4"/>
                      </w:tcPr>
                      <w:p>
                        <w:pPr>
                          <w:pStyle w:val="TableParagraph"/>
                          <w:tabs>
                            <w:tab w:pos="479" w:val="left" w:leader="none"/>
                          </w:tabs>
                          <w:spacing w:before="22"/>
                          <w:rPr>
                            <w:sz w:val="16"/>
                          </w:rPr>
                        </w:pPr>
                        <w:r>
                          <w:rPr>
                            <w:color w:val="231F20"/>
                            <w:sz w:val="16"/>
                          </w:rPr>
                          <w:t>$</w:t>
                          <w:tab/>
                          <w:t>754</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Add (Deduct): Mark-to-market impact from fuel contracts settling in future periods</w:t>
                        </w:r>
                      </w:p>
                    </w:tc>
                    <w:tc>
                      <w:tcPr>
                        <w:tcW w:w="800" w:type="dxa"/>
                      </w:tcPr>
                      <w:p>
                        <w:pPr>
                          <w:pStyle w:val="TableParagraph"/>
                          <w:spacing w:before="22"/>
                          <w:ind w:right="77"/>
                          <w:jc w:val="right"/>
                          <w:rPr>
                            <w:sz w:val="16"/>
                          </w:rPr>
                        </w:pPr>
                        <w:r>
                          <w:rPr>
                            <w:color w:val="231F20"/>
                            <w:sz w:val="16"/>
                          </w:rPr>
                          <w:t>251</w:t>
                        </w:r>
                      </w:p>
                    </w:tc>
                    <w:tc>
                      <w:tcPr>
                        <w:tcW w:w="200" w:type="dxa"/>
                      </w:tcPr>
                      <w:p>
                        <w:pPr/>
                      </w:p>
                    </w:tc>
                    <w:tc>
                      <w:tcPr>
                        <w:tcW w:w="800" w:type="dxa"/>
                      </w:tcPr>
                      <w:p>
                        <w:pPr>
                          <w:pStyle w:val="TableParagraph"/>
                          <w:spacing w:before="22"/>
                          <w:ind w:right="24"/>
                          <w:jc w:val="right"/>
                          <w:rPr>
                            <w:sz w:val="16"/>
                          </w:rPr>
                        </w:pPr>
                        <w:r>
                          <w:rPr>
                            <w:color w:val="231F20"/>
                            <w:sz w:val="16"/>
                          </w:rPr>
                          <w:t>(103)</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Ineffectiveness from fuel hedges settling in future periods</w:t>
                        </w:r>
                      </w:p>
                    </w:tc>
                    <w:tc>
                      <w:tcPr>
                        <w:tcW w:w="800" w:type="dxa"/>
                        <w:shd w:val="clear" w:color="auto" w:fill="D1D3D4"/>
                      </w:tcPr>
                      <w:p>
                        <w:pPr>
                          <w:pStyle w:val="TableParagraph"/>
                          <w:spacing w:before="22"/>
                          <w:ind w:right="77"/>
                          <w:jc w:val="right"/>
                          <w:rPr>
                            <w:sz w:val="16"/>
                          </w:rPr>
                        </w:pPr>
                        <w:r>
                          <w:rPr>
                            <w:color w:val="231F20"/>
                            <w:sz w:val="16"/>
                          </w:rPr>
                          <w:t>5</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11</w:t>
                        </w:r>
                      </w:p>
                    </w:tc>
                    <w:tc>
                      <w:tcPr>
                        <w:tcW w:w="885" w:type="dxa"/>
                        <w:shd w:val="clear" w:color="auto" w:fill="D1D3D4"/>
                      </w:tcPr>
                      <w:p>
                        <w:pPr/>
                      </w:p>
                    </w:tc>
                  </w:tr>
                  <w:tr>
                    <w:trPr>
                      <w:trHeight w:val="405" w:hRule="exact"/>
                    </w:trPr>
                    <w:tc>
                      <w:tcPr>
                        <w:tcW w:w="6435" w:type="dxa"/>
                      </w:tcPr>
                      <w:p>
                        <w:pPr>
                          <w:pStyle w:val="TableParagraph"/>
                          <w:spacing w:line="172" w:lineRule="exact" w:before="34"/>
                          <w:ind w:left="220" w:hanging="160"/>
                          <w:rPr>
                            <w:sz w:val="16"/>
                          </w:rPr>
                        </w:pPr>
                        <w:r>
                          <w:rPr>
                            <w:color w:val="231F20"/>
                            <w:sz w:val="16"/>
                          </w:rPr>
                          <w:t>Add: Other net impact of fuel contracts settling in the current or a prior period (excluding reclassifications)</w:t>
                        </w:r>
                      </w:p>
                    </w:tc>
                    <w:tc>
                      <w:tcPr>
                        <w:tcW w:w="800" w:type="dxa"/>
                      </w:tcPr>
                      <w:p>
                        <w:pPr>
                          <w:pStyle w:val="TableParagraph"/>
                          <w:spacing w:before="0"/>
                          <w:rPr>
                            <w:sz w:val="17"/>
                          </w:rPr>
                        </w:pPr>
                      </w:p>
                      <w:p>
                        <w:pPr>
                          <w:pStyle w:val="TableParagraph"/>
                          <w:spacing w:before="0"/>
                          <w:ind w:right="79"/>
                          <w:jc w:val="right"/>
                          <w:rPr>
                            <w:sz w:val="16"/>
                          </w:rPr>
                        </w:pPr>
                        <w:r>
                          <w:rPr>
                            <w:color w:val="231F20"/>
                            <w:sz w:val="16"/>
                          </w:rPr>
                          <w:t>24</w:t>
                        </w:r>
                      </w:p>
                    </w:tc>
                    <w:tc>
                      <w:tcPr>
                        <w:tcW w:w="200" w:type="dxa"/>
                      </w:tcPr>
                      <w:p>
                        <w:pPr/>
                      </w:p>
                    </w:tc>
                    <w:tc>
                      <w:tcPr>
                        <w:tcW w:w="800" w:type="dxa"/>
                      </w:tcPr>
                      <w:p>
                        <w:pPr>
                          <w:pStyle w:val="TableParagraph"/>
                          <w:spacing w:before="0"/>
                          <w:rPr>
                            <w:sz w:val="17"/>
                          </w:rPr>
                        </w:pPr>
                      </w:p>
                      <w:p>
                        <w:pPr>
                          <w:pStyle w:val="TableParagraph"/>
                          <w:spacing w:before="0"/>
                          <w:ind w:right="79"/>
                          <w:jc w:val="right"/>
                          <w:rPr>
                            <w:sz w:val="16"/>
                          </w:rPr>
                        </w:pPr>
                        <w:r>
                          <w:rPr>
                            <w:color w:val="231F20"/>
                            <w:sz w:val="16"/>
                          </w:rPr>
                          <w:t>87</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(Deduct): Income tax impact of fuel contracts</w:t>
                        </w:r>
                      </w:p>
                    </w:tc>
                    <w:tc>
                      <w:tcPr>
                        <w:tcW w:w="800" w:type="dxa"/>
                        <w:shd w:val="clear" w:color="auto" w:fill="D1D3D4"/>
                      </w:tcPr>
                      <w:p>
                        <w:pPr>
                          <w:pStyle w:val="TableParagraph"/>
                          <w:spacing w:before="22"/>
                          <w:ind w:right="24"/>
                          <w:jc w:val="right"/>
                          <w:rPr>
                            <w:sz w:val="16"/>
                          </w:rPr>
                        </w:pPr>
                        <w:r>
                          <w:rPr>
                            <w:color w:val="231F20"/>
                            <w:sz w:val="16"/>
                          </w:rPr>
                          <w:t>(104)</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2</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Add: Acquisition and integration costs (a)</w:t>
                        </w:r>
                      </w:p>
                    </w:tc>
                    <w:tc>
                      <w:tcPr>
                        <w:tcW w:w="800" w:type="dxa"/>
                      </w:tcPr>
                      <w:p>
                        <w:pPr>
                          <w:pStyle w:val="TableParagraph"/>
                          <w:spacing w:before="22"/>
                          <w:ind w:right="77"/>
                          <w:jc w:val="right"/>
                          <w:rPr>
                            <w:sz w:val="16"/>
                          </w:rPr>
                        </w:pPr>
                        <w:r>
                          <w:rPr>
                            <w:color w:val="231F20"/>
                            <w:sz w:val="16"/>
                          </w:rPr>
                          <w:t>79</w:t>
                        </w:r>
                      </w:p>
                    </w:tc>
                    <w:tc>
                      <w:tcPr>
                        <w:tcW w:w="200" w:type="dxa"/>
                      </w:tcPr>
                      <w:p>
                        <w:pPr/>
                      </w:p>
                    </w:tc>
                    <w:tc>
                      <w:tcPr>
                        <w:tcW w:w="800" w:type="dxa"/>
                      </w:tcPr>
                      <w:p>
                        <w:pPr>
                          <w:pStyle w:val="TableParagraph"/>
                          <w:spacing w:before="22"/>
                          <w:ind w:right="77"/>
                          <w:jc w:val="right"/>
                          <w:rPr>
                            <w:sz w:val="16"/>
                          </w:rPr>
                        </w:pPr>
                        <w:r>
                          <w:rPr>
                            <w:color w:val="231F20"/>
                            <w:sz w:val="16"/>
                          </w:rPr>
                          <w:t>54</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Add: Union contract bonuses (a)</w:t>
                        </w: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6</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79"/>
                          <w:jc w:val="right"/>
                          <w:rPr>
                            <w:sz w:val="16"/>
                          </w:rPr>
                        </w:pPr>
                        <w:r>
                          <w:rPr>
                            <w:color w:val="231F20"/>
                            <w:sz w:val="16"/>
                          </w:rPr>
                          <w:t>—</w:t>
                        </w:r>
                      </w:p>
                    </w:tc>
                    <w:tc>
                      <w:tcPr>
                        <w:tcW w:w="885" w:type="dxa"/>
                        <w:shd w:val="clear" w:color="auto" w:fill="D1D3D4"/>
                      </w:tcPr>
                      <w:p>
                        <w:pPr/>
                      </w:p>
                    </w:tc>
                  </w:tr>
                  <w:tr>
                    <w:trPr>
                      <w:trHeight w:val="285" w:hRule="exact"/>
                    </w:trPr>
                    <w:tc>
                      <w:tcPr>
                        <w:tcW w:w="6435" w:type="dxa"/>
                      </w:tcPr>
                      <w:p>
                        <w:pPr>
                          <w:pStyle w:val="TableParagraph"/>
                          <w:spacing w:before="42"/>
                          <w:ind w:left="60"/>
                          <w:rPr>
                            <w:b/>
                            <w:sz w:val="16"/>
                          </w:rPr>
                        </w:pPr>
                        <w:r>
                          <w:rPr>
                            <w:b/>
                            <w:color w:val="231F20"/>
                            <w:sz w:val="16"/>
                          </w:rPr>
                          <w:t>Net income, non-GAAP</w:t>
                        </w:r>
                      </w:p>
                    </w:tc>
                    <w:tc>
                      <w:tcPr>
                        <w:tcW w:w="800" w:type="dxa"/>
                        <w:tcBorders>
                          <w:top w:val="single" w:sz="4" w:space="0" w:color="231F20"/>
                        </w:tcBorders>
                      </w:tcPr>
                      <w:p>
                        <w:pPr>
                          <w:pStyle w:val="TableParagraph"/>
                          <w:tabs>
                            <w:tab w:pos="359" w:val="left" w:leader="none"/>
                          </w:tabs>
                          <w:spacing w:before="22"/>
                          <w:ind w:right="79"/>
                          <w:jc w:val="right"/>
                          <w:rPr>
                            <w:sz w:val="16"/>
                          </w:rPr>
                        </w:pPr>
                        <w:r>
                          <w:rPr>
                            <w:color w:val="231F20"/>
                            <w:sz w:val="16"/>
                          </w:rPr>
                          <w:t>$</w:t>
                          <w:tab/>
                        </w:r>
                        <w:r>
                          <w:rPr>
                            <w:color w:val="231F20"/>
                            <w:spacing w:val="-1"/>
                            <w:sz w:val="16"/>
                          </w:rPr>
                          <w:t>1,397</w:t>
                        </w:r>
                      </w:p>
                    </w:tc>
                    <w:tc>
                      <w:tcPr>
                        <w:tcW w:w="200" w:type="dxa"/>
                      </w:tcPr>
                      <w:p>
                        <w:pPr/>
                      </w:p>
                    </w:tc>
                    <w:tc>
                      <w:tcPr>
                        <w:tcW w:w="800" w:type="dxa"/>
                        <w:tcBorders>
                          <w:top w:val="single" w:sz="4" w:space="0" w:color="231F20"/>
                        </w:tcBorders>
                      </w:tcPr>
                      <w:p>
                        <w:pPr>
                          <w:pStyle w:val="TableParagraph"/>
                          <w:tabs>
                            <w:tab w:pos="479" w:val="left" w:leader="none"/>
                          </w:tabs>
                          <w:spacing w:before="22"/>
                          <w:rPr>
                            <w:sz w:val="16"/>
                          </w:rPr>
                        </w:pPr>
                        <w:r>
                          <w:rPr>
                            <w:color w:val="231F20"/>
                            <w:sz w:val="16"/>
                          </w:rPr>
                          <w:t>$</w:t>
                          <w:tab/>
                          <w:t>805</w:t>
                        </w:r>
                      </w:p>
                    </w:tc>
                    <w:tc>
                      <w:tcPr>
                        <w:tcW w:w="885" w:type="dxa"/>
                      </w:tcPr>
                      <w:p>
                        <w:pPr>
                          <w:pStyle w:val="TableParagraph"/>
                          <w:spacing w:before="42"/>
                          <w:ind w:right="64"/>
                          <w:jc w:val="right"/>
                          <w:rPr>
                            <w:sz w:val="16"/>
                          </w:rPr>
                        </w:pPr>
                        <w:r>
                          <w:rPr>
                            <w:color w:val="231F20"/>
                            <w:sz w:val="16"/>
                          </w:rPr>
                          <w:t>73.5%</w:t>
                        </w:r>
                      </w:p>
                    </w:tc>
                  </w:tr>
                  <w:tr>
                    <w:trPr>
                      <w:trHeight w:val="218" w:hRule="exact"/>
                    </w:trPr>
                    <w:tc>
                      <w:tcPr>
                        <w:tcW w:w="6435" w:type="dxa"/>
                        <w:shd w:val="clear" w:color="auto" w:fill="D1D3D4"/>
                      </w:tcPr>
                      <w:p>
                        <w:pPr/>
                      </w:p>
                    </w:tc>
                    <w:tc>
                      <w:tcPr>
                        <w:tcW w:w="800" w:type="dxa"/>
                        <w:shd w:val="clear" w:color="auto" w:fill="D1D3D4"/>
                      </w:tcPr>
                      <w:p>
                        <w:pPr/>
                      </w:p>
                    </w:tc>
                    <w:tc>
                      <w:tcPr>
                        <w:tcW w:w="200" w:type="dxa"/>
                        <w:shd w:val="clear" w:color="auto" w:fill="D1D3D4"/>
                      </w:tcPr>
                      <w:p>
                        <w:pPr/>
                      </w:p>
                    </w:tc>
                    <w:tc>
                      <w:tcPr>
                        <w:tcW w:w="800" w:type="dxa"/>
                        <w:shd w:val="clear" w:color="auto" w:fill="D1D3D4"/>
                      </w:tcPr>
                      <w:p>
                        <w:pPr/>
                      </w:p>
                    </w:tc>
                    <w:tc>
                      <w:tcPr>
                        <w:tcW w:w="885" w:type="dxa"/>
                        <w:shd w:val="clear" w:color="auto" w:fill="D1D3D4"/>
                      </w:tcPr>
                      <w:p>
                        <w:pPr/>
                      </w:p>
                    </w:tc>
                  </w:tr>
                  <w:tr>
                    <w:trPr>
                      <w:trHeight w:val="232" w:hRule="exact"/>
                    </w:trPr>
                    <w:tc>
                      <w:tcPr>
                        <w:tcW w:w="6435" w:type="dxa"/>
                      </w:tcPr>
                      <w:p>
                        <w:pPr>
                          <w:pStyle w:val="TableParagraph"/>
                          <w:spacing w:before="22"/>
                          <w:ind w:left="60"/>
                          <w:rPr>
                            <w:b/>
                            <w:sz w:val="16"/>
                          </w:rPr>
                        </w:pPr>
                        <w:r>
                          <w:rPr>
                            <w:b/>
                            <w:color w:val="231F20"/>
                            <w:sz w:val="16"/>
                          </w:rPr>
                          <w:t>Net income per share, diluted, as reported</w:t>
                        </w:r>
                      </w:p>
                    </w:tc>
                    <w:tc>
                      <w:tcPr>
                        <w:tcW w:w="800" w:type="dxa"/>
                      </w:tcPr>
                      <w:p>
                        <w:pPr>
                          <w:pStyle w:val="TableParagraph"/>
                          <w:tabs>
                            <w:tab w:pos="439" w:val="left" w:leader="none"/>
                          </w:tabs>
                          <w:spacing w:before="22"/>
                          <w:ind w:right="79"/>
                          <w:jc w:val="right"/>
                          <w:rPr>
                            <w:sz w:val="16"/>
                          </w:rPr>
                        </w:pPr>
                        <w:r>
                          <w:rPr>
                            <w:color w:val="231F20"/>
                            <w:sz w:val="16"/>
                          </w:rPr>
                          <w:t>$</w:t>
                          <w:tab/>
                        </w:r>
                        <w:r>
                          <w:rPr>
                            <w:color w:val="231F20"/>
                            <w:spacing w:val="-1"/>
                            <w:sz w:val="16"/>
                          </w:rPr>
                          <w:t>1.64</w:t>
                        </w:r>
                      </w:p>
                    </w:tc>
                    <w:tc>
                      <w:tcPr>
                        <w:tcW w:w="200" w:type="dxa"/>
                      </w:tcPr>
                      <w:p>
                        <w:pPr/>
                      </w:p>
                    </w:tc>
                    <w:tc>
                      <w:tcPr>
                        <w:tcW w:w="800" w:type="dxa"/>
                      </w:tcPr>
                      <w:p>
                        <w:pPr>
                          <w:pStyle w:val="TableParagraph"/>
                          <w:tabs>
                            <w:tab w:pos="439" w:val="left" w:leader="none"/>
                          </w:tabs>
                          <w:spacing w:before="22"/>
                          <w:rPr>
                            <w:sz w:val="16"/>
                          </w:rPr>
                        </w:pPr>
                        <w:r>
                          <w:rPr>
                            <w:color w:val="231F20"/>
                            <w:sz w:val="16"/>
                          </w:rPr>
                          <w:t>$</w:t>
                          <w:tab/>
                          <w:t>1.05</w:t>
                        </w:r>
                      </w:p>
                    </w:tc>
                    <w:tc>
                      <w:tcPr>
                        <w:tcW w:w="885" w:type="dxa"/>
                      </w:tcPr>
                      <w:p>
                        <w:pPr/>
                      </w:p>
                    </w:tc>
                  </w:tr>
                  <w:tr>
                    <w:trPr>
                      <w:trHeight w:val="232" w:hRule="exact"/>
                    </w:trPr>
                    <w:tc>
                      <w:tcPr>
                        <w:tcW w:w="6435" w:type="dxa"/>
                        <w:shd w:val="clear" w:color="auto" w:fill="D1D3D4"/>
                      </w:tcPr>
                      <w:p>
                        <w:pPr>
                          <w:pStyle w:val="TableParagraph"/>
                          <w:spacing w:before="22"/>
                          <w:ind w:left="60"/>
                          <w:rPr>
                            <w:sz w:val="16"/>
                          </w:rPr>
                        </w:pPr>
                        <w:r>
                          <w:rPr>
                            <w:color w:val="231F20"/>
                            <w:sz w:val="16"/>
                          </w:rPr>
                          <w:t>Add: Net impact to net income above from fuel contracts divided by dilutive shares (a)</w:t>
                        </w:r>
                      </w:p>
                    </w:tc>
                    <w:tc>
                      <w:tcPr>
                        <w:tcW w:w="800" w:type="dxa"/>
                        <w:shd w:val="clear" w:color="auto" w:fill="D1D3D4"/>
                      </w:tcPr>
                      <w:p>
                        <w:pPr>
                          <w:pStyle w:val="TableParagraph"/>
                          <w:spacing w:before="22"/>
                          <w:ind w:right="77"/>
                          <w:jc w:val="right"/>
                          <w:rPr>
                            <w:sz w:val="16"/>
                          </w:rPr>
                        </w:pPr>
                        <w:r>
                          <w:rPr>
                            <w:color w:val="231F20"/>
                            <w:sz w:val="16"/>
                          </w:rPr>
                          <w:t>0.25</w:t>
                        </w:r>
                      </w:p>
                    </w:tc>
                    <w:tc>
                      <w:tcPr>
                        <w:tcW w:w="200" w:type="dxa"/>
                        <w:shd w:val="clear" w:color="auto" w:fill="D1D3D4"/>
                      </w:tcPr>
                      <w:p>
                        <w:pPr/>
                      </w:p>
                    </w:tc>
                    <w:tc>
                      <w:tcPr>
                        <w:tcW w:w="800" w:type="dxa"/>
                        <w:shd w:val="clear" w:color="auto" w:fill="D1D3D4"/>
                      </w:tcPr>
                      <w:p>
                        <w:pPr>
                          <w:pStyle w:val="TableParagraph"/>
                          <w:spacing w:before="22"/>
                          <w:ind w:right="77"/>
                          <w:jc w:val="right"/>
                          <w:rPr>
                            <w:sz w:val="16"/>
                          </w:rPr>
                        </w:pPr>
                        <w:r>
                          <w:rPr>
                            <w:color w:val="231F20"/>
                            <w:sz w:val="16"/>
                          </w:rPr>
                          <w:t>—</w:t>
                        </w:r>
                      </w:p>
                    </w:tc>
                    <w:tc>
                      <w:tcPr>
                        <w:tcW w:w="885" w:type="dxa"/>
                        <w:shd w:val="clear" w:color="auto" w:fill="D1D3D4"/>
                      </w:tcPr>
                      <w:p>
                        <w:pPr/>
                      </w:p>
                    </w:tc>
                  </w:tr>
                  <w:tr>
                    <w:trPr>
                      <w:trHeight w:val="247" w:hRule="exact"/>
                    </w:trPr>
                    <w:tc>
                      <w:tcPr>
                        <w:tcW w:w="6435" w:type="dxa"/>
                      </w:tcPr>
                      <w:p>
                        <w:pPr>
                          <w:pStyle w:val="TableParagraph"/>
                          <w:spacing w:before="22"/>
                          <w:ind w:left="60"/>
                          <w:rPr>
                            <w:sz w:val="16"/>
                          </w:rPr>
                        </w:pPr>
                        <w:r>
                          <w:rPr>
                            <w:color w:val="231F20"/>
                            <w:sz w:val="16"/>
                          </w:rPr>
                          <w:t>Add: Impact of special items, net (a)</w:t>
                        </w:r>
                      </w:p>
                    </w:tc>
                    <w:tc>
                      <w:tcPr>
                        <w:tcW w:w="800" w:type="dxa"/>
                        <w:tcBorders>
                          <w:bottom w:val="single" w:sz="4" w:space="0" w:color="231F20"/>
                        </w:tcBorders>
                      </w:tcPr>
                      <w:p>
                        <w:pPr>
                          <w:pStyle w:val="TableParagraph"/>
                          <w:spacing w:before="22"/>
                          <w:ind w:right="77"/>
                          <w:jc w:val="right"/>
                          <w:rPr>
                            <w:sz w:val="16"/>
                          </w:rPr>
                        </w:pPr>
                        <w:r>
                          <w:rPr>
                            <w:color w:val="231F20"/>
                            <w:sz w:val="16"/>
                          </w:rPr>
                          <w:t>0.12</w:t>
                        </w:r>
                      </w:p>
                    </w:tc>
                    <w:tc>
                      <w:tcPr>
                        <w:tcW w:w="200" w:type="dxa"/>
                      </w:tcPr>
                      <w:p>
                        <w:pPr/>
                      </w:p>
                    </w:tc>
                    <w:tc>
                      <w:tcPr>
                        <w:tcW w:w="800" w:type="dxa"/>
                        <w:tcBorders>
                          <w:bottom w:val="single" w:sz="4" w:space="0" w:color="231F20"/>
                        </w:tcBorders>
                      </w:tcPr>
                      <w:p>
                        <w:pPr>
                          <w:pStyle w:val="TableParagraph"/>
                          <w:spacing w:before="22"/>
                          <w:ind w:right="77"/>
                          <w:jc w:val="right"/>
                          <w:rPr>
                            <w:sz w:val="16"/>
                          </w:rPr>
                        </w:pPr>
                        <w:r>
                          <w:rPr>
                            <w:color w:val="231F20"/>
                            <w:sz w:val="16"/>
                          </w:rPr>
                          <w:t>0.07</w:t>
                        </w:r>
                      </w:p>
                    </w:tc>
                    <w:tc>
                      <w:tcPr>
                        <w:tcW w:w="885" w:type="dxa"/>
                      </w:tcPr>
                      <w:p>
                        <w:pPr/>
                      </w:p>
                    </w:tc>
                  </w:tr>
                  <w:tr>
                    <w:trPr>
                      <w:trHeight w:val="268" w:hRule="exact"/>
                    </w:trPr>
                    <w:tc>
                      <w:tcPr>
                        <w:tcW w:w="6435" w:type="dxa"/>
                        <w:shd w:val="clear" w:color="auto" w:fill="D1D3D4"/>
                      </w:tcPr>
                      <w:p>
                        <w:pPr>
                          <w:pStyle w:val="TableParagraph"/>
                          <w:spacing w:before="22"/>
                          <w:ind w:left="60"/>
                          <w:rPr>
                            <w:b/>
                            <w:sz w:val="16"/>
                          </w:rPr>
                        </w:pPr>
                        <w:r>
                          <w:rPr>
                            <w:b/>
                            <w:color w:val="231F20"/>
                            <w:sz w:val="16"/>
                          </w:rPr>
                          <w:t>Net income per share, diluted, non-GAAP</w:t>
                        </w:r>
                      </w:p>
                    </w:tc>
                    <w:tc>
                      <w:tcPr>
                        <w:tcW w:w="800" w:type="dxa"/>
                        <w:tcBorders>
                          <w:top w:val="single" w:sz="4" w:space="0" w:color="231F20"/>
                        </w:tcBorders>
                        <w:shd w:val="clear" w:color="auto" w:fill="D1D3D4"/>
                      </w:tcPr>
                      <w:p>
                        <w:pPr>
                          <w:pStyle w:val="TableParagraph"/>
                          <w:tabs>
                            <w:tab w:pos="439" w:val="left" w:leader="none"/>
                          </w:tabs>
                          <w:spacing w:before="22"/>
                          <w:ind w:right="79"/>
                          <w:jc w:val="right"/>
                          <w:rPr>
                            <w:sz w:val="16"/>
                          </w:rPr>
                        </w:pPr>
                        <w:r>
                          <w:rPr>
                            <w:color w:val="231F20"/>
                            <w:sz w:val="16"/>
                          </w:rPr>
                          <w:t>$</w:t>
                          <w:tab/>
                        </w:r>
                        <w:r>
                          <w:rPr>
                            <w:color w:val="231F20"/>
                            <w:spacing w:val="-1"/>
                            <w:sz w:val="16"/>
                          </w:rPr>
                          <w:t>2.01</w:t>
                        </w:r>
                      </w:p>
                    </w:tc>
                    <w:tc>
                      <w:tcPr>
                        <w:tcW w:w="200" w:type="dxa"/>
                        <w:shd w:val="clear" w:color="auto" w:fill="D1D3D4"/>
                      </w:tcPr>
                      <w:p>
                        <w:pPr/>
                      </w:p>
                    </w:tc>
                    <w:tc>
                      <w:tcPr>
                        <w:tcW w:w="800" w:type="dxa"/>
                        <w:tcBorders>
                          <w:top w:val="single" w:sz="4" w:space="0" w:color="231F20"/>
                        </w:tcBorders>
                        <w:shd w:val="clear" w:color="auto" w:fill="D1D3D4"/>
                      </w:tcPr>
                      <w:p>
                        <w:pPr>
                          <w:pStyle w:val="TableParagraph"/>
                          <w:tabs>
                            <w:tab w:pos="439" w:val="left" w:leader="none"/>
                          </w:tabs>
                          <w:spacing w:before="22"/>
                          <w:rPr>
                            <w:sz w:val="16"/>
                          </w:rPr>
                        </w:pPr>
                        <w:r>
                          <w:rPr>
                            <w:color w:val="231F20"/>
                            <w:sz w:val="16"/>
                          </w:rPr>
                          <w:t>$</w:t>
                          <w:tab/>
                          <w:t>1.12</w:t>
                        </w:r>
                      </w:p>
                    </w:tc>
                    <w:tc>
                      <w:tcPr>
                        <w:tcW w:w="885" w:type="dxa"/>
                        <w:shd w:val="clear" w:color="auto" w:fill="D1D3D4"/>
                      </w:tcPr>
                      <w:p>
                        <w:pPr>
                          <w:pStyle w:val="TableParagraph"/>
                          <w:spacing w:before="22"/>
                          <w:ind w:right="64"/>
                          <w:jc w:val="right"/>
                          <w:rPr>
                            <w:sz w:val="16"/>
                          </w:rPr>
                        </w:pPr>
                        <w:r>
                          <w:rPr>
                            <w:color w:val="231F20"/>
                            <w:sz w:val="16"/>
                          </w:rPr>
                          <w:t>79.5%</w:t>
                        </w:r>
                      </w:p>
                    </w:tc>
                  </w:tr>
                  <w:tr>
                    <w:trPr>
                      <w:trHeight w:val="234" w:hRule="exact"/>
                    </w:trPr>
                    <w:tc>
                      <w:tcPr>
                        <w:tcW w:w="6435" w:type="dxa"/>
                      </w:tcPr>
                      <w:p>
                        <w:pPr/>
                      </w:p>
                    </w:tc>
                    <w:tc>
                      <w:tcPr>
                        <w:tcW w:w="800" w:type="dxa"/>
                      </w:tcPr>
                      <w:p>
                        <w:pPr/>
                      </w:p>
                    </w:tc>
                    <w:tc>
                      <w:tcPr>
                        <w:tcW w:w="200" w:type="dxa"/>
                      </w:tcPr>
                      <w:p>
                        <w:pPr/>
                      </w:p>
                    </w:tc>
                    <w:tc>
                      <w:tcPr>
                        <w:tcW w:w="800" w:type="dxa"/>
                      </w:tcPr>
                      <w:p>
                        <w:pPr/>
                      </w:p>
                    </w:tc>
                    <w:tc>
                      <w:tcPr>
                        <w:tcW w:w="885" w:type="dxa"/>
                      </w:tcPr>
                      <w:p>
                        <w:pPr/>
                      </w:p>
                    </w:tc>
                  </w:tr>
                  <w:tr>
                    <w:trPr>
                      <w:trHeight w:val="232" w:hRule="exact"/>
                    </w:trPr>
                    <w:tc>
                      <w:tcPr>
                        <w:tcW w:w="6435" w:type="dxa"/>
                        <w:shd w:val="clear" w:color="auto" w:fill="D1D3D4"/>
                      </w:tcPr>
                      <w:p>
                        <w:pPr>
                          <w:pStyle w:val="TableParagraph"/>
                          <w:spacing w:before="22"/>
                          <w:ind w:left="60"/>
                          <w:rPr>
                            <w:b/>
                            <w:sz w:val="16"/>
                          </w:rPr>
                        </w:pPr>
                        <w:r>
                          <w:rPr>
                            <w:b/>
                            <w:color w:val="231F20"/>
                            <w:sz w:val="16"/>
                          </w:rPr>
                          <w:t>Operating expenses per ASM (cents)</w:t>
                        </w:r>
                      </w:p>
                    </w:tc>
                    <w:tc>
                      <w:tcPr>
                        <w:tcW w:w="800" w:type="dxa"/>
                        <w:shd w:val="clear" w:color="auto" w:fill="D1D3D4"/>
                      </w:tcPr>
                      <w:p>
                        <w:pPr>
                          <w:pStyle w:val="TableParagraph"/>
                          <w:spacing w:before="22"/>
                          <w:ind w:right="-1"/>
                          <w:jc w:val="right"/>
                          <w:rPr>
                            <w:sz w:val="16"/>
                          </w:rPr>
                        </w:pPr>
                        <w:r>
                          <w:rPr>
                            <w:color w:val="231F20"/>
                            <w:sz w:val="16"/>
                          </w:rPr>
                          <w:t>12.50¢</w:t>
                        </w:r>
                      </w:p>
                    </w:tc>
                    <w:tc>
                      <w:tcPr>
                        <w:tcW w:w="200" w:type="dxa"/>
                        <w:shd w:val="clear" w:color="auto" w:fill="D1D3D4"/>
                      </w:tcPr>
                      <w:p>
                        <w:pPr/>
                      </w:p>
                    </w:tc>
                    <w:tc>
                      <w:tcPr>
                        <w:tcW w:w="800" w:type="dxa"/>
                        <w:shd w:val="clear" w:color="auto" w:fill="D1D3D4"/>
                      </w:tcPr>
                      <w:p>
                        <w:pPr>
                          <w:pStyle w:val="TableParagraph"/>
                          <w:spacing w:before="22"/>
                          <w:ind w:right="-1"/>
                          <w:jc w:val="right"/>
                          <w:rPr>
                            <w:sz w:val="16"/>
                          </w:rPr>
                        </w:pPr>
                        <w:r>
                          <w:rPr>
                            <w:color w:val="231F20"/>
                            <w:sz w:val="16"/>
                          </w:rPr>
                          <w:t>12.60¢</w:t>
                        </w:r>
                      </w:p>
                    </w:tc>
                    <w:tc>
                      <w:tcPr>
                        <w:tcW w:w="885" w:type="dxa"/>
                        <w:shd w:val="clear" w:color="auto" w:fill="D1D3D4"/>
                      </w:tcPr>
                      <w:p>
                        <w:pPr/>
                      </w:p>
                    </w:tc>
                  </w:tr>
                  <w:tr>
                    <w:trPr>
                      <w:trHeight w:val="232" w:hRule="exact"/>
                    </w:trPr>
                    <w:tc>
                      <w:tcPr>
                        <w:tcW w:w="6435" w:type="dxa"/>
                      </w:tcPr>
                      <w:p>
                        <w:pPr>
                          <w:pStyle w:val="TableParagraph"/>
                          <w:spacing w:before="22"/>
                          <w:ind w:left="60"/>
                          <w:rPr>
                            <w:sz w:val="16"/>
                          </w:rPr>
                        </w:pPr>
                        <w:r>
                          <w:rPr>
                            <w:color w:val="231F20"/>
                            <w:sz w:val="16"/>
                          </w:rPr>
                          <w:t>Deduct: Fuel expense divided by ASMs (cents)</w:t>
                        </w:r>
                      </w:p>
                    </w:tc>
                    <w:tc>
                      <w:tcPr>
                        <w:tcW w:w="800" w:type="dxa"/>
                      </w:tcPr>
                      <w:p>
                        <w:pPr>
                          <w:pStyle w:val="TableParagraph"/>
                          <w:spacing w:before="22"/>
                          <w:ind w:right="24"/>
                          <w:jc w:val="right"/>
                          <w:rPr>
                            <w:sz w:val="16"/>
                          </w:rPr>
                        </w:pPr>
                        <w:r>
                          <w:rPr>
                            <w:color w:val="231F20"/>
                            <w:sz w:val="16"/>
                          </w:rPr>
                          <w:t>(4.04)</w:t>
                        </w:r>
                      </w:p>
                    </w:tc>
                    <w:tc>
                      <w:tcPr>
                        <w:tcW w:w="200" w:type="dxa"/>
                      </w:tcPr>
                      <w:p>
                        <w:pPr/>
                      </w:p>
                    </w:tc>
                    <w:tc>
                      <w:tcPr>
                        <w:tcW w:w="800" w:type="dxa"/>
                      </w:tcPr>
                      <w:p>
                        <w:pPr>
                          <w:pStyle w:val="TableParagraph"/>
                          <w:spacing w:before="22"/>
                          <w:ind w:right="24"/>
                          <w:jc w:val="right"/>
                          <w:rPr>
                            <w:sz w:val="16"/>
                          </w:rPr>
                        </w:pPr>
                        <w:r>
                          <w:rPr>
                            <w:color w:val="231F20"/>
                            <w:sz w:val="16"/>
                          </w:rPr>
                          <w:t>(4.42)</w:t>
                        </w:r>
                      </w:p>
                    </w:tc>
                    <w:tc>
                      <w:tcPr>
                        <w:tcW w:w="885" w:type="dxa"/>
                      </w:tcPr>
                      <w:p>
                        <w:pPr/>
                      </w:p>
                    </w:tc>
                  </w:tr>
                  <w:tr>
                    <w:trPr>
                      <w:trHeight w:val="247" w:hRule="exact"/>
                    </w:trPr>
                    <w:tc>
                      <w:tcPr>
                        <w:tcW w:w="6435" w:type="dxa"/>
                        <w:shd w:val="clear" w:color="auto" w:fill="D1D3D4"/>
                      </w:tcPr>
                      <w:p>
                        <w:pPr>
                          <w:pStyle w:val="TableParagraph"/>
                          <w:spacing w:before="22"/>
                          <w:ind w:left="60"/>
                          <w:rPr>
                            <w:sz w:val="16"/>
                          </w:rPr>
                        </w:pPr>
                        <w:r>
                          <w:rPr>
                            <w:color w:val="231F20"/>
                            <w:sz w:val="16"/>
                          </w:rPr>
                          <w:t>Deduct: Impact of special items, net (cents)</w:t>
                        </w: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(0.10)</w:t>
                        </w:r>
                      </w:p>
                    </w:tc>
                    <w:tc>
                      <w:tcPr>
                        <w:tcW w:w="200" w:type="dxa"/>
                        <w:shd w:val="clear" w:color="auto" w:fill="D1D3D4"/>
                      </w:tcPr>
                      <w:p>
                        <w:pPr/>
                      </w:p>
                    </w:tc>
                    <w:tc>
                      <w:tcPr>
                        <w:tcW w:w="800" w:type="dxa"/>
                        <w:tcBorders>
                          <w:bottom w:val="single" w:sz="4" w:space="0" w:color="231F20"/>
                        </w:tcBorders>
                        <w:shd w:val="clear" w:color="auto" w:fill="D1D3D4"/>
                      </w:tcPr>
                      <w:p>
                        <w:pPr>
                          <w:pStyle w:val="TableParagraph"/>
                          <w:spacing w:before="22"/>
                          <w:ind w:right="24"/>
                          <w:jc w:val="right"/>
                          <w:rPr>
                            <w:sz w:val="16"/>
                          </w:rPr>
                        </w:pPr>
                        <w:r>
                          <w:rPr>
                            <w:color w:val="231F20"/>
                            <w:sz w:val="16"/>
                          </w:rPr>
                          <w:t>(0.07)</w:t>
                        </w:r>
                      </w:p>
                    </w:tc>
                    <w:tc>
                      <w:tcPr>
                        <w:tcW w:w="885" w:type="dxa"/>
                        <w:shd w:val="clear" w:color="auto" w:fill="D1D3D4"/>
                      </w:tcPr>
                      <w:p>
                        <w:pPr/>
                      </w:p>
                    </w:tc>
                  </w:tr>
                  <w:tr>
                    <w:trPr>
                      <w:trHeight w:val="292" w:hRule="exact"/>
                    </w:trPr>
                    <w:tc>
                      <w:tcPr>
                        <w:tcW w:w="6435" w:type="dxa"/>
                      </w:tcPr>
                      <w:p>
                        <w:pPr>
                          <w:pStyle w:val="TableParagraph"/>
                          <w:spacing w:before="42"/>
                          <w:ind w:left="60"/>
                          <w:rPr>
                            <w:b/>
                            <w:sz w:val="16"/>
                          </w:rPr>
                        </w:pPr>
                        <w:r>
                          <w:rPr>
                            <w:b/>
                            <w:color w:val="231F20"/>
                            <w:sz w:val="16"/>
                          </w:rPr>
                          <w:t>Operating expenses per ASM, non-GAAP, excluding fuel and special items (cents)</w:t>
                        </w:r>
                      </w:p>
                    </w:tc>
                    <w:tc>
                      <w:tcPr>
                        <w:tcW w:w="800" w:type="dxa"/>
                        <w:tcBorders>
                          <w:top w:val="single" w:sz="4" w:space="0" w:color="231F20"/>
                          <w:bottom w:val="single" w:sz="4" w:space="0" w:color="231F20"/>
                        </w:tcBorders>
                      </w:tcPr>
                      <w:p>
                        <w:pPr>
                          <w:pStyle w:val="TableParagraph"/>
                          <w:spacing w:before="22"/>
                          <w:ind w:right="-1"/>
                          <w:jc w:val="right"/>
                          <w:rPr>
                            <w:sz w:val="16"/>
                          </w:rPr>
                        </w:pPr>
                        <w:r>
                          <w:rPr>
                            <w:color w:val="231F20"/>
                            <w:sz w:val="16"/>
                          </w:rPr>
                          <w:t>8.36¢</w:t>
                        </w:r>
                      </w:p>
                    </w:tc>
                    <w:tc>
                      <w:tcPr>
                        <w:tcW w:w="200" w:type="dxa"/>
                      </w:tcPr>
                      <w:p>
                        <w:pPr/>
                      </w:p>
                    </w:tc>
                    <w:tc>
                      <w:tcPr>
                        <w:tcW w:w="800" w:type="dxa"/>
                        <w:tcBorders>
                          <w:top w:val="single" w:sz="4" w:space="0" w:color="231F20"/>
                          <w:bottom w:val="single" w:sz="4" w:space="0" w:color="231F20"/>
                        </w:tcBorders>
                      </w:tcPr>
                      <w:p>
                        <w:pPr>
                          <w:pStyle w:val="TableParagraph"/>
                          <w:spacing w:before="22"/>
                          <w:ind w:right="-1"/>
                          <w:jc w:val="right"/>
                          <w:rPr>
                            <w:sz w:val="16"/>
                          </w:rPr>
                        </w:pPr>
                        <w:r>
                          <w:rPr>
                            <w:color w:val="231F20"/>
                            <w:sz w:val="16"/>
                          </w:rPr>
                          <w:t>8.11¢</w:t>
                        </w:r>
                      </w:p>
                    </w:tc>
                    <w:tc>
                      <w:tcPr>
                        <w:tcW w:w="885" w:type="dxa"/>
                      </w:tcPr>
                      <w:p>
                        <w:pPr>
                          <w:pStyle w:val="TableParagraph"/>
                          <w:spacing w:before="42"/>
                          <w:ind w:right="64"/>
                          <w:jc w:val="right"/>
                          <w:rPr>
                            <w:sz w:val="16"/>
                          </w:rPr>
                        </w:pPr>
                        <w:r>
                          <w:rPr>
                            <w:color w:val="231F20"/>
                            <w:sz w:val="16"/>
                          </w:rPr>
                          <w:t>3.1%</w:t>
                        </w:r>
                      </w:p>
                    </w:tc>
                  </w:tr>
                </w:tbl>
                <w:p>
                  <w:pPr>
                    <w:pStyle w:val="BodyText"/>
                  </w:pPr>
                </w:p>
              </w:txbxContent>
            </v:textbox>
            <w10:wrap type="none"/>
          </v:shape>
        </w:pict>
      </w:r>
      <w:r>
        <w:rPr>
          <w:b/>
          <w:color w:val="231F20"/>
          <w:sz w:val="16"/>
          <w:u w:val="single" w:color="231F20"/>
        </w:rPr>
        <w:t> </w:t>
        <w:tab/>
      </w:r>
      <w:r>
        <w:rPr>
          <w:b/>
          <w:color w:val="231F20"/>
          <w:sz w:val="16"/>
        </w:rPr>
        <w:t>     Change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8"/>
        </w:rPr>
      </w:pPr>
      <w:r>
        <w:rPr/>
        <w:pict>
          <v:group style="position:absolute;margin-left:390.5pt;margin-top:12.773438pt;width:40.5pt;height:2.5pt;mso-position-horizontal-relative:page;mso-position-vertical-relative:paragraph;z-index:2728;mso-wrap-distance-left:0;mso-wrap-distance-right:0" coordorigin="7810,255" coordsize="810,50">
            <v:line style="position:absolute" from="7815,260" to="8615,260" stroked="true" strokeweight=".5pt" strokecolor="#231f20">
              <v:stroke dashstyle="solid"/>
            </v:line>
            <v:line style="position:absolute" from="7815,300" to="8615,300" stroked="true" strokeweight=".5pt" strokecolor="#231f20">
              <v:stroke dashstyle="solid"/>
            </v:line>
            <w10:wrap type="topAndBottom"/>
          </v:group>
        </w:pict>
      </w:r>
      <w:r>
        <w:rPr/>
        <w:pict>
          <v:group style="position:absolute;margin-left:440.5pt;margin-top:12.773438pt;width:40.5pt;height:2.5pt;mso-position-horizontal-relative:page;mso-position-vertical-relative:paragraph;z-index:2752;mso-wrap-distance-left:0;mso-wrap-distance-right:0" coordorigin="8810,255" coordsize="810,50">
            <v:line style="position:absolute" from="8815,260" to="9615,260" stroked="true" strokeweight=".5pt" strokecolor="#231f20">
              <v:stroke dashstyle="solid"/>
            </v:line>
            <v:line style="position:absolute" from="8815,300" to="9615,300" stroked="true" strokeweight=".5pt" strokecolor="#231f20">
              <v:stroke dashstyle="solid"/>
            </v:line>
            <w10:wrap type="topAndBottom"/>
          </v:group>
        </w:pict>
      </w:r>
    </w:p>
    <w:p>
      <w:pPr>
        <w:pStyle w:val="BodyText"/>
        <w:rPr>
          <w:b/>
          <w:sz w:val="20"/>
        </w:rPr>
      </w:pPr>
    </w:p>
    <w:p>
      <w:pPr>
        <w:pStyle w:val="BodyText"/>
        <w:rPr>
          <w:b/>
          <w:sz w:val="20"/>
        </w:rPr>
      </w:pPr>
    </w:p>
    <w:p>
      <w:pPr>
        <w:pStyle w:val="BodyText"/>
        <w:spacing w:before="3"/>
        <w:rPr>
          <w:b/>
          <w:sz w:val="27"/>
        </w:rPr>
      </w:pPr>
      <w:r>
        <w:rPr/>
        <w:pict>
          <v:rect style="position:absolute;margin-left:69pt;margin-top:17.651953pt;width:456pt;height:20.25pt;mso-position-horizontal-relative:page;mso-position-vertical-relative:paragraph;z-index:2776;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spacing w:before="2"/>
        <w:rPr>
          <w:b/>
          <w:sz w:val="17"/>
        </w:rPr>
      </w:pPr>
      <w:r>
        <w:rPr/>
        <w:pict>
          <v:group style="position:absolute;margin-left:390.5pt;margin-top:11.851954pt;width:40.5pt;height:2.5pt;mso-position-horizontal-relative:page;mso-position-vertical-relative:paragraph;z-index:2800;mso-wrap-distance-left:0;mso-wrap-distance-right:0" coordorigin="7810,237" coordsize="810,50">
            <v:line style="position:absolute" from="7815,242" to="8615,242" stroked="true" strokeweight=".5pt" strokecolor="#231f20">
              <v:stroke dashstyle="solid"/>
            </v:line>
            <v:line style="position:absolute" from="7815,282" to="8615,282" stroked="true" strokeweight=".5pt" strokecolor="#231f20">
              <v:stroke dashstyle="solid"/>
            </v:line>
            <w10:wrap type="topAndBottom"/>
          </v:group>
        </w:pict>
      </w:r>
      <w:r>
        <w:rPr/>
        <w:pict>
          <v:group style="position:absolute;margin-left:440.5pt;margin-top:11.851954pt;width:40.5pt;height:2.5pt;mso-position-horizontal-relative:page;mso-position-vertical-relative:paragraph;z-index:2824;mso-wrap-distance-left:0;mso-wrap-distance-right:0" coordorigin="8810,237" coordsize="810,50">
            <v:line style="position:absolute" from="8815,242" to="9615,242" stroked="true" strokeweight=".5pt" strokecolor="#231f20">
              <v:stroke dashstyle="solid"/>
            </v:line>
            <v:line style="position:absolute" from="8815,282" to="9615,282"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r>
        <w:rPr/>
        <w:pict>
          <v:group style="position:absolute;margin-left:390.5pt;margin-top:18.056835pt;width:40.5pt;height:2.5pt;mso-position-horizontal-relative:page;mso-position-vertical-relative:paragraph;z-index:2848;mso-wrap-distance-left:0;mso-wrap-distance-right:0" coordorigin="7810,361" coordsize="810,50">
            <v:line style="position:absolute" from="7815,366" to="8615,366" stroked="true" strokeweight=".5pt" strokecolor="#231f20">
              <v:stroke dashstyle="solid"/>
            </v:line>
            <v:line style="position:absolute" from="7815,406" to="8615,406" stroked="true" strokeweight=".5pt" strokecolor="#231f20">
              <v:stroke dashstyle="solid"/>
            </v:line>
            <w10:wrap type="topAndBottom"/>
          </v:group>
        </w:pict>
      </w:r>
      <w:r>
        <w:rPr/>
        <w:pict>
          <v:group style="position:absolute;margin-left:440.5pt;margin-top:18.056835pt;width:40.5pt;height:2.5pt;mso-position-horizontal-relative:page;mso-position-vertical-relative:paragraph;z-index:2872;mso-wrap-distance-left:0;mso-wrap-distance-right:0" coordorigin="8810,361" coordsize="810,50">
            <v:line style="position:absolute" from="8815,366" to="9615,366" stroked="true" strokeweight=".5pt" strokecolor="#231f20">
              <v:stroke dashstyle="solid"/>
            </v:line>
            <v:line style="position:absolute" from="8815,406" to="9615,406"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0"/>
        </w:rPr>
      </w:pPr>
      <w:r>
        <w:rPr/>
        <w:pict>
          <v:group style="position:absolute;margin-left:390.5pt;margin-top:8.258789pt;width:40.5pt;height:2.5pt;mso-position-horizontal-relative:page;mso-position-vertical-relative:paragraph;z-index:2896;mso-wrap-distance-left:0;mso-wrap-distance-right:0" coordorigin="7810,165" coordsize="810,50">
            <v:line style="position:absolute" from="7815,170" to="8615,170" stroked="true" strokeweight=".5pt" strokecolor="#231f20">
              <v:stroke dashstyle="solid"/>
            </v:line>
            <v:line style="position:absolute" from="7815,210" to="8615,210" stroked="true" strokeweight=".5pt" strokecolor="#231f20">
              <v:stroke dashstyle="solid"/>
            </v:line>
            <w10:wrap type="topAndBottom"/>
          </v:group>
        </w:pict>
      </w:r>
      <w:r>
        <w:rPr/>
        <w:pict>
          <v:group style="position:absolute;margin-left:440.5pt;margin-top:8.258789pt;width:40.5pt;height:2.5pt;mso-position-horizontal-relative:page;mso-position-vertical-relative:paragraph;z-index:2920;mso-wrap-distance-left:0;mso-wrap-distance-right:0" coordorigin="8810,165" coordsize="810,50">
            <v:line style="position:absolute" from="8815,170" to="9615,170" stroked="true" strokeweight=".5pt" strokecolor="#231f20">
              <v:stroke dashstyle="solid"/>
            </v:line>
            <v:line style="position:absolute" from="8815,210" to="9615,210"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5"/>
        </w:rPr>
      </w:pPr>
      <w:r>
        <w:rPr/>
        <w:pict>
          <v:group style="position:absolute;margin-left:390.5pt;margin-top:10.703906pt;width:40.5pt;height:2.5pt;mso-position-horizontal-relative:page;mso-position-vertical-relative:paragraph;z-index:2944;mso-wrap-distance-left:0;mso-wrap-distance-right:0" coordorigin="7810,214" coordsize="810,50">
            <v:line style="position:absolute" from="7815,219" to="8615,219" stroked="true" strokeweight=".5pt" strokecolor="#231f20">
              <v:stroke dashstyle="solid"/>
            </v:line>
            <v:line style="position:absolute" from="7815,259" to="8615,259" stroked="true" strokeweight=".5pt" strokecolor="#231f20">
              <v:stroke dashstyle="solid"/>
            </v:line>
            <w10:wrap type="topAndBottom"/>
          </v:group>
        </w:pict>
      </w:r>
      <w:r>
        <w:rPr/>
        <w:pict>
          <v:group style="position:absolute;margin-left:440.5pt;margin-top:10.703906pt;width:40.5pt;height:2.5pt;mso-position-horizontal-relative:page;mso-position-vertical-relative:paragraph;z-index:2968;mso-wrap-distance-left:0;mso-wrap-distance-right:0" coordorigin="8810,214" coordsize="810,50">
            <v:line style="position:absolute" from="8815,219" to="9615,219" stroked="true" strokeweight=".5pt" strokecolor="#231f20">
              <v:stroke dashstyle="solid"/>
            </v:line>
            <v:line style="position:absolute" from="8815,259" to="9615,259"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5"/>
        </w:rPr>
      </w:pPr>
      <w:r>
        <w:rPr/>
        <w:pict>
          <v:line style="position:absolute;mso-position-horizontal-relative:page;mso-position-vertical-relative:paragraph;z-index:2992;mso-wrap-distance-left:0;mso-wrap-distance-right:0" from="390.75pt,10.953906pt" to="430.75pt,10.953906pt" stroked="true" strokeweight=".5pt" strokecolor="#231f20">
            <v:stroke dashstyle="solid"/>
            <w10:wrap type="topAndBottom"/>
          </v:line>
        </w:pict>
      </w:r>
      <w:r>
        <w:rPr/>
        <w:pict>
          <v:line style="position:absolute;mso-position-horizontal-relative:page;mso-position-vertical-relative:paragraph;z-index:3016;mso-wrap-distance-left:0;mso-wrap-distance-right:0" from="440.75pt,10.953906pt" to="480.75pt,10.953906pt" stroked="true" strokeweight=".5pt" strokecolor="#231f20">
            <v:stroke dashstyle="solid"/>
            <w10:wrap type="topAndBottom"/>
          </v:line>
        </w:pict>
      </w:r>
    </w:p>
    <w:p>
      <w:pPr>
        <w:spacing w:before="120"/>
        <w:ind w:left="100" w:right="0" w:firstLine="0"/>
        <w:jc w:val="left"/>
        <w:rPr>
          <w:sz w:val="20"/>
        </w:rPr>
      </w:pPr>
      <w:r>
        <w:rPr>
          <w:color w:val="231F20"/>
          <w:sz w:val="20"/>
        </w:rPr>
        <w:t>* As a result of prior hedge ineffectiveness and/or contracts marked to market through earnings.</w:t>
      </w:r>
    </w:p>
    <w:p>
      <w:pPr>
        <w:pStyle w:val="ListParagraph"/>
        <w:numPr>
          <w:ilvl w:val="1"/>
          <w:numId w:val="9"/>
        </w:numPr>
        <w:tabs>
          <w:tab w:pos="373" w:val="left" w:leader="none"/>
        </w:tabs>
        <w:spacing w:line="240" w:lineRule="auto" w:before="9" w:after="0"/>
        <w:ind w:left="373" w:right="0" w:hanging="273"/>
        <w:jc w:val="left"/>
        <w:rPr>
          <w:sz w:val="20"/>
        </w:rPr>
      </w:pPr>
      <w:r>
        <w:rPr>
          <w:color w:val="231F20"/>
          <w:sz w:val="20"/>
        </w:rPr>
        <w:t>Amounts net of tax</w:t>
      </w:r>
    </w:p>
    <w:p>
      <w:pPr>
        <w:pStyle w:val="BodyText"/>
        <w:spacing w:before="5"/>
        <w:rPr>
          <w:sz w:val="20"/>
        </w:rPr>
      </w:pPr>
    </w:p>
    <w:p>
      <w:pPr>
        <w:pStyle w:val="BodyText"/>
        <w:ind w:left="160" w:right="1703"/>
        <w:jc w:val="center"/>
      </w:pPr>
      <w:r>
        <w:rPr>
          <w:color w:val="231F20"/>
        </w:rPr>
        <w:t>See previous Note Regarding Use of Non-GAAP Financial Measures.</w:t>
      </w:r>
    </w:p>
    <w:p>
      <w:pPr>
        <w:spacing w:after="0"/>
        <w:jc w:val="center"/>
        <w:sectPr>
          <w:type w:val="continuous"/>
          <w:pgSz w:w="11880" w:h="15480"/>
          <w:pgMar w:top="1260" w:bottom="280" w:left="1280" w:right="1260"/>
        </w:sectPr>
      </w:pPr>
    </w:p>
    <w:p>
      <w:pPr>
        <w:pStyle w:val="Heading2"/>
        <w:spacing w:before="74"/>
        <w:ind w:left="100"/>
        <w:jc w:val="both"/>
        <w:rPr>
          <w:i/>
        </w:rPr>
      </w:pPr>
      <w:r>
        <w:rPr>
          <w:i/>
          <w:color w:val="231F20"/>
        </w:rPr>
        <w:t>2014 Compared with 2013</w:t>
      </w:r>
    </w:p>
    <w:p>
      <w:pPr>
        <w:pStyle w:val="BodyText"/>
        <w:spacing w:before="4"/>
        <w:rPr>
          <w:b/>
          <w:i/>
          <w:sz w:val="21"/>
        </w:rPr>
      </w:pPr>
    </w:p>
    <w:p>
      <w:pPr>
        <w:spacing w:before="1"/>
        <w:ind w:left="100" w:right="0" w:firstLine="0"/>
        <w:jc w:val="both"/>
        <w:rPr>
          <w:b/>
          <w:sz w:val="22"/>
        </w:rPr>
      </w:pPr>
      <w:r>
        <w:rPr>
          <w:b/>
          <w:color w:val="231F20"/>
          <w:sz w:val="22"/>
        </w:rPr>
        <w:t>Operating Revenues</w:t>
      </w:r>
    </w:p>
    <w:p>
      <w:pPr>
        <w:pStyle w:val="BodyText"/>
        <w:spacing w:before="5"/>
        <w:rPr>
          <w:b/>
          <w:sz w:val="21"/>
        </w:rPr>
      </w:pPr>
    </w:p>
    <w:p>
      <w:pPr>
        <w:pStyle w:val="BodyText"/>
        <w:spacing w:line="247" w:lineRule="auto"/>
        <w:ind w:left="100" w:right="117"/>
        <w:jc w:val="both"/>
      </w:pPr>
      <w:r>
        <w:rPr>
          <w:color w:val="231F20"/>
        </w:rPr>
        <w:t>Passenger revenues for 2014 increased by $937 million, or 5.6 percent, compared with 2013. Holding other factors constant, approximately half of the increase  in Passenger  revenues  was attributable to the 2.4 point increase in load factor and the majority of the remaining increase was attributable to higher passenger yields, both driven by strong Customer demand for air travel and successful  execution of the Company’s strategic initiatives. Passenger revenue included an increase due to a change in estimate, which was recorded on a prospective basis and effective October 1, 2014, of approximately $55 million. See Note 1 to the Consolidated Financial Statements regarding this change in accounting</w:t>
      </w:r>
      <w:r>
        <w:rPr>
          <w:color w:val="231F20"/>
          <w:spacing w:val="-1"/>
        </w:rPr>
        <w:t> </w:t>
      </w:r>
      <w:r>
        <w:rPr>
          <w:color w:val="231F20"/>
        </w:rPr>
        <w:t>estimate.</w:t>
      </w:r>
    </w:p>
    <w:p>
      <w:pPr>
        <w:pStyle w:val="BodyText"/>
        <w:spacing w:before="9"/>
        <w:rPr>
          <w:sz w:val="20"/>
        </w:rPr>
      </w:pPr>
    </w:p>
    <w:p>
      <w:pPr>
        <w:pStyle w:val="BodyText"/>
        <w:spacing w:line="247" w:lineRule="auto"/>
        <w:ind w:left="100" w:right="118"/>
        <w:jc w:val="both"/>
      </w:pPr>
      <w:r>
        <w:rPr>
          <w:color w:val="231F20"/>
        </w:rPr>
        <w:t>Freight revenues for 2014 increased by $11 million, or 6.7 percent, compared with 2013, primarily due to benefits from new and maturing markets as a result of the AirTran integration.</w:t>
      </w:r>
    </w:p>
    <w:p>
      <w:pPr>
        <w:pStyle w:val="BodyText"/>
        <w:spacing w:before="9"/>
        <w:rPr>
          <w:sz w:val="20"/>
        </w:rPr>
      </w:pPr>
    </w:p>
    <w:p>
      <w:pPr>
        <w:pStyle w:val="BodyText"/>
        <w:spacing w:line="247" w:lineRule="auto"/>
        <w:ind w:left="100" w:right="118"/>
        <w:jc w:val="both"/>
      </w:pPr>
      <w:r>
        <w:rPr>
          <w:color w:val="231F20"/>
        </w:rPr>
        <w:t>Other revenues for 2014 decreased by $42 million, or 5.2 percent, compared with 2013, primarily due to a decline in ancillary revenues. The majority of the decline in ancillary revenues was due to the adoption of Southwest’s more Customer-friendly fee policies for Customers who could purchase travel on AirTran in 2014 through southwest.com, and the overall reduction in AirTran flights in 2014 as a result of the integration process. This decline was partially offset by an increase in certain Southwest specific ancillary revenues, such as EarlyBird Check-in</w:t>
      </w:r>
      <w:r>
        <w:rPr>
          <w:color w:val="231F20"/>
          <w:position w:val="5"/>
          <w:sz w:val="16"/>
        </w:rPr>
        <w:t>® </w:t>
      </w:r>
      <w:r>
        <w:rPr>
          <w:color w:val="231F20"/>
        </w:rPr>
        <w:t>and A1-15 select boarding positions sold at the gate.</w:t>
      </w:r>
    </w:p>
    <w:p>
      <w:pPr>
        <w:pStyle w:val="BodyText"/>
        <w:spacing w:before="9"/>
        <w:rPr>
          <w:sz w:val="20"/>
        </w:rPr>
      </w:pPr>
    </w:p>
    <w:p>
      <w:pPr>
        <w:pStyle w:val="Heading1"/>
      </w:pPr>
      <w:r>
        <w:rPr>
          <w:color w:val="231F20"/>
        </w:rPr>
        <w:t>Operating Expenses</w:t>
      </w:r>
    </w:p>
    <w:p>
      <w:pPr>
        <w:pStyle w:val="BodyText"/>
        <w:spacing w:before="5"/>
        <w:rPr>
          <w:b/>
          <w:sz w:val="21"/>
        </w:rPr>
      </w:pPr>
    </w:p>
    <w:p>
      <w:pPr>
        <w:pStyle w:val="BodyText"/>
        <w:spacing w:line="247" w:lineRule="auto"/>
        <w:ind w:left="100" w:right="117"/>
        <w:jc w:val="both"/>
      </w:pPr>
      <w:r>
        <w:rPr>
          <w:color w:val="231F20"/>
        </w:rPr>
        <w:t>Operating expenses for 2014 decreased by $41 million, or 0.2 percent, compared with 2013, while capacity increased 0.5 percent over the same period. Historically, except for changes in the price of fuel, changes in most Operating expenses for airlines are driven by changes in capacity, or ASMs. The following table presents the Company’s Operating expenses per ASM for 2014 and 2013, followed by explanations of these changes on a per ASM basis and/or on a dollar basis:</w:t>
      </w:r>
    </w:p>
    <w:p>
      <w:pPr>
        <w:tabs>
          <w:tab w:pos="7002" w:val="left" w:leader="none"/>
          <w:tab w:pos="8331" w:val="left" w:leader="none"/>
        </w:tabs>
        <w:spacing w:before="198"/>
        <w:ind w:left="4380" w:right="0" w:firstLine="0"/>
        <w:jc w:val="left"/>
        <w:rPr>
          <w:b/>
          <w:sz w:val="20"/>
        </w:rPr>
      </w:pPr>
      <w:r>
        <w:rPr/>
        <w:pict>
          <v:shape style="position:absolute;margin-left:69pt;margin-top:22.735937pt;width:456.25pt;height:145.75pt;mso-position-horizontal-relative:page;mso-position-vertical-relative:paragraph;z-index:31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2013</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D1D3D4"/>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4.14¢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3.86¢</w:t>
                        </w:r>
                      </w:p>
                    </w:tc>
                    <w:tc>
                      <w:tcPr>
                        <w:tcW w:w="200" w:type="dxa"/>
                        <w:shd w:val="clear" w:color="auto" w:fill="D1D3D4"/>
                      </w:tcPr>
                      <w:p>
                        <w:pPr/>
                      </w:p>
                    </w:tc>
                    <w:tc>
                      <w:tcPr>
                        <w:tcW w:w="1127" w:type="dxa"/>
                        <w:tcBorders>
                          <w:top w:val="single" w:sz="8" w:space="0" w:color="231F20"/>
                        </w:tcBorders>
                        <w:shd w:val="clear" w:color="auto" w:fill="D1D3D4"/>
                      </w:tcPr>
                      <w:p>
                        <w:pPr>
                          <w:pStyle w:val="TableParagraph"/>
                          <w:spacing w:before="33"/>
                          <w:ind w:right="64"/>
                          <w:jc w:val="right"/>
                          <w:rPr>
                            <w:sz w:val="20"/>
                          </w:rPr>
                        </w:pPr>
                        <w:r>
                          <w:rPr>
                            <w:color w:val="231F20"/>
                            <w:sz w:val="20"/>
                          </w:rPr>
                          <w:t>0.28 ¢</w:t>
                        </w:r>
                      </w:p>
                    </w:tc>
                    <w:tc>
                      <w:tcPr>
                        <w:tcW w:w="153" w:type="dxa"/>
                        <w:shd w:val="clear" w:color="auto" w:fill="D1D3D4"/>
                      </w:tcPr>
                      <w:p>
                        <w:pPr/>
                      </w:p>
                    </w:tc>
                    <w:tc>
                      <w:tcPr>
                        <w:tcW w:w="1080" w:type="dxa"/>
                        <w:tcBorders>
                          <w:top w:val="single" w:sz="8" w:space="0" w:color="231F20"/>
                        </w:tcBorders>
                        <w:shd w:val="clear" w:color="auto" w:fill="D1D3D4"/>
                      </w:tcPr>
                      <w:p>
                        <w:pPr>
                          <w:pStyle w:val="TableParagraph"/>
                          <w:spacing w:before="33"/>
                          <w:ind w:right="71"/>
                          <w:jc w:val="right"/>
                          <w:rPr>
                            <w:sz w:val="20"/>
                          </w:rPr>
                        </w:pPr>
                        <w:r>
                          <w:rPr>
                            <w:color w:val="231F20"/>
                            <w:sz w:val="20"/>
                          </w:rPr>
                          <w:t>7.3 %</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4.04</w:t>
                        </w:r>
                      </w:p>
                    </w:tc>
                    <w:tc>
                      <w:tcPr>
                        <w:tcW w:w="200" w:type="dxa"/>
                      </w:tcPr>
                      <w:p>
                        <w:pPr/>
                      </w:p>
                    </w:tc>
                    <w:tc>
                      <w:tcPr>
                        <w:tcW w:w="1080" w:type="dxa"/>
                      </w:tcPr>
                      <w:p>
                        <w:pPr>
                          <w:pStyle w:val="TableParagraph"/>
                          <w:spacing w:before="33"/>
                          <w:ind w:right="119"/>
                          <w:jc w:val="right"/>
                          <w:rPr>
                            <w:sz w:val="20"/>
                          </w:rPr>
                        </w:pPr>
                        <w:r>
                          <w:rPr>
                            <w:color w:val="231F20"/>
                            <w:sz w:val="20"/>
                          </w:rPr>
                          <w:t>4.42</w:t>
                        </w:r>
                      </w:p>
                    </w:tc>
                    <w:tc>
                      <w:tcPr>
                        <w:tcW w:w="200" w:type="dxa"/>
                      </w:tcPr>
                      <w:p>
                        <w:pPr/>
                      </w:p>
                    </w:tc>
                    <w:tc>
                      <w:tcPr>
                        <w:tcW w:w="1127" w:type="dxa"/>
                      </w:tcPr>
                      <w:p>
                        <w:pPr>
                          <w:pStyle w:val="TableParagraph"/>
                          <w:spacing w:before="33"/>
                          <w:ind w:right="98"/>
                          <w:jc w:val="right"/>
                          <w:rPr>
                            <w:sz w:val="20"/>
                          </w:rPr>
                        </w:pPr>
                        <w:r>
                          <w:rPr>
                            <w:color w:val="231F20"/>
                            <w:sz w:val="20"/>
                          </w:rPr>
                          <w:t>(0.38)</w:t>
                        </w:r>
                      </w:p>
                    </w:tc>
                    <w:tc>
                      <w:tcPr>
                        <w:tcW w:w="153" w:type="dxa"/>
                      </w:tcPr>
                      <w:p>
                        <w:pPr/>
                      </w:p>
                    </w:tc>
                    <w:tc>
                      <w:tcPr>
                        <w:tcW w:w="1080" w:type="dxa"/>
                      </w:tcPr>
                      <w:p>
                        <w:pPr>
                          <w:pStyle w:val="TableParagraph"/>
                          <w:spacing w:before="33"/>
                          <w:ind w:left="523"/>
                          <w:rPr>
                            <w:sz w:val="20"/>
                          </w:rPr>
                        </w:pPr>
                        <w:r>
                          <w:rPr>
                            <w:color w:val="231F20"/>
                            <w:sz w:val="20"/>
                          </w:rPr>
                          <w:t>(8.6)</w:t>
                        </w:r>
                      </w:p>
                    </w:tc>
                  </w:tr>
                  <w:tr>
                    <w:trPr>
                      <w:trHeight w:val="280" w:hRule="exact"/>
                    </w:trPr>
                    <w:tc>
                      <w:tcPr>
                        <w:tcW w:w="4200" w:type="dxa"/>
                        <w:shd w:val="clear" w:color="auto" w:fill="D1D3D4"/>
                      </w:tcPr>
                      <w:p>
                        <w:pPr>
                          <w:pStyle w:val="TableParagraph"/>
                          <w:spacing w:before="33"/>
                          <w:ind w:left="60"/>
                          <w:rPr>
                            <w:sz w:val="20"/>
                          </w:rPr>
                        </w:pPr>
                        <w:r>
                          <w:rPr>
                            <w:color w:val="231F20"/>
                            <w:sz w:val="20"/>
                          </w:rPr>
                          <w:t>Maintenance materials and repairs</w:t>
                        </w:r>
                      </w:p>
                    </w:tc>
                    <w:tc>
                      <w:tcPr>
                        <w:tcW w:w="1080" w:type="dxa"/>
                        <w:shd w:val="clear" w:color="auto" w:fill="D1D3D4"/>
                      </w:tcPr>
                      <w:p>
                        <w:pPr>
                          <w:pStyle w:val="TableParagraph"/>
                          <w:spacing w:before="33"/>
                          <w:ind w:right="117"/>
                          <w:jc w:val="right"/>
                          <w:rPr>
                            <w:sz w:val="20"/>
                          </w:rPr>
                        </w:pPr>
                        <w:r>
                          <w:rPr>
                            <w:color w:val="231F20"/>
                            <w:sz w:val="20"/>
                          </w:rPr>
                          <w:t>0.75</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0.83</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(0.08)</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(9.6)</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0.22</w:t>
                        </w:r>
                      </w:p>
                    </w:tc>
                    <w:tc>
                      <w:tcPr>
                        <w:tcW w:w="200" w:type="dxa"/>
                      </w:tcPr>
                      <w:p>
                        <w:pPr/>
                      </w:p>
                    </w:tc>
                    <w:tc>
                      <w:tcPr>
                        <w:tcW w:w="1080" w:type="dxa"/>
                      </w:tcPr>
                      <w:p>
                        <w:pPr>
                          <w:pStyle w:val="TableParagraph"/>
                          <w:spacing w:before="33"/>
                          <w:ind w:right="119"/>
                          <w:jc w:val="right"/>
                          <w:rPr>
                            <w:sz w:val="20"/>
                          </w:rPr>
                        </w:pPr>
                        <w:r>
                          <w:rPr>
                            <w:color w:val="231F20"/>
                            <w:sz w:val="20"/>
                          </w:rPr>
                          <w:t>0.28</w:t>
                        </w:r>
                      </w:p>
                    </w:tc>
                    <w:tc>
                      <w:tcPr>
                        <w:tcW w:w="200" w:type="dxa"/>
                      </w:tcPr>
                      <w:p>
                        <w:pPr/>
                      </w:p>
                    </w:tc>
                    <w:tc>
                      <w:tcPr>
                        <w:tcW w:w="1127" w:type="dxa"/>
                      </w:tcPr>
                      <w:p>
                        <w:pPr>
                          <w:pStyle w:val="TableParagraph"/>
                          <w:spacing w:before="33"/>
                          <w:ind w:right="98"/>
                          <w:jc w:val="right"/>
                          <w:rPr>
                            <w:sz w:val="20"/>
                          </w:rPr>
                        </w:pPr>
                        <w:r>
                          <w:rPr>
                            <w:color w:val="231F20"/>
                            <w:sz w:val="20"/>
                          </w:rPr>
                          <w:t>(0.06)</w:t>
                        </w:r>
                      </w:p>
                    </w:tc>
                    <w:tc>
                      <w:tcPr>
                        <w:tcW w:w="153" w:type="dxa"/>
                      </w:tcPr>
                      <w:p>
                        <w:pPr/>
                      </w:p>
                    </w:tc>
                    <w:tc>
                      <w:tcPr>
                        <w:tcW w:w="1080" w:type="dxa"/>
                      </w:tcPr>
                      <w:p>
                        <w:pPr>
                          <w:pStyle w:val="TableParagraph"/>
                          <w:spacing w:before="33"/>
                          <w:ind w:left="423"/>
                          <w:rPr>
                            <w:sz w:val="20"/>
                          </w:rPr>
                        </w:pPr>
                        <w:r>
                          <w:rPr>
                            <w:color w:val="231F20"/>
                            <w:sz w:val="20"/>
                          </w:rPr>
                          <w:t>(21.4)</w:t>
                        </w:r>
                      </w:p>
                    </w:tc>
                  </w:tr>
                  <w:tr>
                    <w:trPr>
                      <w:trHeight w:val="280" w:hRule="exact"/>
                    </w:trPr>
                    <w:tc>
                      <w:tcPr>
                        <w:tcW w:w="4200" w:type="dxa"/>
                        <w:shd w:val="clear" w:color="auto" w:fill="D1D3D4"/>
                      </w:tcPr>
                      <w:p>
                        <w:pPr>
                          <w:pStyle w:val="TableParagraph"/>
                          <w:spacing w:before="33"/>
                          <w:ind w:left="60"/>
                          <w:rPr>
                            <w:sz w:val="20"/>
                          </w:rPr>
                        </w:pPr>
                        <w:r>
                          <w:rPr>
                            <w:color w:val="231F20"/>
                            <w:sz w:val="20"/>
                          </w:rPr>
                          <w:t>Landing fees and other rentals</w:t>
                        </w: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spacing w:before="33"/>
                          <w:ind w:right="164"/>
                          <w:jc w:val="right"/>
                          <w:rPr>
                            <w:sz w:val="20"/>
                          </w:rPr>
                        </w:pPr>
                        <w:r>
                          <w:rPr>
                            <w:color w:val="231F20"/>
                            <w:sz w:val="20"/>
                          </w:rPr>
                          <w:t>—</w:t>
                        </w:r>
                      </w:p>
                    </w:tc>
                    <w:tc>
                      <w:tcPr>
                        <w:tcW w:w="153" w:type="dxa"/>
                        <w:shd w:val="clear" w:color="auto" w:fill="D1D3D4"/>
                      </w:tcPr>
                      <w:p>
                        <w:pPr/>
                      </w:p>
                    </w:tc>
                    <w:tc>
                      <w:tcPr>
                        <w:tcW w:w="1080" w:type="dxa"/>
                        <w:shd w:val="clear" w:color="auto" w:fill="D1D3D4"/>
                      </w:tcPr>
                      <w:p>
                        <w:pPr>
                          <w:pStyle w:val="TableParagraph"/>
                          <w:spacing w:before="33"/>
                          <w:ind w:left="640"/>
                          <w:rPr>
                            <w:sz w:val="20"/>
                          </w:rPr>
                        </w:pPr>
                        <w:r>
                          <w:rPr>
                            <w:color w:val="231F20"/>
                            <w:sz w:val="20"/>
                          </w:rPr>
                          <w:t>—</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080" w:type="dxa"/>
                      </w:tcPr>
                      <w:p>
                        <w:pPr>
                          <w:pStyle w:val="TableParagraph"/>
                          <w:spacing w:before="33"/>
                          <w:ind w:right="117"/>
                          <w:jc w:val="right"/>
                          <w:rPr>
                            <w:sz w:val="20"/>
                          </w:rPr>
                        </w:pPr>
                        <w:r>
                          <w:rPr>
                            <w:color w:val="231F20"/>
                            <w:sz w:val="20"/>
                          </w:rPr>
                          <w:t>0.66</w:t>
                        </w:r>
                      </w:p>
                    </w:tc>
                    <w:tc>
                      <w:tcPr>
                        <w:tcW w:w="200" w:type="dxa"/>
                      </w:tcPr>
                      <w:p>
                        <w:pPr/>
                      </w:p>
                    </w:tc>
                    <w:tc>
                      <w:tcPr>
                        <w:tcW w:w="1127" w:type="dxa"/>
                      </w:tcPr>
                      <w:p>
                        <w:pPr>
                          <w:pStyle w:val="TableParagraph"/>
                          <w:spacing w:before="33"/>
                          <w:ind w:right="164"/>
                          <w:jc w:val="right"/>
                          <w:rPr>
                            <w:sz w:val="20"/>
                          </w:rPr>
                        </w:pPr>
                        <w:r>
                          <w:rPr>
                            <w:color w:val="231F20"/>
                            <w:sz w:val="20"/>
                          </w:rPr>
                          <w:t>0.06</w:t>
                        </w:r>
                      </w:p>
                    </w:tc>
                    <w:tc>
                      <w:tcPr>
                        <w:tcW w:w="153" w:type="dxa"/>
                      </w:tcPr>
                      <w:p>
                        <w:pPr/>
                      </w:p>
                    </w:tc>
                    <w:tc>
                      <w:tcPr>
                        <w:tcW w:w="1080" w:type="dxa"/>
                      </w:tcPr>
                      <w:p>
                        <w:pPr>
                          <w:pStyle w:val="TableParagraph"/>
                          <w:spacing w:before="33"/>
                          <w:ind w:left="590"/>
                          <w:rPr>
                            <w:sz w:val="20"/>
                          </w:rPr>
                        </w:pPr>
                        <w:r>
                          <w:rPr>
                            <w:color w:val="231F20"/>
                            <w:sz w:val="20"/>
                          </w:rPr>
                          <w:t>9.1</w:t>
                        </w:r>
                      </w:p>
                    </w:tc>
                  </w:tr>
                  <w:tr>
                    <w:trPr>
                      <w:trHeight w:val="280" w:hRule="exact"/>
                    </w:trPr>
                    <w:tc>
                      <w:tcPr>
                        <w:tcW w:w="4200" w:type="dxa"/>
                        <w:shd w:val="clear" w:color="auto" w:fill="D1D3D4"/>
                      </w:tcPr>
                      <w:p>
                        <w:pPr>
                          <w:pStyle w:val="TableParagraph"/>
                          <w:spacing w:before="33"/>
                          <w:ind w:left="60"/>
                          <w:rPr>
                            <w:sz w:val="20"/>
                          </w:rPr>
                        </w:pPr>
                        <w:r>
                          <w:rPr>
                            <w:color w:val="231F20"/>
                            <w:sz w:val="20"/>
                          </w:rPr>
                          <w:t>Acquisition and integration</w:t>
                        </w:r>
                      </w:p>
                    </w:tc>
                    <w:tc>
                      <w:tcPr>
                        <w:tcW w:w="1080" w:type="dxa"/>
                        <w:shd w:val="clear" w:color="auto" w:fill="D1D3D4"/>
                      </w:tcPr>
                      <w:p>
                        <w:pPr>
                          <w:pStyle w:val="TableParagraph"/>
                          <w:spacing w:before="33"/>
                          <w:ind w:right="117"/>
                          <w:jc w:val="right"/>
                          <w:rPr>
                            <w:sz w:val="20"/>
                          </w:rPr>
                        </w:pPr>
                        <w:r>
                          <w:rPr>
                            <w:color w:val="231F20"/>
                            <w:sz w:val="20"/>
                          </w:rPr>
                          <w:t>0.10</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0.07</w:t>
                        </w:r>
                      </w:p>
                    </w:tc>
                    <w:tc>
                      <w:tcPr>
                        <w:tcW w:w="200" w:type="dxa"/>
                        <w:shd w:val="clear" w:color="auto" w:fill="D1D3D4"/>
                      </w:tcPr>
                      <w:p>
                        <w:pPr/>
                      </w:p>
                    </w:tc>
                    <w:tc>
                      <w:tcPr>
                        <w:tcW w:w="1127" w:type="dxa"/>
                        <w:shd w:val="clear" w:color="auto" w:fill="D1D3D4"/>
                      </w:tcPr>
                      <w:p>
                        <w:pPr>
                          <w:pStyle w:val="TableParagraph"/>
                          <w:spacing w:before="33"/>
                          <w:ind w:right="164"/>
                          <w:jc w:val="right"/>
                          <w:rPr>
                            <w:sz w:val="20"/>
                          </w:rPr>
                        </w:pPr>
                        <w:r>
                          <w:rPr>
                            <w:color w:val="231F20"/>
                            <w:sz w:val="20"/>
                          </w:rPr>
                          <w:t>0.03</w:t>
                        </w:r>
                      </w:p>
                    </w:tc>
                    <w:tc>
                      <w:tcPr>
                        <w:tcW w:w="153" w:type="dxa"/>
                        <w:shd w:val="clear" w:color="auto" w:fill="D1D3D4"/>
                      </w:tcPr>
                      <w:p>
                        <w:pPr/>
                      </w:p>
                    </w:tc>
                    <w:tc>
                      <w:tcPr>
                        <w:tcW w:w="1080" w:type="dxa"/>
                        <w:shd w:val="clear" w:color="auto" w:fill="D1D3D4"/>
                      </w:tcPr>
                      <w:p>
                        <w:pPr>
                          <w:pStyle w:val="TableParagraph"/>
                          <w:spacing w:before="33"/>
                          <w:ind w:left="490"/>
                          <w:rPr>
                            <w:sz w:val="20"/>
                          </w:rPr>
                        </w:pPr>
                        <w:r>
                          <w:rPr>
                            <w:color w:val="231F20"/>
                            <w:sz w:val="20"/>
                          </w:rPr>
                          <w:t>42.9</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1.68</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1.63</w:t>
                        </w:r>
                      </w:p>
                    </w:tc>
                    <w:tc>
                      <w:tcPr>
                        <w:tcW w:w="200" w:type="dxa"/>
                      </w:tcPr>
                      <w:p>
                        <w:pPr/>
                      </w:p>
                    </w:tc>
                    <w:tc>
                      <w:tcPr>
                        <w:tcW w:w="1127" w:type="dxa"/>
                        <w:tcBorders>
                          <w:bottom w:val="single" w:sz="4" w:space="0" w:color="231F20"/>
                        </w:tcBorders>
                      </w:tcPr>
                      <w:p>
                        <w:pPr>
                          <w:pStyle w:val="TableParagraph"/>
                          <w:spacing w:before="33"/>
                          <w:ind w:right="164"/>
                          <w:jc w:val="right"/>
                          <w:rPr>
                            <w:sz w:val="20"/>
                          </w:rPr>
                        </w:pPr>
                        <w:r>
                          <w:rPr>
                            <w:color w:val="231F20"/>
                            <w:sz w:val="20"/>
                          </w:rPr>
                          <w:t>0.05</w:t>
                        </w:r>
                      </w:p>
                    </w:tc>
                    <w:tc>
                      <w:tcPr>
                        <w:tcW w:w="153" w:type="dxa"/>
                      </w:tcPr>
                      <w:p>
                        <w:pPr/>
                      </w:p>
                    </w:tc>
                    <w:tc>
                      <w:tcPr>
                        <w:tcW w:w="1080" w:type="dxa"/>
                        <w:tcBorders>
                          <w:bottom w:val="single" w:sz="4" w:space="0" w:color="231F20"/>
                        </w:tcBorders>
                      </w:tcPr>
                      <w:p>
                        <w:pPr>
                          <w:pStyle w:val="TableParagraph"/>
                          <w:spacing w:before="33"/>
                          <w:ind w:left="590"/>
                          <w:rPr>
                            <w:sz w:val="20"/>
                          </w:rPr>
                        </w:pPr>
                        <w:r>
                          <w:rPr>
                            <w:color w:val="231F20"/>
                            <w:sz w:val="20"/>
                          </w:rPr>
                          <w:t>3.1</w:t>
                        </w:r>
                      </w:p>
                    </w:tc>
                  </w:tr>
                  <w:tr>
                    <w:trPr>
                      <w:trHeight w:val="340" w:hRule="exact"/>
                    </w:trPr>
                    <w:tc>
                      <w:tcPr>
                        <w:tcW w:w="4200" w:type="dxa"/>
                        <w:shd w:val="clear" w:color="auto" w:fill="D1D3D4"/>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12.50¢</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12.60¢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spacing w:before="33"/>
                          <w:jc w:val="right"/>
                          <w:rPr>
                            <w:sz w:val="20"/>
                          </w:rPr>
                        </w:pPr>
                        <w:r>
                          <w:rPr>
                            <w:color w:val="231F20"/>
                            <w:sz w:val="20"/>
                          </w:rPr>
                          <w:t>(0.10)¢</w:t>
                        </w:r>
                      </w:p>
                    </w:tc>
                    <w:tc>
                      <w:tcPr>
                        <w:tcW w:w="153"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28"/>
                          <w:ind w:right="5"/>
                          <w:jc w:val="right"/>
                          <w:rPr>
                            <w:sz w:val="20"/>
                          </w:rPr>
                        </w:pPr>
                        <w:r>
                          <w:rPr>
                            <w:color w:val="231F20"/>
                            <w:sz w:val="20"/>
                          </w:rPr>
                          <w:t>(0.8)%</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3088;mso-wrap-distance-left:0;mso-wrap-distance-right:0" from="279pt,13.097787pt" to="333pt,13.097787pt" stroked="true" strokeweight=".5pt" strokecolor="#231f20">
            <v:stroke dashstyle="solid"/>
            <w10:wrap type="topAndBottom"/>
          </v:line>
        </w:pict>
      </w:r>
      <w:r>
        <w:rPr/>
        <w:pict>
          <v:line style="position:absolute;mso-position-horizontal-relative:page;mso-position-vertical-relative:paragraph;z-index:3112;mso-wrap-distance-left:0;mso-wrap-distance-right:0" from="343pt,13.097787pt" to="397pt,13.097787pt" stroked="true" strokeweight=".5pt" strokecolor="#231f20">
            <v:stroke dashstyle="solid"/>
            <w10:wrap type="topAndBottom"/>
          </v:line>
        </w:pict>
      </w:r>
      <w:r>
        <w:rPr/>
        <w:pict>
          <v:line style="position:absolute;mso-position-horizontal-relative:page;mso-position-vertical-relative:paragraph;z-index:3136;mso-wrap-distance-left:0;mso-wrap-distance-right:0" from="407pt,13.097787pt" to="461pt,13.097787pt" stroked="true" strokeweight=".5pt" strokecolor="#231f20">
            <v:stroke dashstyle="solid"/>
            <w10:wrap type="topAndBottom"/>
          </v:line>
        </w:pict>
      </w:r>
    </w:p>
    <w:p>
      <w:pPr>
        <w:spacing w:after="0"/>
        <w:rPr>
          <w:sz w:val="18"/>
        </w:rPr>
        <w:sectPr>
          <w:pgSz w:w="11880" w:h="15480"/>
          <w:pgMar w:header="0" w:footer="1240" w:top="1240" w:bottom="1420" w:left="1280" w:right="1260"/>
        </w:sectPr>
      </w:pPr>
    </w:p>
    <w:p>
      <w:pPr>
        <w:pStyle w:val="BodyText"/>
        <w:spacing w:line="250" w:lineRule="exact" w:before="70"/>
        <w:ind w:left="100" w:right="117"/>
        <w:jc w:val="both"/>
      </w:pPr>
      <w:r>
        <w:rPr>
          <w:color w:val="231F20"/>
        </w:rPr>
        <w:t>Operating expenses per ASM for 2014 decreased by 0.8 percent, compared with 2013, primarily due to a decrease in Fuel and oil expense, partially offset by an increase in Salaries, wages, and benefits expense. On a non-GAAP basis, Operating expenses per ASM for 2014, excluding fuel and special items, increased 3.1 percent year-over-year primarily due to higher Salaries, wages, and benefits expense. See the previous Note Regarding Use of Non-GAAP Financial Measures.</w:t>
      </w:r>
    </w:p>
    <w:p>
      <w:pPr>
        <w:pStyle w:val="BodyText"/>
        <w:spacing w:line="250" w:lineRule="exact" w:before="211"/>
        <w:ind w:left="100" w:right="117"/>
        <w:jc w:val="both"/>
      </w:pPr>
      <w:r>
        <w:rPr>
          <w:color w:val="231F20"/>
        </w:rPr>
        <w:t>Salaries, wages, and benefits expense for 2014 increased by $399 million, or 7.9 percent, compared with 2013. Salaries, wages, and benefits expense per ASM for 2014 increased 7.3 percent, compared with 2013. On both a dollar and per ASM basis, approximately 60 percent of these increases were the result of higher salaries primarily due to increased training, additional headcount, and contractual increases. The majority of the remaining increase was the result of higher profitsharing expense due to increased profits in 2014.</w:t>
      </w:r>
    </w:p>
    <w:p>
      <w:pPr>
        <w:pStyle w:val="BodyText"/>
        <w:spacing w:line="250" w:lineRule="exact" w:before="211"/>
        <w:ind w:left="100" w:right="117"/>
        <w:jc w:val="both"/>
      </w:pPr>
      <w:r>
        <w:rPr>
          <w:color w:val="231F20"/>
        </w:rPr>
        <w:t>Fuel and oil expense for 2014 decreased by $470 million, or 8.2 percent, compared with 2013. On a per ASM basis, Fuel and oil expense for 2014 decreased 8.6 percent, compared with 2013. Excluding the impact of fuel hedge accounting, both the dollar and per ASM decreases were primarily attributable     to lower jet fuel prices. The Company’s average economic jet fuel price per gallon decreased 6.4 percent year-over-year, from $3.12 for 2013 to $2.92 for 2014. In addition, fuel efficiency improved slightly  due  to  the  Company’s  fleet  modernization  efforts,  as  fuel  gallons  consumed   </w:t>
      </w:r>
      <w:r>
        <w:rPr>
          <w:color w:val="231F20"/>
          <w:spacing w:val="38"/>
        </w:rPr>
        <w:t> </w:t>
      </w:r>
      <w:r>
        <w:rPr>
          <w:color w:val="231F20"/>
        </w:rPr>
        <w:t>decreased</w:t>
      </w:r>
    </w:p>
    <w:p>
      <w:pPr>
        <w:pStyle w:val="BodyText"/>
        <w:spacing w:line="248" w:lineRule="exact"/>
        <w:ind w:left="100"/>
        <w:jc w:val="both"/>
      </w:pPr>
      <w:r>
        <w:rPr>
          <w:color w:val="231F20"/>
        </w:rPr>
        <w:t>0.9 percent, compared with 2013, while year-over-year capacity increased 0.5 percent.</w:t>
      </w:r>
    </w:p>
    <w:p>
      <w:pPr>
        <w:pStyle w:val="BodyText"/>
        <w:spacing w:line="250" w:lineRule="exact" w:before="213"/>
        <w:ind w:left="100" w:right="117"/>
        <w:jc w:val="both"/>
      </w:pPr>
      <w:r>
        <w:rPr>
          <w:color w:val="231F20"/>
        </w:rPr>
        <w:t>As a result of the Company’s fuel hedging program, the Company recognized net gains totaling $28 million in Fuel and oil expense for 2014, compared with net losses totaling $118 million for 2013. These totals include cash settlements realized from the settlement of  fuel  derivative  contracts  totaling $56 million received from counterparties for 2014, compared with $34 million paid to counterparties for 2013, although such totals exclude gains and/or losses recognized from hedge ineffectiveness and from derivatives that do not qualify for hedge accounting. These impacts are recorded as a component of Other (gains) losses, net.</w:t>
      </w:r>
    </w:p>
    <w:p>
      <w:pPr>
        <w:pStyle w:val="BodyText"/>
        <w:spacing w:line="250" w:lineRule="exact" w:before="210"/>
        <w:ind w:left="100" w:right="117"/>
        <w:jc w:val="both"/>
      </w:pPr>
      <w:r>
        <w:rPr>
          <w:color w:val="231F20"/>
        </w:rPr>
        <w:t>Maintenance materials and repairs expense for 2014 decreased by $102 million, or 9.4 percent, compared  with  2013.  On   a   per   ASM   basis,   Maintenance   materials   and   repairs   expense   for 2014 decreased 9.6 percent, compared with 2013. On both a dollar and per ASM basis, approximately 70 percent of the decrease was attributable to the completion of the </w:t>
      </w:r>
      <w:r>
        <w:rPr>
          <w:i/>
          <w:color w:val="231F20"/>
        </w:rPr>
        <w:t>Evolve </w:t>
      </w:r>
      <w:r>
        <w:rPr>
          <w:color w:val="231F20"/>
        </w:rPr>
        <w:t>aircraft interior retrofit program during 2013, and the majority of the remaining decrease was attributable to lower engine and avionics repair expense as a result of the 717-200 aircraft transitioning out of the Company’s fleet.</w:t>
      </w:r>
    </w:p>
    <w:p>
      <w:pPr>
        <w:pStyle w:val="BodyText"/>
        <w:spacing w:line="250" w:lineRule="exact" w:before="210"/>
        <w:ind w:left="100" w:right="117"/>
        <w:jc w:val="both"/>
      </w:pPr>
      <w:r>
        <w:rPr>
          <w:color w:val="231F20"/>
        </w:rPr>
        <w:t>Aircraft rentals expense for 2014 decreased by $66 million, or 18.3 percent, compared with 2013. On a per ASM basis, Aircraft rentals expense decreased 21.4 percent, compared with 2013. On both a dollar and per ASM basis, the decrease primarily was due to the transition of leased B717 aircraft out of the Company’s fleet for conversion and delivery to Delta.</w:t>
      </w:r>
    </w:p>
    <w:p>
      <w:pPr>
        <w:pStyle w:val="BodyText"/>
        <w:spacing w:line="250" w:lineRule="exact" w:before="210"/>
        <w:ind w:left="100" w:right="118"/>
        <w:jc w:val="both"/>
      </w:pPr>
      <w:r>
        <w:rPr>
          <w:color w:val="231F20"/>
        </w:rPr>
        <w:t>Landing fees and other rentals expense for 2014 increased by $8 million, or 0.7 percent, compared   with 2013. On a per ASM basis, Landing fees and other rentals expense for 2014 were flat, compared with 2013. The dollar increase was primarily due to heavier landing weights for the -800</w:t>
      </w:r>
      <w:r>
        <w:rPr>
          <w:color w:val="231F20"/>
          <w:spacing w:val="-5"/>
        </w:rPr>
        <w:t> </w:t>
      </w:r>
      <w:r>
        <w:rPr>
          <w:color w:val="231F20"/>
        </w:rPr>
        <w:t>aircraft.</w:t>
      </w:r>
    </w:p>
    <w:p>
      <w:pPr>
        <w:pStyle w:val="BodyText"/>
        <w:spacing w:line="250" w:lineRule="exact" w:before="210"/>
        <w:ind w:left="100" w:right="118"/>
        <w:jc w:val="both"/>
      </w:pPr>
      <w:r>
        <w:rPr>
          <w:color w:val="231F20"/>
        </w:rPr>
        <w:t>Depreciation and amortization expense for 2014 increased by $71 million, or 8.2 percent, compared with 2013. On a per ASM basis, Depreciation and amortization expense increased 9.1 percent, compared with 2013. On both a dollar and per ASM basis, approximately half the increase was attributable  to  technology  projects  that  were  placed  into  service  during  2014   and   approximately half was due to the purchase of new and used aircraft over the last twelve</w:t>
      </w:r>
      <w:r>
        <w:rPr>
          <w:color w:val="231F20"/>
          <w:spacing w:val="-3"/>
        </w:rPr>
        <w:t> </w:t>
      </w:r>
      <w:r>
        <w:rPr>
          <w:color w:val="231F20"/>
        </w:rPr>
        <w:t>months.</w:t>
      </w:r>
    </w:p>
    <w:p>
      <w:pPr>
        <w:spacing w:after="0" w:line="250" w:lineRule="exact"/>
        <w:jc w:val="both"/>
        <w:sectPr>
          <w:pgSz w:w="11880" w:h="15480"/>
          <w:pgMar w:header="0" w:footer="1240" w:top="1240" w:bottom="1420" w:left="1280" w:right="1260"/>
        </w:sectPr>
      </w:pPr>
    </w:p>
    <w:p>
      <w:pPr>
        <w:pStyle w:val="BodyText"/>
        <w:spacing w:line="247" w:lineRule="auto" w:before="74"/>
        <w:ind w:left="120" w:right="117"/>
        <w:jc w:val="both"/>
      </w:pPr>
      <w:r>
        <w:rPr>
          <w:color w:val="231F20"/>
        </w:rPr>
        <w:t>The Company incurred $126 million in Acquisition and integration costs in 2014, which primarily consisted of expense associated with the removal of the remaining B717 fleet from service during December 2014, B717 fleet conversion costs, fleet integration, Employee training, facility integration, and technology integration projects. During 2013, the Company recorded $86 million in Acquisition and integration expense, which primarily consisted of B717 fleet conversion costs, fleet integration, Employee training, technology integration projects, and facility integration expenses.</w:t>
      </w:r>
    </w:p>
    <w:p>
      <w:pPr>
        <w:pStyle w:val="BodyText"/>
        <w:spacing w:before="11"/>
        <w:rPr>
          <w:sz w:val="18"/>
        </w:rPr>
      </w:pPr>
    </w:p>
    <w:p>
      <w:pPr>
        <w:pStyle w:val="BodyText"/>
        <w:spacing w:line="247" w:lineRule="auto"/>
        <w:ind w:left="120" w:right="117"/>
        <w:jc w:val="both"/>
      </w:pPr>
      <w:r>
        <w:rPr>
          <w:color w:val="231F20"/>
        </w:rPr>
        <w:t>Other operating expenses for 2014 increased by $79 million, or 3.7 percent, compared with 2013. On a per ASM basis,  Other operating expenses for 2014 increased 3.1 percent, compared with 2013. On  both a dollar and per ASM basis, approximately 40 percent of the increase was the result of higher contract programming and consulting expenses, 20 percent of the increase was the result of maintenance agreement contract rate increases, and the remainder of the increase was due to individually insignificant</w:t>
      </w:r>
      <w:r>
        <w:rPr>
          <w:color w:val="231F20"/>
          <w:spacing w:val="-1"/>
        </w:rPr>
        <w:t> </w:t>
      </w:r>
      <w:r>
        <w:rPr>
          <w:color w:val="231F20"/>
        </w:rPr>
        <w:t>items.</w:t>
      </w:r>
    </w:p>
    <w:p>
      <w:pPr>
        <w:pStyle w:val="BodyText"/>
        <w:rPr>
          <w:sz w:val="19"/>
        </w:rPr>
      </w:pPr>
    </w:p>
    <w:p>
      <w:pPr>
        <w:pStyle w:val="Heading1"/>
        <w:ind w:left="120"/>
      </w:pPr>
      <w:r>
        <w:rPr>
          <w:color w:val="231F20"/>
        </w:rPr>
        <w:t>Other</w:t>
      </w:r>
    </w:p>
    <w:p>
      <w:pPr>
        <w:pStyle w:val="BodyText"/>
        <w:spacing w:before="7"/>
        <w:rPr>
          <w:b/>
          <w:sz w:val="19"/>
        </w:rPr>
      </w:pPr>
    </w:p>
    <w:p>
      <w:pPr>
        <w:pStyle w:val="BodyText"/>
        <w:spacing w:line="247" w:lineRule="auto"/>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2014, and 2013:</w:t>
      </w:r>
    </w:p>
    <w:p>
      <w:pPr>
        <w:spacing w:before="177" w:after="27"/>
        <w:ind w:left="6920" w:right="0" w:firstLine="0"/>
        <w:jc w:val="left"/>
        <w:rPr>
          <w:b/>
          <w:sz w:val="20"/>
        </w:rPr>
      </w:pPr>
      <w:r>
        <w:rPr/>
        <w:pict>
          <v:line style="position:absolute;mso-position-horizontal-relative:page;mso-position-vertical-relative:paragraph;z-index:-392272" from="69pt,35.685951pt" to="121.4pt,35.685951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0"/>
        <w:gridCol w:w="1146"/>
        <w:gridCol w:w="134"/>
        <w:gridCol w:w="1080"/>
      </w:tblGrid>
      <w:tr>
        <w:trPr>
          <w:trHeight w:val="280" w:hRule="exact"/>
        </w:trPr>
        <w:tc>
          <w:tcPr>
            <w:tcW w:w="6760" w:type="dxa"/>
          </w:tcPr>
          <w:p>
            <w:pPr>
              <w:pStyle w:val="TableParagraph"/>
              <w:spacing w:before="23"/>
              <w:ind w:left="50"/>
              <w:rPr>
                <w:sz w:val="20"/>
              </w:rPr>
            </w:pPr>
            <w:r>
              <w:rPr>
                <w:color w:val="231F20"/>
                <w:sz w:val="20"/>
              </w:rPr>
              <w:t>(in millions)</w:t>
            </w:r>
          </w:p>
        </w:tc>
        <w:tc>
          <w:tcPr>
            <w:tcW w:w="1146" w:type="dxa"/>
            <w:tcBorders>
              <w:top w:val="single" w:sz="8" w:space="0" w:color="231F20"/>
              <w:bottom w:val="single" w:sz="8" w:space="0" w:color="231F20"/>
            </w:tcBorders>
          </w:tcPr>
          <w:p>
            <w:pPr>
              <w:pStyle w:val="TableParagraph"/>
              <w:spacing w:before="13"/>
              <w:ind w:left="340"/>
              <w:rPr>
                <w:b/>
                <w:sz w:val="20"/>
              </w:rPr>
            </w:pPr>
            <w:r>
              <w:rPr>
                <w:b/>
                <w:color w:val="231F20"/>
                <w:sz w:val="20"/>
              </w:rPr>
              <w:t>2014</w:t>
            </w:r>
          </w:p>
        </w:tc>
        <w:tc>
          <w:tcPr>
            <w:tcW w:w="134"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00"/>
              <w:rPr>
                <w:b/>
                <w:sz w:val="20"/>
              </w:rPr>
            </w:pPr>
            <w:r>
              <w:rPr>
                <w:b/>
                <w:color w:val="231F20"/>
                <w:sz w:val="20"/>
              </w:rPr>
              <w:t>2013</w:t>
            </w:r>
          </w:p>
        </w:tc>
      </w:tr>
      <w:tr>
        <w:trPr>
          <w:trHeight w:val="310" w:hRule="exact"/>
        </w:trPr>
        <w:tc>
          <w:tcPr>
            <w:tcW w:w="6760" w:type="dxa"/>
            <w:shd w:val="clear" w:color="auto" w:fill="D1D3D4"/>
          </w:tcPr>
          <w:p>
            <w:pPr>
              <w:pStyle w:val="TableParagraph"/>
              <w:ind w:left="50"/>
              <w:rPr>
                <w:sz w:val="20"/>
              </w:rPr>
            </w:pPr>
            <w:r>
              <w:rPr>
                <w:color w:val="231F20"/>
                <w:sz w:val="20"/>
              </w:rPr>
              <w:t>Mark-to-market impact from fuel contracts settling in future periods</w:t>
            </w:r>
          </w:p>
        </w:tc>
        <w:tc>
          <w:tcPr>
            <w:tcW w:w="1146" w:type="dxa"/>
            <w:tcBorders>
              <w:top w:val="single" w:sz="8" w:space="0" w:color="231F20"/>
            </w:tcBorders>
            <w:shd w:val="clear" w:color="auto" w:fill="D1D3D4"/>
          </w:tcPr>
          <w:p>
            <w:pPr>
              <w:pStyle w:val="TableParagraph"/>
              <w:tabs>
                <w:tab w:pos="779" w:val="left" w:leader="none"/>
              </w:tabs>
              <w:rPr>
                <w:sz w:val="20"/>
              </w:rPr>
            </w:pPr>
            <w:r>
              <w:rPr>
                <w:color w:val="231F20"/>
                <w:sz w:val="20"/>
              </w:rPr>
              <w:t>$</w:t>
              <w:tab/>
              <w:t>251</w:t>
            </w:r>
          </w:p>
        </w:tc>
        <w:tc>
          <w:tcPr>
            <w:tcW w:w="134" w:type="dxa"/>
            <w:shd w:val="clear" w:color="auto" w:fill="D1D3D4"/>
          </w:tcPr>
          <w:p>
            <w:pPr/>
          </w:p>
        </w:tc>
        <w:tc>
          <w:tcPr>
            <w:tcW w:w="1080" w:type="dxa"/>
            <w:tcBorders>
              <w:top w:val="single" w:sz="8" w:space="0" w:color="231F20"/>
            </w:tcBorders>
            <w:shd w:val="clear" w:color="auto" w:fill="D1D3D4"/>
          </w:tcPr>
          <w:p>
            <w:pPr>
              <w:pStyle w:val="TableParagraph"/>
              <w:tabs>
                <w:tab w:pos="632" w:val="left" w:leader="none"/>
              </w:tabs>
              <w:ind w:right="11"/>
              <w:jc w:val="right"/>
              <w:rPr>
                <w:sz w:val="20"/>
              </w:rPr>
            </w:pPr>
            <w:r>
              <w:rPr>
                <w:color w:val="231F20"/>
                <w:sz w:val="20"/>
              </w:rPr>
              <w:t>$</w:t>
              <w:tab/>
              <w:t>(103)</w:t>
            </w:r>
          </w:p>
        </w:tc>
      </w:tr>
      <w:tr>
        <w:trPr>
          <w:trHeight w:val="300" w:hRule="exact"/>
        </w:trPr>
        <w:tc>
          <w:tcPr>
            <w:tcW w:w="6760" w:type="dxa"/>
          </w:tcPr>
          <w:p>
            <w:pPr>
              <w:pStyle w:val="TableParagraph"/>
              <w:ind w:left="50"/>
              <w:rPr>
                <w:sz w:val="20"/>
              </w:rPr>
            </w:pPr>
            <w:r>
              <w:rPr>
                <w:color w:val="231F20"/>
                <w:sz w:val="20"/>
              </w:rPr>
              <w:t>Ineffectiveness from fuel hedges settling in future periods</w:t>
            </w:r>
          </w:p>
        </w:tc>
        <w:tc>
          <w:tcPr>
            <w:tcW w:w="1146" w:type="dxa"/>
          </w:tcPr>
          <w:p>
            <w:pPr>
              <w:pStyle w:val="TableParagraph"/>
              <w:ind w:right="64"/>
              <w:jc w:val="right"/>
              <w:rPr>
                <w:sz w:val="20"/>
              </w:rPr>
            </w:pPr>
            <w:r>
              <w:rPr>
                <w:color w:val="231F20"/>
                <w:sz w:val="20"/>
              </w:rPr>
              <w:t>5</w:t>
            </w:r>
          </w:p>
        </w:tc>
        <w:tc>
          <w:tcPr>
            <w:tcW w:w="134" w:type="dxa"/>
          </w:tcPr>
          <w:p>
            <w:pPr/>
          </w:p>
        </w:tc>
        <w:tc>
          <w:tcPr>
            <w:tcW w:w="1080" w:type="dxa"/>
          </w:tcPr>
          <w:p>
            <w:pPr>
              <w:pStyle w:val="TableParagraph"/>
              <w:ind w:right="77"/>
              <w:jc w:val="right"/>
              <w:rPr>
                <w:sz w:val="20"/>
              </w:rPr>
            </w:pPr>
            <w:r>
              <w:rPr>
                <w:color w:val="231F20"/>
                <w:sz w:val="20"/>
              </w:rPr>
              <w:t>11</w:t>
            </w:r>
          </w:p>
        </w:tc>
      </w:tr>
      <w:tr>
        <w:trPr>
          <w:trHeight w:val="300" w:hRule="exact"/>
        </w:trPr>
        <w:tc>
          <w:tcPr>
            <w:tcW w:w="6760" w:type="dxa"/>
            <w:shd w:val="clear" w:color="auto" w:fill="D1D3D4"/>
          </w:tcPr>
          <w:p>
            <w:pPr>
              <w:pStyle w:val="TableParagraph"/>
              <w:ind w:left="50"/>
              <w:rPr>
                <w:sz w:val="20"/>
              </w:rPr>
            </w:pPr>
            <w:r>
              <w:rPr>
                <w:color w:val="231F20"/>
                <w:sz w:val="20"/>
              </w:rPr>
              <w:t>Realized ineffectiveness and mark-to-market (gains) or losses</w:t>
            </w:r>
          </w:p>
        </w:tc>
        <w:tc>
          <w:tcPr>
            <w:tcW w:w="1146" w:type="dxa"/>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1080" w:type="dxa"/>
            <w:shd w:val="clear" w:color="auto" w:fill="D1D3D4"/>
          </w:tcPr>
          <w:p>
            <w:pPr>
              <w:pStyle w:val="TableParagraph"/>
              <w:ind w:right="77"/>
              <w:jc w:val="right"/>
              <w:rPr>
                <w:sz w:val="20"/>
              </w:rPr>
            </w:pPr>
            <w:r>
              <w:rPr>
                <w:color w:val="231F20"/>
                <w:sz w:val="20"/>
              </w:rPr>
              <w:t>3</w:t>
            </w:r>
          </w:p>
        </w:tc>
      </w:tr>
      <w:tr>
        <w:trPr>
          <w:trHeight w:val="300" w:hRule="exact"/>
        </w:trPr>
        <w:tc>
          <w:tcPr>
            <w:tcW w:w="6760" w:type="dxa"/>
          </w:tcPr>
          <w:p>
            <w:pPr>
              <w:pStyle w:val="TableParagraph"/>
              <w:ind w:left="50"/>
              <w:rPr>
                <w:sz w:val="20"/>
              </w:rPr>
            </w:pPr>
            <w:r>
              <w:rPr>
                <w:color w:val="231F20"/>
                <w:sz w:val="20"/>
              </w:rPr>
              <w:t>Premium cost of fuel contracts</w:t>
            </w:r>
          </w:p>
        </w:tc>
        <w:tc>
          <w:tcPr>
            <w:tcW w:w="1146" w:type="dxa"/>
          </w:tcPr>
          <w:p>
            <w:pPr>
              <w:pStyle w:val="TableParagraph"/>
              <w:ind w:right="64"/>
              <w:jc w:val="right"/>
              <w:rPr>
                <w:sz w:val="20"/>
              </w:rPr>
            </w:pPr>
            <w:r>
              <w:rPr>
                <w:color w:val="231F20"/>
                <w:sz w:val="20"/>
              </w:rPr>
              <w:t>62</w:t>
            </w:r>
          </w:p>
        </w:tc>
        <w:tc>
          <w:tcPr>
            <w:tcW w:w="134" w:type="dxa"/>
          </w:tcPr>
          <w:p>
            <w:pPr/>
          </w:p>
        </w:tc>
        <w:tc>
          <w:tcPr>
            <w:tcW w:w="1080" w:type="dxa"/>
          </w:tcPr>
          <w:p>
            <w:pPr>
              <w:pStyle w:val="TableParagraph"/>
              <w:ind w:right="77"/>
              <w:jc w:val="right"/>
              <w:rPr>
                <w:sz w:val="20"/>
              </w:rPr>
            </w:pPr>
            <w:r>
              <w:rPr>
                <w:color w:val="231F20"/>
                <w:sz w:val="20"/>
              </w:rPr>
              <w:t>60</w:t>
            </w:r>
          </w:p>
        </w:tc>
      </w:tr>
      <w:tr>
        <w:trPr>
          <w:trHeight w:val="335" w:hRule="exact"/>
        </w:trPr>
        <w:tc>
          <w:tcPr>
            <w:tcW w:w="6760" w:type="dxa"/>
            <w:shd w:val="clear" w:color="auto" w:fill="D1D3D4"/>
          </w:tcPr>
          <w:p>
            <w:pPr>
              <w:pStyle w:val="TableParagraph"/>
              <w:ind w:left="50"/>
              <w:rPr>
                <w:sz w:val="20"/>
              </w:rPr>
            </w:pPr>
            <w:r>
              <w:rPr>
                <w:color w:val="231F20"/>
                <w:sz w:val="20"/>
              </w:rPr>
              <w:t>Other</w:t>
            </w:r>
          </w:p>
        </w:tc>
        <w:tc>
          <w:tcPr>
            <w:tcW w:w="1146" w:type="dxa"/>
            <w:tcBorders>
              <w:bottom w:val="single" w:sz="4" w:space="0" w:color="231F20"/>
            </w:tcBorders>
            <w:shd w:val="clear" w:color="auto" w:fill="D1D3D4"/>
          </w:tcPr>
          <w:p>
            <w:pPr>
              <w:pStyle w:val="TableParagraph"/>
              <w:jc w:val="right"/>
              <w:rPr>
                <w:sz w:val="20"/>
              </w:rPr>
            </w:pPr>
            <w:r>
              <w:rPr>
                <w:color w:val="231F20"/>
                <w:sz w:val="20"/>
              </w:rPr>
              <w:t>(5)</w:t>
            </w:r>
          </w:p>
        </w:tc>
        <w:tc>
          <w:tcPr>
            <w:tcW w:w="134" w:type="dxa"/>
            <w:shd w:val="clear" w:color="auto" w:fill="D1D3D4"/>
          </w:tcPr>
          <w:p>
            <w:pPr/>
          </w:p>
        </w:tc>
        <w:tc>
          <w:tcPr>
            <w:tcW w:w="1080" w:type="dxa"/>
            <w:tcBorders>
              <w:bottom w:val="single" w:sz="4" w:space="0" w:color="231F20"/>
            </w:tcBorders>
            <w:shd w:val="clear" w:color="auto" w:fill="D1D3D4"/>
          </w:tcPr>
          <w:p>
            <w:pPr>
              <w:pStyle w:val="TableParagraph"/>
              <w:ind w:right="11"/>
              <w:jc w:val="right"/>
              <w:rPr>
                <w:sz w:val="20"/>
              </w:rPr>
            </w:pPr>
            <w:r>
              <w:rPr>
                <w:color w:val="231F20"/>
                <w:sz w:val="20"/>
              </w:rPr>
              <w:t>(3)</w:t>
            </w:r>
          </w:p>
        </w:tc>
      </w:tr>
      <w:tr>
        <w:trPr>
          <w:trHeight w:val="832" w:hRule="exact"/>
        </w:trPr>
        <w:tc>
          <w:tcPr>
            <w:tcW w:w="6760" w:type="dxa"/>
          </w:tcPr>
          <w:p>
            <w:pPr>
              <w:pStyle w:val="TableParagraph"/>
              <w:spacing w:before="0"/>
              <w:rPr>
                <w:b/>
                <w:sz w:val="24"/>
              </w:rPr>
            </w:pPr>
          </w:p>
          <w:p>
            <w:pPr>
              <w:pStyle w:val="TableParagraph"/>
              <w:spacing w:before="4"/>
              <w:rPr>
                <w:b/>
                <w:sz w:val="29"/>
              </w:rPr>
            </w:pPr>
          </w:p>
          <w:p>
            <w:pPr>
              <w:pStyle w:val="TableParagraph"/>
              <w:spacing w:before="0"/>
              <w:rPr>
                <w:b/>
                <w:sz w:val="22"/>
              </w:rPr>
            </w:pPr>
            <w:r>
              <w:rPr>
                <w:b/>
                <w:color w:val="231F20"/>
                <w:sz w:val="22"/>
              </w:rPr>
              <w:t>Income Taxes</w:t>
            </w:r>
          </w:p>
        </w:tc>
        <w:tc>
          <w:tcPr>
            <w:tcW w:w="1146" w:type="dxa"/>
            <w:tcBorders>
              <w:top w:val="single" w:sz="4" w:space="0" w:color="231F20"/>
            </w:tcBorders>
          </w:tcPr>
          <w:p>
            <w:pPr>
              <w:pStyle w:val="TableParagraph"/>
              <w:tabs>
                <w:tab w:pos="779" w:val="left" w:leader="none"/>
              </w:tabs>
              <w:rPr>
                <w:sz w:val="20"/>
              </w:rPr>
            </w:pPr>
            <w:r>
              <w:rPr>
                <w:color w:val="231F20"/>
                <w:sz w:val="20"/>
              </w:rPr>
              <w:t>$</w:t>
              <w:tab/>
              <w:t>309</w:t>
            </w:r>
          </w:p>
        </w:tc>
        <w:tc>
          <w:tcPr>
            <w:tcW w:w="134" w:type="dxa"/>
          </w:tcPr>
          <w:p>
            <w:pPr/>
          </w:p>
        </w:tc>
        <w:tc>
          <w:tcPr>
            <w:tcW w:w="1080" w:type="dxa"/>
            <w:tcBorders>
              <w:top w:val="single" w:sz="4" w:space="0" w:color="231F20"/>
            </w:tcBorders>
          </w:tcPr>
          <w:p>
            <w:pPr>
              <w:pStyle w:val="TableParagraph"/>
              <w:tabs>
                <w:tab w:pos="732" w:val="left" w:leader="none"/>
              </w:tabs>
              <w:ind w:right="11"/>
              <w:jc w:val="right"/>
              <w:rPr>
                <w:sz w:val="20"/>
              </w:rPr>
            </w:pPr>
            <w:r>
              <w:rPr>
                <w:color w:val="231F20"/>
                <w:sz w:val="20"/>
              </w:rPr>
              <w:t>$</w:t>
              <w:tab/>
              <w:t>(32)</w:t>
            </w:r>
          </w:p>
        </w:tc>
      </w:tr>
    </w:tbl>
    <w:p>
      <w:pPr>
        <w:pStyle w:val="BodyText"/>
        <w:spacing w:before="7"/>
        <w:rPr>
          <w:b/>
          <w:sz w:val="19"/>
        </w:rPr>
      </w:pPr>
    </w:p>
    <w:p>
      <w:pPr>
        <w:pStyle w:val="BodyText"/>
        <w:spacing w:line="247" w:lineRule="auto"/>
        <w:ind w:left="120" w:right="740"/>
      </w:pPr>
      <w:r>
        <w:rPr>
          <w:color w:val="231F20"/>
        </w:rPr>
        <w:t>The Company’s effective tax rate was approximately 37.4 percent for 2014, compared with 37.6 percent for 2013.</w:t>
      </w:r>
    </w:p>
    <w:p>
      <w:pPr>
        <w:pStyle w:val="BodyText"/>
        <w:rPr>
          <w:sz w:val="19"/>
        </w:rPr>
      </w:pPr>
    </w:p>
    <w:p>
      <w:pPr>
        <w:pStyle w:val="Heading1"/>
        <w:ind w:left="120"/>
      </w:pPr>
      <w:bookmarkStart w:name="Liquidity and Capital Resources " w:id="12"/>
      <w:bookmarkEnd w:id="12"/>
      <w:r>
        <w:rPr>
          <w:b w:val="0"/>
        </w:rPr>
      </w:r>
      <w:r>
        <w:rPr>
          <w:color w:val="231F20"/>
        </w:rPr>
        <w:t>Liquidity and Capital Resources</w:t>
      </w:r>
    </w:p>
    <w:p>
      <w:pPr>
        <w:pStyle w:val="BodyText"/>
        <w:spacing w:before="7"/>
        <w:rPr>
          <w:b/>
          <w:sz w:val="19"/>
        </w:rPr>
      </w:pPr>
    </w:p>
    <w:p>
      <w:pPr>
        <w:pStyle w:val="BodyText"/>
        <w:ind w:left="120"/>
        <w:jc w:val="both"/>
      </w:pPr>
      <w:r>
        <w:rPr>
          <w:color w:val="231F20"/>
        </w:rPr>
        <w:t>Net cash provided by operating activities for 2015, 2014, and 2013 was $3.2 billion, $2.9 billion, and</w:t>
      </w:r>
    </w:p>
    <w:p>
      <w:pPr>
        <w:pStyle w:val="BodyText"/>
        <w:spacing w:line="247" w:lineRule="auto" w:before="6"/>
        <w:ind w:left="120" w:right="117"/>
        <w:jc w:val="both"/>
      </w:pPr>
      <w:r>
        <w:rPr>
          <w:color w:val="231F20"/>
        </w:rPr>
        <w:t>$2.5 billion, respectively. Operating cash inflows are primarily derived from providing air transportation to Customers. The vast majority of tickets are purchased prior to the day on which travel is provided and, in some cases, several months before the anticipated travel date. Operating cash outflows are related to the recurring expenses of airline operations. The operating cash flows for 2015, 2014, and 2013 were impacted primarily by the Company’s results of operations, as adjusted for non- cash items, which increased significantly year-over-year for each period, as well as changes in the Air traffic liability and Accrued liabilities balances. Operating cash flows also can be significantly impacted by the Company’s fuel and interest rate hedge positions and the corresponding cash collateral requirements associated with those positions. The Company has the ability to post aircraft in lieu of cash collateral in certain situations, and did so during 2015. See Note 10 to the Consolidated </w:t>
      </w:r>
      <w:r>
        <w:rPr>
          <w:color w:val="231F20"/>
          <w:spacing w:val="52"/>
        </w:rPr>
        <w:t> </w:t>
      </w:r>
      <w:r>
        <w:rPr>
          <w:color w:val="231F20"/>
        </w:rPr>
        <w:t>Financial</w:t>
      </w:r>
    </w:p>
    <w:p>
      <w:pPr>
        <w:spacing w:after="0" w:line="247" w:lineRule="auto"/>
        <w:jc w:val="both"/>
        <w:sectPr>
          <w:pgSz w:w="11880" w:h="15480"/>
          <w:pgMar w:header="0" w:footer="1240" w:top="1240" w:bottom="1420" w:left="1260" w:right="1260"/>
        </w:sectPr>
      </w:pPr>
    </w:p>
    <w:p>
      <w:pPr>
        <w:pStyle w:val="BodyText"/>
        <w:spacing w:before="74"/>
        <w:ind w:left="100"/>
        <w:jc w:val="both"/>
      </w:pPr>
      <w:r>
        <w:rPr>
          <w:color w:val="231F20"/>
        </w:rPr>
        <w:t>Statements for further information. During 2015 and 2014, the Company provided $570 million and</w:t>
      </w:r>
    </w:p>
    <w:p>
      <w:pPr>
        <w:pStyle w:val="BodyText"/>
        <w:spacing w:line="247" w:lineRule="auto" w:before="6"/>
        <w:ind w:left="100" w:right="117"/>
        <w:jc w:val="both"/>
      </w:pPr>
      <w:r>
        <w:rPr>
          <w:color w:val="231F20"/>
        </w:rPr>
        <w:t>$233 million, respectively, in cash collateral to derivative counterparties. In 2013, the Company received $57 million in cash collateral from derivative counterparties. Cash flows associated with entering into new fuel derivatives, which are also classified as Other, net, operating cash flows, were net outflows of $556 million in 2015, net outflows of $247 million in 2014, and net inflows of $60 million in 2013. Net cash provided by operating activities is primarily used to finance capital expenditures, repay debt, fund stock repurchases, pay dividends, and provide working capital.</w:t>
      </w:r>
    </w:p>
    <w:p>
      <w:pPr>
        <w:pStyle w:val="BodyText"/>
        <w:spacing w:before="9"/>
        <w:rPr>
          <w:sz w:val="20"/>
        </w:rPr>
      </w:pPr>
    </w:p>
    <w:p>
      <w:pPr>
        <w:pStyle w:val="BodyText"/>
        <w:spacing w:line="247" w:lineRule="auto"/>
        <w:ind w:left="100" w:right="117"/>
        <w:jc w:val="both"/>
      </w:pPr>
      <w:r>
        <w:rPr>
          <w:color w:val="231F20"/>
        </w:rPr>
        <w:t>Net cash used in investing activities for 2015, 2014, and 2013 was $1.9 billion, $1.7 billion, and $1.4 billion, respectively. Investing activities in 2015, 2014, and 2013 included payments for new aircraft delivered to the Company, progress payments for future aircraft deliveries, and purchases and sales of short-term and noncurrent investments, which fluctuate primarily based on anticipated working capital needs. Investing activities in 2015 and 2014 also included payments associated with airport construction projects, denoted as Assets constructed for others. See Note 4 to the Consolidated Financial Statements for further information. During 2015, 2014, and 2013, the Company’s purchases and sales of short-term and noncurrent investments resulted in net cash provided of $237 million, $105 million, and $63 million, respectively. The Company currently estimates its 2016 capital expenditures will be approximately $2.0</w:t>
      </w:r>
      <w:r>
        <w:rPr>
          <w:color w:val="231F20"/>
          <w:spacing w:val="-1"/>
        </w:rPr>
        <w:t> </w:t>
      </w:r>
      <w:r>
        <w:rPr>
          <w:color w:val="231F20"/>
        </w:rPr>
        <w:t>billion.</w:t>
      </w:r>
    </w:p>
    <w:p>
      <w:pPr>
        <w:pStyle w:val="BodyText"/>
        <w:spacing w:before="9"/>
        <w:rPr>
          <w:sz w:val="20"/>
        </w:rPr>
      </w:pPr>
    </w:p>
    <w:p>
      <w:pPr>
        <w:pStyle w:val="BodyText"/>
        <w:spacing w:line="247" w:lineRule="auto"/>
        <w:ind w:left="100" w:right="117"/>
        <w:jc w:val="both"/>
      </w:pPr>
      <w:r>
        <w:rPr>
          <w:color w:val="231F20"/>
        </w:rPr>
        <w:t>Net cash used in financing activities for 2015, 2014, and 2013 was $1.0 billion, $1.2 billion, and $851 million, respectively. During 2015, the Company repaid $213 million in debt and capital lease obligations, compared with $561 million and $313 million during 2014 and 2013, respectively. During 2015, the Company issued $500 million 2.65 percent senior unsecured notes due 2020 under its shelf registration statement, compared with the 2014 issuance of $300 million 2.75 percent senior unsecured notes due 2019 under its shelf registration statement. See Note 6 to the Consolidated Financial Statements for further information. The Company repurchased approximately $1.2 billion of its outstanding common stock through authorized share repurchases during 2015, compared with repurchases of $955 million and $540 million during 2014 and 2013, respectively. The Company also paid $180 million in dividends to Shareholders during 2015, compared to $139 million in 2014 and</w:t>
      </w:r>
    </w:p>
    <w:p>
      <w:pPr>
        <w:pStyle w:val="BodyText"/>
        <w:spacing w:line="247" w:lineRule="auto"/>
        <w:ind w:left="100" w:right="117"/>
        <w:jc w:val="both"/>
      </w:pPr>
      <w:r>
        <w:rPr>
          <w:color w:val="231F20"/>
        </w:rPr>
        <w:t>$71 million in 2013. Although the Company currently intends to continue paying dividends on a quarterly basis for the foreseeable future, the Company’s Board of Directors may change the timing, amount, and payment of dividends on the basis of results of operations, financial condition, cash requirements, future prospects, and other factors deemed relevant by the Board of Directors.</w:t>
      </w:r>
    </w:p>
    <w:p>
      <w:pPr>
        <w:pStyle w:val="BodyText"/>
        <w:spacing w:before="10"/>
        <w:rPr>
          <w:sz w:val="20"/>
        </w:rPr>
      </w:pPr>
    </w:p>
    <w:p>
      <w:pPr>
        <w:pStyle w:val="BodyText"/>
        <w:spacing w:line="247" w:lineRule="auto"/>
        <w:ind w:left="100" w:right="117"/>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w:t>
      </w:r>
      <w:r>
        <w:rPr>
          <w:color w:val="231F20"/>
          <w:spacing w:val="-2"/>
        </w:rPr>
        <w:t> </w:t>
      </w:r>
      <w:r>
        <w:rPr>
          <w:color w:val="231F20"/>
        </w:rPr>
        <w:t>purposes.</w:t>
      </w:r>
    </w:p>
    <w:p>
      <w:pPr>
        <w:pStyle w:val="BodyText"/>
        <w:spacing w:before="9"/>
        <w:rPr>
          <w:sz w:val="20"/>
        </w:rPr>
      </w:pPr>
    </w:p>
    <w:p>
      <w:pPr>
        <w:pStyle w:val="BodyText"/>
        <w:spacing w:line="247" w:lineRule="auto"/>
        <w:ind w:left="100" w:right="117"/>
        <w:jc w:val="both"/>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112.5 basis points. The facility contains a financial covenant requiring a minimum coverage ratio of adjusted pre-tax income to fixed obligations, as defined. As of December 31, 2015, the Company was in compliance with this covenant and there were no amounts outstanding under the revolving credit facility.</w:t>
      </w:r>
    </w:p>
    <w:p>
      <w:pPr>
        <w:pStyle w:val="BodyText"/>
        <w:spacing w:before="9"/>
        <w:rPr>
          <w:sz w:val="20"/>
        </w:rPr>
      </w:pPr>
    </w:p>
    <w:p>
      <w:pPr>
        <w:pStyle w:val="BodyText"/>
        <w:spacing w:line="247" w:lineRule="auto"/>
        <w:ind w:left="100" w:right="118"/>
        <w:jc w:val="both"/>
      </w:pPr>
      <w:r>
        <w:rPr>
          <w:color w:val="231F20"/>
        </w:rPr>
        <w:t>As of May 11, 2015, the Company completed its previously authorized $1.0 billion share repurchase program, bringing in a total of 28.0 million shares over the course of the program. Furthermore, 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May 13, 2015, the Company’s Board of Directors approved a new $1.5 billion share repurchase program. Following the Board of Directors’ authorization of the Company’s new $1.5 billion share repurchase program, the Company entered into the following share repurchases:</w:t>
      </w:r>
    </w:p>
    <w:p>
      <w:pPr>
        <w:pStyle w:val="BodyText"/>
        <w:spacing w:before="8"/>
        <w:rPr>
          <w:sz w:val="1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400"/>
        <w:gridCol w:w="1800"/>
        <w:gridCol w:w="300"/>
        <w:gridCol w:w="1800"/>
      </w:tblGrid>
      <w:tr>
        <w:trPr>
          <w:trHeight w:val="256" w:hRule="exact"/>
        </w:trPr>
        <w:tc>
          <w:tcPr>
            <w:tcW w:w="4820" w:type="dxa"/>
            <w:tcBorders>
              <w:bottom w:val="single" w:sz="8" w:space="0" w:color="231F20"/>
            </w:tcBorders>
          </w:tcPr>
          <w:p>
            <w:pPr>
              <w:pStyle w:val="TableParagraph"/>
              <w:spacing w:line="229" w:lineRule="exact" w:before="0"/>
              <w:rPr>
                <w:b/>
                <w:sz w:val="20"/>
              </w:rPr>
            </w:pPr>
            <w:r>
              <w:rPr>
                <w:b/>
                <w:color w:val="231F20"/>
                <w:sz w:val="20"/>
              </w:rPr>
              <w:t>Share repurchases</w:t>
            </w:r>
          </w:p>
        </w:tc>
        <w:tc>
          <w:tcPr>
            <w:tcW w:w="400" w:type="dxa"/>
          </w:tcPr>
          <w:p>
            <w:pPr/>
          </w:p>
        </w:tc>
        <w:tc>
          <w:tcPr>
            <w:tcW w:w="1800" w:type="dxa"/>
            <w:tcBorders>
              <w:bottom w:val="single" w:sz="8" w:space="0" w:color="231F20"/>
            </w:tcBorders>
          </w:tcPr>
          <w:p>
            <w:pPr>
              <w:pStyle w:val="TableParagraph"/>
              <w:spacing w:line="229" w:lineRule="exact" w:before="0"/>
              <w:ind w:left="230"/>
              <w:rPr>
                <w:b/>
                <w:sz w:val="20"/>
              </w:rPr>
            </w:pPr>
            <w:r>
              <w:rPr>
                <w:b/>
                <w:color w:val="231F20"/>
                <w:sz w:val="20"/>
              </w:rPr>
              <w:t>Shares received</w:t>
            </w:r>
          </w:p>
        </w:tc>
        <w:tc>
          <w:tcPr>
            <w:tcW w:w="300" w:type="dxa"/>
            <w:tcBorders>
              <w:bottom w:val="single" w:sz="8" w:space="0" w:color="231F20"/>
            </w:tcBorders>
          </w:tcPr>
          <w:p>
            <w:pPr/>
          </w:p>
        </w:tc>
        <w:tc>
          <w:tcPr>
            <w:tcW w:w="1800" w:type="dxa"/>
            <w:tcBorders>
              <w:bottom w:val="single" w:sz="8" w:space="0" w:color="231F20"/>
            </w:tcBorders>
          </w:tcPr>
          <w:p>
            <w:pPr>
              <w:pStyle w:val="TableParagraph"/>
              <w:spacing w:line="229" w:lineRule="exact" w:before="0"/>
              <w:ind w:left="468"/>
              <w:rPr>
                <w:b/>
                <w:sz w:val="20"/>
              </w:rPr>
            </w:pPr>
            <w:r>
              <w:rPr>
                <w:b/>
                <w:color w:val="231F20"/>
                <w:sz w:val="20"/>
              </w:rPr>
              <w:t>Cash paid</w:t>
            </w:r>
          </w:p>
        </w:tc>
      </w:tr>
      <w:tr>
        <w:trPr>
          <w:trHeight w:val="310" w:hRule="exact"/>
        </w:trPr>
        <w:tc>
          <w:tcPr>
            <w:tcW w:w="4820" w:type="dxa"/>
            <w:tcBorders>
              <w:top w:val="single" w:sz="8" w:space="0" w:color="231F20"/>
            </w:tcBorders>
          </w:tcPr>
          <w:p>
            <w:pPr>
              <w:pStyle w:val="TableParagraph"/>
              <w:rPr>
                <w:sz w:val="20"/>
              </w:rPr>
            </w:pPr>
            <w:r>
              <w:rPr>
                <w:color w:val="231F20"/>
                <w:sz w:val="20"/>
              </w:rPr>
              <w:t>Second Quarter Accelerated Share Repurchase Program</w:t>
            </w:r>
          </w:p>
        </w:tc>
        <w:tc>
          <w:tcPr>
            <w:tcW w:w="400" w:type="dxa"/>
          </w:tcPr>
          <w:p>
            <w:pPr/>
          </w:p>
        </w:tc>
        <w:tc>
          <w:tcPr>
            <w:tcW w:w="1800" w:type="dxa"/>
            <w:tcBorders>
              <w:top w:val="single" w:sz="8" w:space="0" w:color="231F20"/>
            </w:tcBorders>
          </w:tcPr>
          <w:p>
            <w:pPr>
              <w:pStyle w:val="TableParagraph"/>
              <w:jc w:val="right"/>
              <w:rPr>
                <w:sz w:val="20"/>
              </w:rPr>
            </w:pPr>
            <w:r>
              <w:rPr>
                <w:color w:val="231F20"/>
                <w:sz w:val="20"/>
              </w:rPr>
              <w:t>8,085,077</w:t>
            </w:r>
          </w:p>
        </w:tc>
        <w:tc>
          <w:tcPr>
            <w:tcW w:w="300" w:type="dxa"/>
            <w:tcBorders>
              <w:top w:val="single" w:sz="8" w:space="0" w:color="231F20"/>
            </w:tcBorders>
          </w:tcPr>
          <w:p>
            <w:pPr/>
          </w:p>
        </w:tc>
        <w:tc>
          <w:tcPr>
            <w:tcW w:w="1800" w:type="dxa"/>
            <w:tcBorders>
              <w:top w:val="single" w:sz="8" w:space="0" w:color="231F20"/>
            </w:tcBorders>
          </w:tcPr>
          <w:p>
            <w:pPr>
              <w:pStyle w:val="TableParagraph"/>
              <w:tabs>
                <w:tab w:pos="799" w:val="left" w:leader="none"/>
              </w:tabs>
              <w:jc w:val="right"/>
              <w:rPr>
                <w:sz w:val="20"/>
              </w:rPr>
            </w:pPr>
            <w:r>
              <w:rPr>
                <w:color w:val="231F20"/>
                <w:sz w:val="20"/>
              </w:rPr>
              <w:t>$</w:t>
              <w:tab/>
              <w:t>300,000,000</w:t>
            </w:r>
          </w:p>
        </w:tc>
      </w:tr>
      <w:tr>
        <w:trPr>
          <w:trHeight w:val="315" w:hRule="exact"/>
        </w:trPr>
        <w:tc>
          <w:tcPr>
            <w:tcW w:w="4820" w:type="dxa"/>
            <w:shd w:val="clear" w:color="auto" w:fill="D1D3D4"/>
          </w:tcPr>
          <w:p>
            <w:pPr>
              <w:pStyle w:val="TableParagraph"/>
              <w:rPr>
                <w:sz w:val="20"/>
              </w:rPr>
            </w:pPr>
            <w:r>
              <w:rPr>
                <w:color w:val="231F20"/>
                <w:sz w:val="20"/>
              </w:rPr>
              <w:t>Third Quarter Accelerated Share Repurchase Program</w:t>
            </w:r>
          </w:p>
        </w:tc>
        <w:tc>
          <w:tcPr>
            <w:tcW w:w="400" w:type="dxa"/>
            <w:shd w:val="clear" w:color="auto" w:fill="D1D3D4"/>
          </w:tcPr>
          <w:p>
            <w:pPr/>
          </w:p>
        </w:tc>
        <w:tc>
          <w:tcPr>
            <w:tcW w:w="1800" w:type="dxa"/>
            <w:tcBorders>
              <w:bottom w:val="single" w:sz="4" w:space="0" w:color="231F20"/>
            </w:tcBorders>
            <w:shd w:val="clear" w:color="auto" w:fill="D1D3D4"/>
          </w:tcPr>
          <w:p>
            <w:pPr>
              <w:pStyle w:val="TableParagraph"/>
              <w:jc w:val="right"/>
              <w:rPr>
                <w:sz w:val="20"/>
              </w:rPr>
            </w:pPr>
            <w:r>
              <w:rPr>
                <w:color w:val="231F20"/>
                <w:sz w:val="20"/>
              </w:rPr>
              <w:t>12,892,204</w:t>
            </w:r>
          </w:p>
        </w:tc>
        <w:tc>
          <w:tcPr>
            <w:tcW w:w="300" w:type="dxa"/>
            <w:shd w:val="clear" w:color="auto" w:fill="D1D3D4"/>
          </w:tcPr>
          <w:p>
            <w:pPr/>
          </w:p>
        </w:tc>
        <w:tc>
          <w:tcPr>
            <w:tcW w:w="1800" w:type="dxa"/>
            <w:tcBorders>
              <w:bottom w:val="single" w:sz="4" w:space="0" w:color="231F20"/>
            </w:tcBorders>
            <w:shd w:val="clear" w:color="auto" w:fill="D1D3D4"/>
          </w:tcPr>
          <w:p>
            <w:pPr>
              <w:pStyle w:val="TableParagraph"/>
              <w:jc w:val="right"/>
              <w:rPr>
                <w:sz w:val="20"/>
              </w:rPr>
            </w:pPr>
            <w:r>
              <w:rPr>
                <w:color w:val="231F20"/>
                <w:sz w:val="20"/>
              </w:rPr>
              <w:t>500,000,000</w:t>
            </w:r>
          </w:p>
        </w:tc>
      </w:tr>
      <w:tr>
        <w:trPr>
          <w:trHeight w:val="360" w:hRule="exact"/>
        </w:trPr>
        <w:tc>
          <w:tcPr>
            <w:tcW w:w="4820" w:type="dxa"/>
          </w:tcPr>
          <w:p>
            <w:pPr>
              <w:pStyle w:val="TableParagraph"/>
              <w:spacing w:before="73"/>
              <w:rPr>
                <w:sz w:val="20"/>
              </w:rPr>
            </w:pPr>
            <w:r>
              <w:rPr>
                <w:color w:val="231F20"/>
                <w:sz w:val="20"/>
              </w:rPr>
              <w:t>Total</w:t>
            </w:r>
          </w:p>
        </w:tc>
        <w:tc>
          <w:tcPr>
            <w:tcW w:w="400" w:type="dxa"/>
          </w:tcPr>
          <w:p>
            <w:pPr/>
          </w:p>
        </w:tc>
        <w:tc>
          <w:tcPr>
            <w:tcW w:w="1800" w:type="dxa"/>
            <w:tcBorders>
              <w:top w:val="single" w:sz="4" w:space="0" w:color="231F20"/>
              <w:bottom w:val="single" w:sz="4" w:space="0" w:color="231F20"/>
            </w:tcBorders>
          </w:tcPr>
          <w:p>
            <w:pPr>
              <w:pStyle w:val="TableParagraph"/>
              <w:jc w:val="right"/>
              <w:rPr>
                <w:sz w:val="20"/>
              </w:rPr>
            </w:pPr>
            <w:r>
              <w:rPr>
                <w:color w:val="231F20"/>
                <w:sz w:val="20"/>
              </w:rPr>
              <w:t>20,977,281</w:t>
            </w:r>
          </w:p>
        </w:tc>
        <w:tc>
          <w:tcPr>
            <w:tcW w:w="300" w:type="dxa"/>
          </w:tcPr>
          <w:p>
            <w:pPr/>
          </w:p>
        </w:tc>
        <w:tc>
          <w:tcPr>
            <w:tcW w:w="1800" w:type="dxa"/>
            <w:tcBorders>
              <w:top w:val="single" w:sz="4" w:space="0" w:color="231F20"/>
              <w:bottom w:val="single" w:sz="4" w:space="0" w:color="231F20"/>
            </w:tcBorders>
          </w:tcPr>
          <w:p>
            <w:pPr>
              <w:pStyle w:val="TableParagraph"/>
              <w:tabs>
                <w:tab w:pos="799" w:val="left" w:leader="none"/>
              </w:tabs>
              <w:spacing w:before="68"/>
              <w:jc w:val="right"/>
              <w:rPr>
                <w:sz w:val="20"/>
              </w:rPr>
            </w:pPr>
            <w:r>
              <w:rPr>
                <w:color w:val="231F20"/>
                <w:sz w:val="20"/>
              </w:rPr>
              <w:t>$</w:t>
              <w:tab/>
              <w:t>800,000,000</w:t>
            </w:r>
          </w:p>
        </w:tc>
      </w:tr>
    </w:tbl>
    <w:p>
      <w:pPr>
        <w:pStyle w:val="BodyText"/>
        <w:spacing w:before="7"/>
        <w:rPr>
          <w:sz w:val="21"/>
        </w:rPr>
      </w:pPr>
    </w:p>
    <w:p>
      <w:pPr>
        <w:pStyle w:val="BodyText"/>
        <w:spacing w:line="247" w:lineRule="auto"/>
        <w:ind w:left="100" w:right="118"/>
        <w:jc w:val="both"/>
      </w:pPr>
      <w:r>
        <w:rPr/>
        <w:pict>
          <v:line style="position:absolute;mso-position-horizontal-relative:page;mso-position-vertical-relative:paragraph;z-index:-392248" from="330pt,-14.930493pt" to="420pt,-14.930493pt" stroked="true" strokeweight=".5pt" strokecolor="#231f20">
            <v:stroke dashstyle="solid"/>
            <w10:wrap type="none"/>
          </v:line>
        </w:pict>
      </w:r>
      <w:r>
        <w:rPr/>
        <w:pict>
          <v:line style="position:absolute;mso-position-horizontal-relative:page;mso-position-vertical-relative:paragraph;z-index:-392224" from="435pt,-14.930493pt" to="525pt,-14.930493pt" stroked="true" strokeweight=".5pt" strokecolor="#231f20">
            <v:stroke dashstyle="solid"/>
            <w10:wrap type="none"/>
          </v:line>
        </w:pict>
      </w:r>
      <w:r>
        <w:rPr>
          <w:color w:val="231F20"/>
        </w:rPr>
        <w:t>On July 8, 2015, Moody’s upgraded the Company’s secured equipment trust certificates and its senior unsecured debt rating to “Baa1” from “Baa2.” The upgrade of the Company’s senior unsecured debt rating was based on improving credit metrics, with the Company having meaningfully strengthened its earnings, cash flow and financial leverage in recent years while executing the AirTran integration.</w:t>
      </w:r>
    </w:p>
    <w:p>
      <w:pPr>
        <w:pStyle w:val="BodyText"/>
        <w:spacing w:line="247" w:lineRule="auto" w:before="198"/>
        <w:ind w:left="100" w:right="117"/>
        <w:jc w:val="both"/>
      </w:pPr>
      <w:r>
        <w:rPr>
          <w:color w:val="231F20"/>
        </w:rPr>
        <w:t>On October 30, 2015, Fitch upgraded the Company’s debt rating to “BBB+” from “BBB” and revised the rating outlook to positive from stable. Fitch noted the Company’s improved credit portfolio due to the integration of AirTran, its continued pay down of debt, and its credit metrics, which have returned to pre-recession levels.</w:t>
      </w:r>
    </w:p>
    <w:p>
      <w:pPr>
        <w:pStyle w:val="BodyText"/>
        <w:spacing w:before="198"/>
        <w:ind w:left="100"/>
        <w:jc w:val="both"/>
      </w:pPr>
      <w:r>
        <w:rPr>
          <w:color w:val="231F20"/>
        </w:rPr>
        <w:t>Standard and Poor’s credit rating for the Company is ‘BBB’ and is unchanged from 2014.</w:t>
      </w:r>
    </w:p>
    <w:p>
      <w:pPr>
        <w:pStyle w:val="BodyText"/>
        <w:spacing w:line="247" w:lineRule="auto" w:before="206"/>
        <w:ind w:left="100" w:right="117"/>
        <w:jc w:val="both"/>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of 1986, as amended, in 2015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1"/>
        <w:spacing w:line="247" w:lineRule="auto" w:before="199"/>
        <w:ind w:right="131"/>
        <w:jc w:val="left"/>
      </w:pPr>
      <w:bookmarkStart w:name="Off-Balance Sheet Arrangements, Contract" w:id="13"/>
      <w:bookmarkEnd w:id="13"/>
      <w:r>
        <w:rPr>
          <w:b w:val="0"/>
        </w:rPr>
      </w:r>
      <w:r>
        <w:rPr>
          <w:color w:val="231F20"/>
        </w:rPr>
        <w:t>Off-Balance Sheet Arrangements, Contractual Obligations, and Contingent Liabilities and Commitments</w:t>
      </w:r>
    </w:p>
    <w:p>
      <w:pPr>
        <w:pStyle w:val="BodyText"/>
        <w:spacing w:line="247" w:lineRule="auto" w:before="199"/>
        <w:ind w:left="100" w:right="117"/>
        <w:jc w:val="both"/>
      </w:pPr>
      <w:r>
        <w:rPr>
          <w:color w:val="231F20"/>
        </w:rPr>
        <w:t>The Company has contractual obligations and commitments primarily with regard to future purchases of aircraft, payment of debt, and lease arrangements. During December 2015, the Company and Boeing revised the Company’s future firm aircraft order book to reflect 33 additional -800s, and the conversion of its remaining 25 -700 firm orders to -800s.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w:t>
      </w:r>
    </w:p>
    <w:p>
      <w:pPr>
        <w:pStyle w:val="BodyText"/>
        <w:spacing w:line="247" w:lineRule="auto" w:before="199"/>
        <w:ind w:left="100" w:right="118"/>
        <w:jc w:val="both"/>
      </w:pPr>
      <w:r>
        <w:rPr>
          <w:color w:val="231F20"/>
        </w:rPr>
        <w:t>The leasing of aircraft (including the sale and leaseback of aircraft) provides flexibility to the Company as  a  source  of financing.  Although the  Company  is  responsible for all maintenance,  insurance, and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expense associated with operating leased aircraft, and retains the risk of loss for these aircraft, it has  not made guarantees to the lessors regarding the residual value (or market value) of the aircraft at the end of the lease terms. As of December 31, 2015, the Company had 201 leased aircraft, including       78 B717s subleased to Delta. Of these leased aircraft, 171 are under operating leases, including           76 B717s subleased to Delta. Assets and obligations under operating leases are not included in the Company’s Consolidated Balance Sheet. Disclosure of the contractual obligations associated with the Company’s leased aircraft is included below.</w:t>
      </w:r>
    </w:p>
    <w:p>
      <w:pPr>
        <w:pStyle w:val="BodyText"/>
        <w:spacing w:before="9"/>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$184 million at December 31, 2015.</w:t>
      </w:r>
    </w:p>
    <w:p>
      <w:pPr>
        <w:pStyle w:val="BodyText"/>
        <w:spacing w:before="9"/>
        <w:rPr>
          <w:sz w:val="20"/>
        </w:rPr>
      </w:pPr>
    </w:p>
    <w:p>
      <w:pPr>
        <w:pStyle w:val="BodyText"/>
        <w:spacing w:line="247" w:lineRule="auto"/>
        <w:ind w:left="100" w:right="118"/>
        <w:jc w:val="both"/>
      </w:pPr>
      <w:r>
        <w:rPr>
          <w:color w:val="231F20"/>
        </w:rPr>
        <w:t>The following table aggregates the Company’s material expected contractual obligations and commitments as of December 31, 2015:</w:t>
      </w:r>
    </w:p>
    <w:p>
      <w:pPr>
        <w:spacing w:before="198" w:after="27"/>
        <w:ind w:left="4670" w:right="0" w:firstLine="0"/>
        <w:jc w:val="left"/>
        <w:rPr>
          <w:b/>
          <w:sz w:val="20"/>
        </w:rPr>
      </w:pPr>
      <w:r>
        <w:rPr>
          <w:b/>
          <w:color w:val="231F20"/>
          <w:sz w:val="20"/>
        </w:rPr>
        <w:t>Obligations by period (in millions)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00"/>
        <w:gridCol w:w="1080"/>
        <w:gridCol w:w="200"/>
        <w:gridCol w:w="1080"/>
        <w:gridCol w:w="200"/>
        <w:gridCol w:w="1080"/>
        <w:gridCol w:w="193"/>
        <w:gridCol w:w="1094"/>
        <w:gridCol w:w="193"/>
        <w:gridCol w:w="1040"/>
      </w:tblGrid>
      <w:tr>
        <w:trPr>
          <w:trHeight w:val="280" w:hRule="exact"/>
        </w:trPr>
        <w:tc>
          <w:tcPr>
            <w:tcW w:w="2760" w:type="dxa"/>
            <w:tcBorders>
              <w:bottom w:val="single" w:sz="8" w:space="0" w:color="231F20"/>
            </w:tcBorders>
          </w:tcPr>
          <w:p>
            <w:pPr>
              <w:pStyle w:val="TableParagraph"/>
              <w:spacing w:before="23"/>
              <w:ind w:left="60"/>
              <w:rPr>
                <w:b/>
                <w:sz w:val="20"/>
              </w:rPr>
            </w:pPr>
            <w:r>
              <w:rPr>
                <w:b/>
                <w:color w:val="231F20"/>
                <w:sz w:val="20"/>
              </w:rPr>
              <w:t>Contractual obligations</w:t>
            </w:r>
          </w:p>
        </w:tc>
        <w:tc>
          <w:tcPr>
            <w:tcW w:w="20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2016</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2017 - 2018</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2019 - 2020</w:t>
            </w:r>
          </w:p>
        </w:tc>
        <w:tc>
          <w:tcPr>
            <w:tcW w:w="193" w:type="dxa"/>
            <w:tcBorders>
              <w:top w:val="single" w:sz="8" w:space="0" w:color="231F20"/>
            </w:tcBorders>
          </w:tcPr>
          <w:p>
            <w:pPr/>
          </w:p>
        </w:tc>
        <w:tc>
          <w:tcPr>
            <w:tcW w:w="1094" w:type="dxa"/>
            <w:tcBorders>
              <w:top w:val="single" w:sz="8" w:space="0" w:color="231F20"/>
              <w:bottom w:val="single" w:sz="8" w:space="0" w:color="231F20"/>
            </w:tcBorders>
          </w:tcPr>
          <w:p>
            <w:pPr>
              <w:pStyle w:val="TableParagraph"/>
              <w:spacing w:before="13"/>
              <w:rPr>
                <w:b/>
                <w:sz w:val="20"/>
              </w:rPr>
            </w:pPr>
            <w:r>
              <w:rPr>
                <w:b/>
                <w:color w:val="231F20"/>
                <w:sz w:val="20"/>
              </w:rPr>
              <w:t>Beyond</w:t>
            </w:r>
            <w:r>
              <w:rPr>
                <w:b/>
                <w:color w:val="231F20"/>
                <w:spacing w:val="-2"/>
                <w:sz w:val="20"/>
              </w:rPr>
              <w:t> </w:t>
            </w:r>
            <w:r>
              <w:rPr>
                <w:b/>
                <w:color w:val="231F20"/>
                <w:sz w:val="20"/>
              </w:rPr>
              <w:t>2020</w:t>
            </w:r>
          </w:p>
        </w:tc>
        <w:tc>
          <w:tcPr>
            <w:tcW w:w="193" w:type="dxa"/>
            <w:tcBorders>
              <w:top w:val="single" w:sz="8" w:space="0" w:color="231F20"/>
            </w:tcBorders>
          </w:tcPr>
          <w:p>
            <w:pPr/>
          </w:p>
        </w:tc>
        <w:tc>
          <w:tcPr>
            <w:tcW w:w="1040" w:type="dxa"/>
            <w:tcBorders>
              <w:top w:val="single" w:sz="8" w:space="0" w:color="231F20"/>
              <w:bottom w:val="single" w:sz="8" w:space="0" w:color="231F20"/>
            </w:tcBorders>
          </w:tcPr>
          <w:p>
            <w:pPr>
              <w:pStyle w:val="TableParagraph"/>
              <w:spacing w:before="13"/>
              <w:ind w:left="292"/>
              <w:rPr>
                <w:b/>
                <w:sz w:val="20"/>
              </w:rPr>
            </w:pPr>
            <w:r>
              <w:rPr>
                <w:b/>
                <w:color w:val="231F20"/>
                <w:sz w:val="20"/>
              </w:rPr>
              <w:t>Total</w:t>
            </w:r>
          </w:p>
        </w:tc>
      </w:tr>
      <w:tr>
        <w:trPr>
          <w:trHeight w:val="290" w:hRule="exact"/>
        </w:trPr>
        <w:tc>
          <w:tcPr>
            <w:tcW w:w="2760" w:type="dxa"/>
            <w:tcBorders>
              <w:top w:val="single" w:sz="8" w:space="0" w:color="231F20"/>
            </w:tcBorders>
            <w:shd w:val="clear" w:color="auto" w:fill="D1D3D4"/>
          </w:tcPr>
          <w:p>
            <w:pPr>
              <w:pStyle w:val="TableParagraph"/>
              <w:spacing w:before="33"/>
              <w:ind w:left="60"/>
              <w:rPr>
                <w:sz w:val="20"/>
              </w:rPr>
            </w:pPr>
            <w:r>
              <w:rPr>
                <w:color w:val="231F20"/>
                <w:sz w:val="20"/>
              </w:rPr>
              <w:t>Long-term debt (1)</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33"/>
              <w:ind w:right="79"/>
              <w:jc w:val="right"/>
              <w:rPr>
                <w:sz w:val="20"/>
              </w:rPr>
            </w:pPr>
            <w:r>
              <w:rPr>
                <w:color w:val="231F20"/>
                <w:sz w:val="20"/>
              </w:rPr>
              <w:t>$</w:t>
              <w:tab/>
            </w:r>
            <w:r>
              <w:rPr>
                <w:color w:val="231F20"/>
                <w:w w:val="95"/>
                <w:sz w:val="20"/>
              </w:rPr>
              <w:t>585</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33"/>
              <w:ind w:right="79"/>
              <w:jc w:val="right"/>
              <w:rPr>
                <w:sz w:val="20"/>
              </w:rPr>
            </w:pPr>
            <w:r>
              <w:rPr>
                <w:color w:val="231F20"/>
                <w:sz w:val="20"/>
              </w:rPr>
              <w:t>$</w:t>
              <w:tab/>
            </w:r>
            <w:r>
              <w:rPr>
                <w:color w:val="231F20"/>
                <w:w w:val="95"/>
                <w:sz w:val="20"/>
              </w:rPr>
              <w:t>732</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558" w:val="left" w:leader="none"/>
              </w:tabs>
              <w:spacing w:before="33"/>
              <w:ind w:right="79"/>
              <w:jc w:val="right"/>
              <w:rPr>
                <w:sz w:val="20"/>
              </w:rPr>
            </w:pPr>
            <w:r>
              <w:rPr>
                <w:color w:val="231F20"/>
                <w:sz w:val="20"/>
              </w:rPr>
              <w:t>$</w:t>
              <w:tab/>
            </w:r>
            <w:r>
              <w:rPr>
                <w:color w:val="231F20"/>
                <w:w w:val="95"/>
                <w:sz w:val="20"/>
              </w:rPr>
              <w:t>1,202</w:t>
            </w:r>
          </w:p>
        </w:tc>
        <w:tc>
          <w:tcPr>
            <w:tcW w:w="193" w:type="dxa"/>
            <w:shd w:val="clear" w:color="auto" w:fill="D1D3D4"/>
          </w:tcPr>
          <w:p>
            <w:pPr/>
          </w:p>
        </w:tc>
        <w:tc>
          <w:tcPr>
            <w:tcW w:w="1094" w:type="dxa"/>
            <w:tcBorders>
              <w:top w:val="single" w:sz="8" w:space="0" w:color="231F20"/>
            </w:tcBorders>
            <w:shd w:val="clear" w:color="auto" w:fill="D1D3D4"/>
          </w:tcPr>
          <w:p>
            <w:pPr>
              <w:pStyle w:val="TableParagraph"/>
              <w:tabs>
                <w:tab w:pos="712" w:val="left" w:leader="none"/>
              </w:tabs>
              <w:spacing w:before="33"/>
              <w:ind w:left="7"/>
              <w:rPr>
                <w:sz w:val="20"/>
              </w:rPr>
            </w:pPr>
            <w:r>
              <w:rPr>
                <w:color w:val="231F20"/>
                <w:sz w:val="20"/>
              </w:rPr>
              <w:t>$</w:t>
              <w:tab/>
              <w:t>239</w:t>
            </w:r>
          </w:p>
        </w:tc>
        <w:tc>
          <w:tcPr>
            <w:tcW w:w="193" w:type="dxa"/>
            <w:shd w:val="clear" w:color="auto" w:fill="D1D3D4"/>
          </w:tcPr>
          <w:p>
            <w:pPr/>
          </w:p>
        </w:tc>
        <w:tc>
          <w:tcPr>
            <w:tcW w:w="1040" w:type="dxa"/>
            <w:tcBorders>
              <w:top w:val="single" w:sz="8" w:space="0" w:color="231F20"/>
            </w:tcBorders>
            <w:shd w:val="clear" w:color="auto" w:fill="D1D3D4"/>
          </w:tcPr>
          <w:p>
            <w:pPr>
              <w:pStyle w:val="TableParagraph"/>
              <w:tabs>
                <w:tab w:pos="518" w:val="left" w:leader="none"/>
              </w:tabs>
              <w:spacing w:before="33"/>
              <w:ind w:right="79"/>
              <w:jc w:val="right"/>
              <w:rPr>
                <w:sz w:val="20"/>
              </w:rPr>
            </w:pPr>
            <w:r>
              <w:rPr>
                <w:color w:val="231F20"/>
                <w:sz w:val="20"/>
              </w:rPr>
              <w:t>$</w:t>
              <w:tab/>
            </w:r>
            <w:r>
              <w:rPr>
                <w:color w:val="231F20"/>
                <w:w w:val="95"/>
                <w:sz w:val="20"/>
              </w:rPr>
              <w:t>2,758</w:t>
            </w:r>
          </w:p>
        </w:tc>
      </w:tr>
      <w:tr>
        <w:trPr>
          <w:trHeight w:val="280" w:hRule="exact"/>
        </w:trPr>
        <w:tc>
          <w:tcPr>
            <w:tcW w:w="2760" w:type="dxa"/>
          </w:tcPr>
          <w:p>
            <w:pPr>
              <w:pStyle w:val="TableParagraph"/>
              <w:spacing w:before="33"/>
              <w:ind w:left="60"/>
              <w:rPr>
                <w:sz w:val="20"/>
              </w:rPr>
            </w:pPr>
            <w:r>
              <w:rPr>
                <w:color w:val="231F20"/>
                <w:sz w:val="20"/>
              </w:rPr>
              <w:t>Interest commitments - fixed (2)</w:t>
            </w:r>
          </w:p>
        </w:tc>
        <w:tc>
          <w:tcPr>
            <w:tcW w:w="200" w:type="dxa"/>
          </w:tcPr>
          <w:p>
            <w:pPr/>
          </w:p>
        </w:tc>
        <w:tc>
          <w:tcPr>
            <w:tcW w:w="1080" w:type="dxa"/>
          </w:tcPr>
          <w:p>
            <w:pPr>
              <w:pStyle w:val="TableParagraph"/>
              <w:spacing w:before="33"/>
              <w:ind w:right="77"/>
              <w:jc w:val="right"/>
              <w:rPr>
                <w:sz w:val="20"/>
              </w:rPr>
            </w:pPr>
            <w:r>
              <w:rPr>
                <w:color w:val="231F20"/>
                <w:w w:val="95"/>
                <w:sz w:val="20"/>
              </w:rPr>
              <w:t>108</w:t>
            </w:r>
          </w:p>
        </w:tc>
        <w:tc>
          <w:tcPr>
            <w:tcW w:w="200" w:type="dxa"/>
          </w:tcPr>
          <w:p>
            <w:pPr/>
          </w:p>
        </w:tc>
        <w:tc>
          <w:tcPr>
            <w:tcW w:w="1080" w:type="dxa"/>
          </w:tcPr>
          <w:p>
            <w:pPr>
              <w:pStyle w:val="TableParagraph"/>
              <w:spacing w:before="33"/>
              <w:ind w:right="77"/>
              <w:jc w:val="right"/>
              <w:rPr>
                <w:sz w:val="20"/>
              </w:rPr>
            </w:pPr>
            <w:r>
              <w:rPr>
                <w:color w:val="231F20"/>
                <w:w w:val="95"/>
                <w:sz w:val="20"/>
              </w:rPr>
              <w:t>115</w:t>
            </w:r>
          </w:p>
        </w:tc>
        <w:tc>
          <w:tcPr>
            <w:tcW w:w="200" w:type="dxa"/>
          </w:tcPr>
          <w:p>
            <w:pPr/>
          </w:p>
        </w:tc>
        <w:tc>
          <w:tcPr>
            <w:tcW w:w="1080" w:type="dxa"/>
          </w:tcPr>
          <w:p>
            <w:pPr>
              <w:pStyle w:val="TableParagraph"/>
              <w:spacing w:before="33"/>
              <w:ind w:right="77"/>
              <w:jc w:val="right"/>
              <w:rPr>
                <w:sz w:val="20"/>
              </w:rPr>
            </w:pPr>
            <w:r>
              <w:rPr>
                <w:color w:val="231F20"/>
                <w:w w:val="95"/>
                <w:sz w:val="20"/>
              </w:rPr>
              <w:t>57</w:t>
            </w:r>
          </w:p>
        </w:tc>
        <w:tc>
          <w:tcPr>
            <w:tcW w:w="193" w:type="dxa"/>
          </w:tcPr>
          <w:p>
            <w:pPr/>
          </w:p>
        </w:tc>
        <w:tc>
          <w:tcPr>
            <w:tcW w:w="1094" w:type="dxa"/>
          </w:tcPr>
          <w:p>
            <w:pPr>
              <w:pStyle w:val="TableParagraph"/>
              <w:spacing w:before="33"/>
              <w:ind w:right="84"/>
              <w:jc w:val="right"/>
              <w:rPr>
                <w:sz w:val="20"/>
              </w:rPr>
            </w:pPr>
            <w:r>
              <w:rPr>
                <w:color w:val="231F20"/>
                <w:w w:val="95"/>
                <w:sz w:val="20"/>
              </w:rPr>
              <w:t>59</w:t>
            </w:r>
          </w:p>
        </w:tc>
        <w:tc>
          <w:tcPr>
            <w:tcW w:w="193" w:type="dxa"/>
          </w:tcPr>
          <w:p>
            <w:pPr/>
          </w:p>
        </w:tc>
        <w:tc>
          <w:tcPr>
            <w:tcW w:w="1040" w:type="dxa"/>
          </w:tcPr>
          <w:p>
            <w:pPr>
              <w:pStyle w:val="TableParagraph"/>
              <w:spacing w:before="33"/>
              <w:ind w:right="77"/>
              <w:jc w:val="right"/>
              <w:rPr>
                <w:sz w:val="20"/>
              </w:rPr>
            </w:pPr>
            <w:r>
              <w:rPr>
                <w:color w:val="231F20"/>
                <w:w w:val="95"/>
                <w:sz w:val="20"/>
              </w:rPr>
              <w:t>339</w:t>
            </w:r>
          </w:p>
        </w:tc>
      </w:tr>
      <w:tr>
        <w:trPr>
          <w:trHeight w:val="280" w:hRule="exact"/>
        </w:trPr>
        <w:tc>
          <w:tcPr>
            <w:tcW w:w="2760" w:type="dxa"/>
            <w:shd w:val="clear" w:color="auto" w:fill="D1D3D4"/>
          </w:tcPr>
          <w:p>
            <w:pPr>
              <w:pStyle w:val="TableParagraph"/>
              <w:spacing w:before="33"/>
              <w:ind w:left="60"/>
              <w:rPr>
                <w:sz w:val="20"/>
              </w:rPr>
            </w:pPr>
            <w:r>
              <w:rPr>
                <w:color w:val="231F20"/>
                <w:spacing w:val="-3"/>
                <w:sz w:val="20"/>
              </w:rPr>
              <w:t>Interest</w:t>
            </w:r>
            <w:r>
              <w:rPr>
                <w:color w:val="231F20"/>
                <w:spacing w:val="-17"/>
                <w:sz w:val="20"/>
              </w:rPr>
              <w:t> </w:t>
            </w:r>
            <w:r>
              <w:rPr>
                <w:color w:val="231F20"/>
                <w:spacing w:val="-3"/>
                <w:sz w:val="20"/>
              </w:rPr>
              <w:t>commitments</w:t>
            </w:r>
            <w:r>
              <w:rPr>
                <w:color w:val="231F20"/>
                <w:spacing w:val="-17"/>
                <w:sz w:val="20"/>
              </w:rPr>
              <w:t> </w:t>
            </w:r>
            <w:r>
              <w:rPr>
                <w:color w:val="231F20"/>
                <w:sz w:val="20"/>
              </w:rPr>
              <w:t>-</w:t>
            </w:r>
            <w:r>
              <w:rPr>
                <w:color w:val="231F20"/>
                <w:spacing w:val="-17"/>
                <w:sz w:val="20"/>
              </w:rPr>
              <w:t> </w:t>
            </w:r>
            <w:r>
              <w:rPr>
                <w:color w:val="231F20"/>
                <w:spacing w:val="-3"/>
                <w:sz w:val="20"/>
              </w:rPr>
              <w:t>floating</w:t>
            </w:r>
            <w:r>
              <w:rPr>
                <w:color w:val="231F20"/>
                <w:spacing w:val="-16"/>
                <w:sz w:val="20"/>
              </w:rPr>
              <w:t> </w:t>
            </w:r>
            <w:r>
              <w:rPr>
                <w:color w:val="231F20"/>
                <w:spacing w:val="-3"/>
                <w:sz w:val="20"/>
              </w:rPr>
              <w:t>(3)</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18</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47</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42</w:t>
            </w:r>
          </w:p>
        </w:tc>
        <w:tc>
          <w:tcPr>
            <w:tcW w:w="193" w:type="dxa"/>
            <w:shd w:val="clear" w:color="auto" w:fill="D1D3D4"/>
          </w:tcPr>
          <w:p>
            <w:pPr/>
          </w:p>
        </w:tc>
        <w:tc>
          <w:tcPr>
            <w:tcW w:w="1094" w:type="dxa"/>
            <w:shd w:val="clear" w:color="auto" w:fill="D1D3D4"/>
          </w:tcPr>
          <w:p>
            <w:pPr>
              <w:pStyle w:val="TableParagraph"/>
              <w:spacing w:before="33"/>
              <w:ind w:right="84"/>
              <w:jc w:val="right"/>
              <w:rPr>
                <w:sz w:val="20"/>
              </w:rPr>
            </w:pPr>
            <w:r>
              <w:rPr>
                <w:color w:val="231F20"/>
                <w:w w:val="98"/>
                <w:sz w:val="20"/>
              </w:rPr>
              <w:t>—</w:t>
            </w:r>
          </w:p>
        </w:tc>
        <w:tc>
          <w:tcPr>
            <w:tcW w:w="193" w:type="dxa"/>
            <w:shd w:val="clear" w:color="auto" w:fill="D1D3D4"/>
          </w:tcPr>
          <w:p>
            <w:pPr/>
          </w:p>
        </w:tc>
        <w:tc>
          <w:tcPr>
            <w:tcW w:w="1040" w:type="dxa"/>
            <w:shd w:val="clear" w:color="auto" w:fill="D1D3D4"/>
          </w:tcPr>
          <w:p>
            <w:pPr>
              <w:pStyle w:val="TableParagraph"/>
              <w:spacing w:before="33"/>
              <w:ind w:right="77"/>
              <w:jc w:val="right"/>
              <w:rPr>
                <w:sz w:val="20"/>
              </w:rPr>
            </w:pPr>
            <w:r>
              <w:rPr>
                <w:color w:val="231F20"/>
                <w:w w:val="95"/>
                <w:sz w:val="20"/>
              </w:rPr>
              <w:t>107</w:t>
            </w:r>
          </w:p>
        </w:tc>
      </w:tr>
      <w:tr>
        <w:trPr>
          <w:trHeight w:val="280" w:hRule="exact"/>
        </w:trPr>
        <w:tc>
          <w:tcPr>
            <w:tcW w:w="2760" w:type="dxa"/>
          </w:tcPr>
          <w:p>
            <w:pPr>
              <w:pStyle w:val="TableParagraph"/>
              <w:spacing w:before="33"/>
              <w:ind w:left="60"/>
              <w:rPr>
                <w:sz w:val="20"/>
              </w:rPr>
            </w:pPr>
            <w:r>
              <w:rPr>
                <w:color w:val="231F20"/>
                <w:sz w:val="20"/>
              </w:rPr>
              <w:t>Operating lease commitments (4)</w:t>
            </w:r>
          </w:p>
        </w:tc>
        <w:tc>
          <w:tcPr>
            <w:tcW w:w="200" w:type="dxa"/>
          </w:tcPr>
          <w:p>
            <w:pPr/>
          </w:p>
        </w:tc>
        <w:tc>
          <w:tcPr>
            <w:tcW w:w="1080" w:type="dxa"/>
          </w:tcPr>
          <w:p>
            <w:pPr>
              <w:pStyle w:val="TableParagraph"/>
              <w:spacing w:before="33"/>
              <w:ind w:right="77"/>
              <w:jc w:val="right"/>
              <w:rPr>
                <w:sz w:val="20"/>
              </w:rPr>
            </w:pPr>
            <w:r>
              <w:rPr>
                <w:color w:val="231F20"/>
                <w:w w:val="95"/>
                <w:sz w:val="20"/>
              </w:rPr>
              <w:t>557</w:t>
            </w:r>
          </w:p>
        </w:tc>
        <w:tc>
          <w:tcPr>
            <w:tcW w:w="200" w:type="dxa"/>
          </w:tcPr>
          <w:p>
            <w:pPr/>
          </w:p>
        </w:tc>
        <w:tc>
          <w:tcPr>
            <w:tcW w:w="1080" w:type="dxa"/>
          </w:tcPr>
          <w:p>
            <w:pPr>
              <w:pStyle w:val="TableParagraph"/>
              <w:spacing w:before="33"/>
              <w:ind w:right="77"/>
              <w:jc w:val="right"/>
              <w:rPr>
                <w:sz w:val="20"/>
              </w:rPr>
            </w:pPr>
            <w:r>
              <w:rPr>
                <w:color w:val="231F20"/>
                <w:w w:val="95"/>
                <w:sz w:val="20"/>
              </w:rPr>
              <w:t>1,019</w:t>
            </w:r>
          </w:p>
        </w:tc>
        <w:tc>
          <w:tcPr>
            <w:tcW w:w="200" w:type="dxa"/>
          </w:tcPr>
          <w:p>
            <w:pPr/>
          </w:p>
        </w:tc>
        <w:tc>
          <w:tcPr>
            <w:tcW w:w="1080" w:type="dxa"/>
          </w:tcPr>
          <w:p>
            <w:pPr>
              <w:pStyle w:val="TableParagraph"/>
              <w:spacing w:before="33"/>
              <w:ind w:right="77"/>
              <w:jc w:val="right"/>
              <w:rPr>
                <w:sz w:val="20"/>
              </w:rPr>
            </w:pPr>
            <w:r>
              <w:rPr>
                <w:color w:val="231F20"/>
                <w:w w:val="95"/>
                <w:sz w:val="20"/>
              </w:rPr>
              <w:t>714</w:t>
            </w:r>
          </w:p>
        </w:tc>
        <w:tc>
          <w:tcPr>
            <w:tcW w:w="193" w:type="dxa"/>
          </w:tcPr>
          <w:p>
            <w:pPr/>
          </w:p>
        </w:tc>
        <w:tc>
          <w:tcPr>
            <w:tcW w:w="1094" w:type="dxa"/>
          </w:tcPr>
          <w:p>
            <w:pPr>
              <w:pStyle w:val="TableParagraph"/>
              <w:spacing w:before="33"/>
              <w:ind w:right="84"/>
              <w:jc w:val="right"/>
              <w:rPr>
                <w:sz w:val="20"/>
              </w:rPr>
            </w:pPr>
            <w:r>
              <w:rPr>
                <w:color w:val="231F20"/>
                <w:w w:val="95"/>
                <w:sz w:val="20"/>
              </w:rPr>
              <w:t>1,529</w:t>
            </w:r>
          </w:p>
        </w:tc>
        <w:tc>
          <w:tcPr>
            <w:tcW w:w="193" w:type="dxa"/>
          </w:tcPr>
          <w:p>
            <w:pPr/>
          </w:p>
        </w:tc>
        <w:tc>
          <w:tcPr>
            <w:tcW w:w="1040" w:type="dxa"/>
          </w:tcPr>
          <w:p>
            <w:pPr>
              <w:pStyle w:val="TableParagraph"/>
              <w:spacing w:before="33"/>
              <w:ind w:right="77"/>
              <w:jc w:val="right"/>
              <w:rPr>
                <w:sz w:val="20"/>
              </w:rPr>
            </w:pPr>
            <w:r>
              <w:rPr>
                <w:color w:val="231F20"/>
                <w:w w:val="95"/>
                <w:sz w:val="20"/>
              </w:rPr>
              <w:t>3,819</w:t>
            </w:r>
          </w:p>
        </w:tc>
      </w:tr>
      <w:tr>
        <w:trPr>
          <w:trHeight w:val="280" w:hRule="exact"/>
        </w:trPr>
        <w:tc>
          <w:tcPr>
            <w:tcW w:w="2760" w:type="dxa"/>
            <w:shd w:val="clear" w:color="auto" w:fill="D1D3D4"/>
          </w:tcPr>
          <w:p>
            <w:pPr>
              <w:pStyle w:val="TableParagraph"/>
              <w:spacing w:before="33"/>
              <w:ind w:left="60"/>
              <w:rPr>
                <w:sz w:val="20"/>
              </w:rPr>
            </w:pPr>
            <w:r>
              <w:rPr>
                <w:color w:val="231F20"/>
                <w:sz w:val="20"/>
              </w:rPr>
              <w:t>Capital lease commitments (5)</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46</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91</w:t>
            </w:r>
          </w:p>
        </w:tc>
        <w:tc>
          <w:tcPr>
            <w:tcW w:w="200" w:type="dxa"/>
            <w:shd w:val="clear" w:color="auto" w:fill="D1D3D4"/>
          </w:tcPr>
          <w:p>
            <w:pPr/>
          </w:p>
        </w:tc>
        <w:tc>
          <w:tcPr>
            <w:tcW w:w="1080" w:type="dxa"/>
            <w:shd w:val="clear" w:color="auto" w:fill="D1D3D4"/>
          </w:tcPr>
          <w:p>
            <w:pPr>
              <w:pStyle w:val="TableParagraph"/>
              <w:spacing w:before="33"/>
              <w:ind w:right="77"/>
              <w:jc w:val="right"/>
              <w:rPr>
                <w:sz w:val="20"/>
              </w:rPr>
            </w:pPr>
            <w:r>
              <w:rPr>
                <w:color w:val="231F20"/>
                <w:w w:val="95"/>
                <w:sz w:val="20"/>
              </w:rPr>
              <w:t>89</w:t>
            </w:r>
          </w:p>
        </w:tc>
        <w:tc>
          <w:tcPr>
            <w:tcW w:w="193" w:type="dxa"/>
            <w:shd w:val="clear" w:color="auto" w:fill="D1D3D4"/>
          </w:tcPr>
          <w:p>
            <w:pPr/>
          </w:p>
        </w:tc>
        <w:tc>
          <w:tcPr>
            <w:tcW w:w="1094" w:type="dxa"/>
            <w:shd w:val="clear" w:color="auto" w:fill="D1D3D4"/>
          </w:tcPr>
          <w:p>
            <w:pPr>
              <w:pStyle w:val="TableParagraph"/>
              <w:spacing w:before="33"/>
              <w:ind w:right="84"/>
              <w:jc w:val="right"/>
              <w:rPr>
                <w:sz w:val="20"/>
              </w:rPr>
            </w:pPr>
            <w:r>
              <w:rPr>
                <w:color w:val="231F20"/>
                <w:w w:val="95"/>
                <w:sz w:val="20"/>
              </w:rPr>
              <w:t>209</w:t>
            </w:r>
          </w:p>
        </w:tc>
        <w:tc>
          <w:tcPr>
            <w:tcW w:w="193" w:type="dxa"/>
            <w:shd w:val="clear" w:color="auto" w:fill="D1D3D4"/>
          </w:tcPr>
          <w:p>
            <w:pPr/>
          </w:p>
        </w:tc>
        <w:tc>
          <w:tcPr>
            <w:tcW w:w="1040" w:type="dxa"/>
            <w:shd w:val="clear" w:color="auto" w:fill="D1D3D4"/>
          </w:tcPr>
          <w:p>
            <w:pPr>
              <w:pStyle w:val="TableParagraph"/>
              <w:spacing w:before="33"/>
              <w:ind w:right="77"/>
              <w:jc w:val="right"/>
              <w:rPr>
                <w:sz w:val="20"/>
              </w:rPr>
            </w:pPr>
            <w:r>
              <w:rPr>
                <w:color w:val="231F20"/>
                <w:w w:val="95"/>
                <w:sz w:val="20"/>
              </w:rPr>
              <w:t>435</w:t>
            </w:r>
          </w:p>
        </w:tc>
      </w:tr>
      <w:tr>
        <w:trPr>
          <w:trHeight w:val="280" w:hRule="exact"/>
        </w:trPr>
        <w:tc>
          <w:tcPr>
            <w:tcW w:w="2760" w:type="dxa"/>
          </w:tcPr>
          <w:p>
            <w:pPr>
              <w:pStyle w:val="TableParagraph"/>
              <w:spacing w:before="33"/>
              <w:ind w:left="60"/>
              <w:rPr>
                <w:sz w:val="20"/>
              </w:rPr>
            </w:pPr>
            <w:r>
              <w:rPr>
                <w:color w:val="231F20"/>
                <w:spacing w:val="-3"/>
                <w:sz w:val="20"/>
              </w:rPr>
              <w:t>Aircraft</w:t>
            </w:r>
            <w:r>
              <w:rPr>
                <w:color w:val="231F20"/>
                <w:spacing w:val="-21"/>
                <w:sz w:val="20"/>
              </w:rPr>
              <w:t> </w:t>
            </w:r>
            <w:r>
              <w:rPr>
                <w:color w:val="231F20"/>
                <w:spacing w:val="-3"/>
                <w:sz w:val="20"/>
              </w:rPr>
              <w:t>purchase</w:t>
            </w:r>
            <w:r>
              <w:rPr>
                <w:color w:val="231F20"/>
                <w:spacing w:val="-20"/>
                <w:sz w:val="20"/>
              </w:rPr>
              <w:t> </w:t>
            </w:r>
            <w:r>
              <w:rPr>
                <w:color w:val="231F20"/>
                <w:spacing w:val="-3"/>
                <w:sz w:val="20"/>
              </w:rPr>
              <w:t>commitments</w:t>
            </w:r>
            <w:r>
              <w:rPr>
                <w:color w:val="231F20"/>
                <w:spacing w:val="-21"/>
                <w:sz w:val="20"/>
              </w:rPr>
              <w:t> </w:t>
            </w:r>
            <w:r>
              <w:rPr>
                <w:color w:val="231F20"/>
                <w:spacing w:val="-3"/>
                <w:sz w:val="20"/>
              </w:rPr>
              <w:t>(6)</w:t>
            </w:r>
          </w:p>
        </w:tc>
        <w:tc>
          <w:tcPr>
            <w:tcW w:w="200" w:type="dxa"/>
          </w:tcPr>
          <w:p>
            <w:pPr/>
          </w:p>
        </w:tc>
        <w:tc>
          <w:tcPr>
            <w:tcW w:w="1080" w:type="dxa"/>
          </w:tcPr>
          <w:p>
            <w:pPr>
              <w:pStyle w:val="TableParagraph"/>
              <w:spacing w:before="33"/>
              <w:ind w:right="79"/>
              <w:jc w:val="right"/>
              <w:rPr>
                <w:sz w:val="20"/>
              </w:rPr>
            </w:pPr>
            <w:r>
              <w:rPr>
                <w:color w:val="231F20"/>
                <w:w w:val="95"/>
                <w:sz w:val="20"/>
              </w:rPr>
              <w:t>1,070</w:t>
            </w:r>
          </w:p>
        </w:tc>
        <w:tc>
          <w:tcPr>
            <w:tcW w:w="200" w:type="dxa"/>
          </w:tcPr>
          <w:p>
            <w:pPr/>
          </w:p>
        </w:tc>
        <w:tc>
          <w:tcPr>
            <w:tcW w:w="1080" w:type="dxa"/>
          </w:tcPr>
          <w:p>
            <w:pPr>
              <w:pStyle w:val="TableParagraph"/>
              <w:spacing w:before="33"/>
              <w:ind w:right="79"/>
              <w:jc w:val="right"/>
              <w:rPr>
                <w:sz w:val="20"/>
              </w:rPr>
            </w:pPr>
            <w:r>
              <w:rPr>
                <w:color w:val="231F20"/>
                <w:w w:val="95"/>
                <w:sz w:val="20"/>
              </w:rPr>
              <w:t>2,393</w:t>
            </w:r>
          </w:p>
        </w:tc>
        <w:tc>
          <w:tcPr>
            <w:tcW w:w="200" w:type="dxa"/>
          </w:tcPr>
          <w:p>
            <w:pPr/>
          </w:p>
        </w:tc>
        <w:tc>
          <w:tcPr>
            <w:tcW w:w="1080" w:type="dxa"/>
          </w:tcPr>
          <w:p>
            <w:pPr>
              <w:pStyle w:val="TableParagraph"/>
              <w:spacing w:before="33"/>
              <w:ind w:right="77"/>
              <w:jc w:val="right"/>
              <w:rPr>
                <w:sz w:val="20"/>
              </w:rPr>
            </w:pPr>
            <w:r>
              <w:rPr>
                <w:color w:val="231F20"/>
                <w:w w:val="95"/>
                <w:sz w:val="20"/>
              </w:rPr>
              <w:t>2,666</w:t>
            </w:r>
          </w:p>
        </w:tc>
        <w:tc>
          <w:tcPr>
            <w:tcW w:w="193" w:type="dxa"/>
          </w:tcPr>
          <w:p>
            <w:pPr/>
          </w:p>
        </w:tc>
        <w:tc>
          <w:tcPr>
            <w:tcW w:w="1094" w:type="dxa"/>
          </w:tcPr>
          <w:p>
            <w:pPr>
              <w:pStyle w:val="TableParagraph"/>
              <w:spacing w:before="33"/>
              <w:ind w:right="84"/>
              <w:jc w:val="right"/>
              <w:rPr>
                <w:sz w:val="20"/>
              </w:rPr>
            </w:pPr>
            <w:r>
              <w:rPr>
                <w:color w:val="231F20"/>
                <w:w w:val="95"/>
                <w:sz w:val="20"/>
              </w:rPr>
              <w:t>4,421</w:t>
            </w:r>
          </w:p>
        </w:tc>
        <w:tc>
          <w:tcPr>
            <w:tcW w:w="193" w:type="dxa"/>
          </w:tcPr>
          <w:p>
            <w:pPr/>
          </w:p>
        </w:tc>
        <w:tc>
          <w:tcPr>
            <w:tcW w:w="1040" w:type="dxa"/>
          </w:tcPr>
          <w:p>
            <w:pPr>
              <w:pStyle w:val="TableParagraph"/>
              <w:spacing w:before="33"/>
              <w:ind w:right="77"/>
              <w:jc w:val="right"/>
              <w:rPr>
                <w:sz w:val="20"/>
              </w:rPr>
            </w:pPr>
            <w:r>
              <w:rPr>
                <w:color w:val="231F20"/>
                <w:w w:val="95"/>
                <w:sz w:val="20"/>
              </w:rPr>
              <w:t>10,550</w:t>
            </w:r>
          </w:p>
        </w:tc>
      </w:tr>
      <w:tr>
        <w:trPr>
          <w:trHeight w:val="295" w:hRule="exact"/>
        </w:trPr>
        <w:tc>
          <w:tcPr>
            <w:tcW w:w="2760" w:type="dxa"/>
            <w:shd w:val="clear" w:color="auto" w:fill="D1D3D4"/>
          </w:tcPr>
          <w:p>
            <w:pPr>
              <w:pStyle w:val="TableParagraph"/>
              <w:spacing w:before="33"/>
              <w:ind w:left="60"/>
              <w:rPr>
                <w:sz w:val="20"/>
              </w:rPr>
            </w:pPr>
            <w:r>
              <w:rPr>
                <w:color w:val="231F20"/>
                <w:sz w:val="20"/>
              </w:rPr>
              <w:t>Other commitments</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94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54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33"/>
              <w:ind w:right="79"/>
              <w:jc w:val="right"/>
              <w:rPr>
                <w:sz w:val="20"/>
              </w:rPr>
            </w:pPr>
            <w:r>
              <w:rPr>
                <w:color w:val="231F20"/>
                <w:w w:val="95"/>
                <w:sz w:val="20"/>
              </w:rPr>
              <w:t>11</w:t>
            </w:r>
          </w:p>
        </w:tc>
        <w:tc>
          <w:tcPr>
            <w:tcW w:w="193" w:type="dxa"/>
            <w:shd w:val="clear" w:color="auto" w:fill="D1D3D4"/>
          </w:tcPr>
          <w:p>
            <w:pPr/>
          </w:p>
        </w:tc>
        <w:tc>
          <w:tcPr>
            <w:tcW w:w="1094" w:type="dxa"/>
            <w:tcBorders>
              <w:bottom w:val="single" w:sz="4" w:space="0" w:color="231F20"/>
            </w:tcBorders>
            <w:shd w:val="clear" w:color="auto" w:fill="D1D3D4"/>
          </w:tcPr>
          <w:p>
            <w:pPr>
              <w:pStyle w:val="TableParagraph"/>
              <w:spacing w:before="33"/>
              <w:ind w:right="86"/>
              <w:jc w:val="right"/>
              <w:rPr>
                <w:sz w:val="20"/>
              </w:rPr>
            </w:pPr>
            <w:r>
              <w:rPr>
                <w:color w:val="231F20"/>
                <w:w w:val="95"/>
                <w:sz w:val="20"/>
              </w:rPr>
              <w:t>13</w:t>
            </w:r>
          </w:p>
        </w:tc>
        <w:tc>
          <w:tcPr>
            <w:tcW w:w="193" w:type="dxa"/>
            <w:shd w:val="clear" w:color="auto" w:fill="D1D3D4"/>
          </w:tcPr>
          <w:p>
            <w:pPr/>
          </w:p>
        </w:tc>
        <w:tc>
          <w:tcPr>
            <w:tcW w:w="1040" w:type="dxa"/>
            <w:tcBorders>
              <w:bottom w:val="single" w:sz="4" w:space="0" w:color="231F20"/>
            </w:tcBorders>
            <w:shd w:val="clear" w:color="auto" w:fill="D1D3D4"/>
          </w:tcPr>
          <w:p>
            <w:pPr>
              <w:pStyle w:val="TableParagraph"/>
              <w:spacing w:before="33"/>
              <w:ind w:right="78"/>
              <w:jc w:val="right"/>
              <w:rPr>
                <w:sz w:val="20"/>
              </w:rPr>
            </w:pPr>
            <w:r>
              <w:rPr>
                <w:color w:val="231F20"/>
                <w:w w:val="95"/>
                <w:sz w:val="20"/>
              </w:rPr>
              <w:t>172</w:t>
            </w:r>
          </w:p>
        </w:tc>
      </w:tr>
      <w:tr>
        <w:trPr>
          <w:trHeight w:val="340" w:hRule="exact"/>
        </w:trPr>
        <w:tc>
          <w:tcPr>
            <w:tcW w:w="2760" w:type="dxa"/>
          </w:tcPr>
          <w:p>
            <w:pPr>
              <w:pStyle w:val="TableParagraph"/>
              <w:ind w:left="260"/>
              <w:rPr>
                <w:sz w:val="20"/>
              </w:rPr>
            </w:pPr>
            <w:r>
              <w:rPr>
                <w:color w:val="231F20"/>
                <w:sz w:val="20"/>
              </w:rPr>
              <w:t>Total contractual obligations</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2,478</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4,451</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33"/>
              <w:ind w:right="77"/>
              <w:jc w:val="right"/>
              <w:rPr>
                <w:sz w:val="20"/>
              </w:rPr>
            </w:pPr>
            <w:r>
              <w:rPr>
                <w:color w:val="231F20"/>
                <w:sz w:val="20"/>
              </w:rPr>
              <w:t>$</w:t>
              <w:tab/>
            </w:r>
            <w:r>
              <w:rPr>
                <w:color w:val="231F20"/>
                <w:spacing w:val="-1"/>
                <w:sz w:val="20"/>
              </w:rPr>
              <w:t>4,781</w:t>
            </w:r>
          </w:p>
        </w:tc>
        <w:tc>
          <w:tcPr>
            <w:tcW w:w="193" w:type="dxa"/>
          </w:tcPr>
          <w:p>
            <w:pPr/>
          </w:p>
        </w:tc>
        <w:tc>
          <w:tcPr>
            <w:tcW w:w="1094" w:type="dxa"/>
            <w:tcBorders>
              <w:top w:val="single" w:sz="4" w:space="0" w:color="231F20"/>
              <w:bottom w:val="single" w:sz="4" w:space="0" w:color="231F20"/>
            </w:tcBorders>
          </w:tcPr>
          <w:p>
            <w:pPr>
              <w:pStyle w:val="TableParagraph"/>
              <w:tabs>
                <w:tab w:pos="556" w:val="left" w:leader="none"/>
              </w:tabs>
              <w:spacing w:before="33"/>
              <w:ind w:left="7"/>
              <w:rPr>
                <w:sz w:val="20"/>
              </w:rPr>
            </w:pPr>
            <w:r>
              <w:rPr>
                <w:color w:val="231F20"/>
                <w:sz w:val="20"/>
              </w:rPr>
              <w:t>$</w:t>
              <w:tab/>
              <w:t>6,470</w:t>
            </w:r>
          </w:p>
        </w:tc>
        <w:tc>
          <w:tcPr>
            <w:tcW w:w="193" w:type="dxa"/>
          </w:tcPr>
          <w:p>
            <w:pPr/>
          </w:p>
        </w:tc>
        <w:tc>
          <w:tcPr>
            <w:tcW w:w="1040" w:type="dxa"/>
            <w:tcBorders>
              <w:top w:val="single" w:sz="4" w:space="0" w:color="231F20"/>
              <w:bottom w:val="single" w:sz="4" w:space="0" w:color="231F20"/>
            </w:tcBorders>
          </w:tcPr>
          <w:p>
            <w:pPr>
              <w:pStyle w:val="TableParagraph"/>
              <w:tabs>
                <w:tab w:pos="409" w:val="left" w:leader="none"/>
              </w:tabs>
              <w:spacing w:before="48"/>
              <w:ind w:right="77"/>
              <w:jc w:val="right"/>
              <w:rPr>
                <w:sz w:val="20"/>
              </w:rPr>
            </w:pPr>
            <w:r>
              <w:rPr>
                <w:color w:val="231F20"/>
                <w:sz w:val="20"/>
              </w:rPr>
              <w:t>$</w:t>
              <w:tab/>
            </w:r>
            <w:r>
              <w:rPr>
                <w:color w:val="231F20"/>
                <w:spacing w:val="-1"/>
                <w:sz w:val="20"/>
              </w:rPr>
              <w:t>18,180</w:t>
            </w:r>
          </w:p>
        </w:tc>
      </w:tr>
    </w:tbl>
    <w:p>
      <w:pPr>
        <w:pStyle w:val="BodyText"/>
        <w:rPr>
          <w:b/>
        </w:rPr>
      </w:pPr>
    </w:p>
    <w:p>
      <w:pPr>
        <w:pStyle w:val="ListParagraph"/>
        <w:numPr>
          <w:ilvl w:val="0"/>
          <w:numId w:val="10"/>
        </w:numPr>
        <w:tabs>
          <w:tab w:pos="500" w:val="left" w:leader="none"/>
        </w:tabs>
        <w:spacing w:line="240" w:lineRule="auto" w:before="155" w:after="0"/>
        <w:ind w:left="500" w:right="0" w:hanging="400"/>
        <w:jc w:val="left"/>
        <w:rPr>
          <w:sz w:val="20"/>
        </w:rPr>
      </w:pPr>
      <w:r>
        <w:rPr/>
        <w:pict>
          <v:line style="position:absolute;mso-position-horizontal-relative:page;mso-position-vertical-relative:paragraph;z-index:-392200" from="217pt,-15.164063pt" to="271pt,-15.164063pt" stroked="true" strokeweight=".5pt" strokecolor="#231f20">
            <v:stroke dashstyle="solid"/>
            <w10:wrap type="none"/>
          </v:line>
        </w:pict>
      </w:r>
      <w:r>
        <w:rPr/>
        <w:pict>
          <v:line style="position:absolute;mso-position-horizontal-relative:page;mso-position-vertical-relative:paragraph;z-index:-392176" from="281pt,-15.164063pt" to="335pt,-15.164063pt" stroked="true" strokeweight=".5pt" strokecolor="#231f20">
            <v:stroke dashstyle="solid"/>
            <w10:wrap type="none"/>
          </v:line>
        </w:pict>
      </w:r>
      <w:r>
        <w:rPr/>
        <w:pict>
          <v:line style="position:absolute;mso-position-horizontal-relative:page;mso-position-vertical-relative:paragraph;z-index:-392152" from="345pt,-15.164063pt" to="399pt,-15.164063pt" stroked="true" strokeweight=".5pt" strokecolor="#231f20">
            <v:stroke dashstyle="solid"/>
            <w10:wrap type="none"/>
          </v:line>
        </w:pict>
      </w:r>
      <w:r>
        <w:rPr/>
        <w:pict>
          <v:line style="position:absolute;mso-position-horizontal-relative:page;mso-position-vertical-relative:paragraph;z-index:-392128" from="409pt,-15.164063pt" to="463pt,-15.164063pt" stroked="true" strokeweight=".5pt" strokecolor="#231f20">
            <v:stroke dashstyle="solid"/>
            <w10:wrap type="none"/>
          </v:line>
        </w:pict>
      </w:r>
      <w:r>
        <w:rPr/>
        <w:pict>
          <v:line style="position:absolute;mso-position-horizontal-relative:page;mso-position-vertical-relative:paragraph;z-index:-392104" from="473pt,-15.164063pt" to="525pt,-15.164063pt" stroked="true" strokeweight=".5pt" strokecolor="#231f20">
            <v:stroke dashstyle="solid"/>
            <w10:wrap type="none"/>
          </v:line>
        </w:pict>
      </w:r>
      <w:r>
        <w:rPr>
          <w:color w:val="231F20"/>
          <w:sz w:val="20"/>
        </w:rPr>
        <w:t>Includes principal only. See Note 6 to the Consolidated Financial</w:t>
      </w:r>
      <w:r>
        <w:rPr>
          <w:color w:val="231F20"/>
          <w:spacing w:val="5"/>
          <w:sz w:val="20"/>
        </w:rPr>
        <w:t> </w:t>
      </w:r>
      <w:r>
        <w:rPr>
          <w:color w:val="231F20"/>
          <w:sz w:val="20"/>
        </w:rPr>
        <w:t>Statements.</w:t>
      </w:r>
    </w:p>
    <w:p>
      <w:pPr>
        <w:pStyle w:val="ListParagraph"/>
        <w:numPr>
          <w:ilvl w:val="0"/>
          <w:numId w:val="10"/>
        </w:numPr>
        <w:tabs>
          <w:tab w:pos="500" w:val="left" w:leader="none"/>
        </w:tabs>
        <w:spacing w:line="240" w:lineRule="auto" w:before="9"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0"/>
        </w:numPr>
        <w:tabs>
          <w:tab w:pos="500" w:val="left" w:leader="none"/>
        </w:tabs>
        <w:spacing w:line="249" w:lineRule="auto" w:before="9" w:after="0"/>
        <w:ind w:left="500" w:right="120" w:hanging="400"/>
        <w:jc w:val="left"/>
        <w:rPr>
          <w:sz w:val="20"/>
        </w:rPr>
      </w:pPr>
      <w:r>
        <w:rPr>
          <w:color w:val="231F20"/>
          <w:sz w:val="20"/>
        </w:rPr>
        <w:t>Interest obligations associated with floating-rate debt (either at issuance or through swaps) is estimated utilizing forward interest rate curves as of December 31, 2015, and can be subject to significant</w:t>
      </w:r>
      <w:r>
        <w:rPr>
          <w:color w:val="231F20"/>
          <w:spacing w:val="12"/>
          <w:sz w:val="20"/>
        </w:rPr>
        <w:t> </w:t>
      </w:r>
      <w:r>
        <w:rPr>
          <w:color w:val="231F20"/>
          <w:sz w:val="20"/>
        </w:rPr>
        <w:t>fluctuation.</w:t>
      </w:r>
    </w:p>
    <w:p>
      <w:pPr>
        <w:pStyle w:val="ListParagraph"/>
        <w:numPr>
          <w:ilvl w:val="0"/>
          <w:numId w:val="10"/>
        </w:numPr>
        <w:tabs>
          <w:tab w:pos="500" w:val="left" w:leader="none"/>
        </w:tabs>
        <w:spacing w:line="249" w:lineRule="auto" w:before="1" w:after="0"/>
        <w:ind w:left="500" w:right="117" w:hanging="400"/>
        <w:jc w:val="left"/>
        <w:rPr>
          <w:sz w:val="20"/>
        </w:rPr>
      </w:pPr>
      <w:r>
        <w:rPr>
          <w:color w:val="231F20"/>
          <w:sz w:val="20"/>
        </w:rPr>
        <w:t>Includes Love Field Modernization Program commitment amounts, and includes the impact of the B717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0"/>
        </w:numPr>
        <w:tabs>
          <w:tab w:pos="500" w:val="left" w:leader="none"/>
        </w:tabs>
        <w:spacing w:line="240" w:lineRule="auto" w:before="1" w:after="0"/>
        <w:ind w:left="500" w:right="0" w:hanging="400"/>
        <w:jc w:val="left"/>
        <w:rPr>
          <w:sz w:val="20"/>
        </w:rPr>
      </w:pPr>
      <w:r>
        <w:rPr>
          <w:color w:val="231F20"/>
          <w:sz w:val="20"/>
        </w:rPr>
        <w:t>Includes interest on capital</w:t>
      </w:r>
      <w:r>
        <w:rPr>
          <w:color w:val="231F20"/>
          <w:spacing w:val="4"/>
          <w:sz w:val="20"/>
        </w:rPr>
        <w:t> </w:t>
      </w:r>
      <w:r>
        <w:rPr>
          <w:color w:val="231F20"/>
          <w:sz w:val="20"/>
        </w:rPr>
        <w:t>leases.</w:t>
      </w:r>
    </w:p>
    <w:p>
      <w:pPr>
        <w:pStyle w:val="ListParagraph"/>
        <w:numPr>
          <w:ilvl w:val="0"/>
          <w:numId w:val="10"/>
        </w:numPr>
        <w:tabs>
          <w:tab w:pos="500" w:val="left" w:leader="none"/>
        </w:tabs>
        <w:spacing w:line="240" w:lineRule="auto" w:before="9" w:after="0"/>
        <w:ind w:left="500" w:right="0" w:hanging="400"/>
        <w:jc w:val="left"/>
        <w:rPr>
          <w:sz w:val="20"/>
        </w:rPr>
      </w:pPr>
      <w:r>
        <w:rPr>
          <w:color w:val="231F20"/>
          <w:sz w:val="20"/>
        </w:rPr>
        <w:t>Firm orders from Boeing and commitments with other</w:t>
      </w:r>
      <w:r>
        <w:rPr>
          <w:color w:val="231F20"/>
          <w:spacing w:val="7"/>
          <w:sz w:val="20"/>
        </w:rPr>
        <w:t> </w:t>
      </w:r>
      <w:r>
        <w:rPr>
          <w:color w:val="231F20"/>
          <w:sz w:val="20"/>
        </w:rPr>
        <w:t>parties.</w:t>
      </w:r>
    </w:p>
    <w:p>
      <w:pPr>
        <w:pStyle w:val="BodyText"/>
        <w:spacing w:before="9"/>
        <w:rPr>
          <w:sz w:val="21"/>
        </w:rPr>
      </w:pPr>
    </w:p>
    <w:p>
      <w:pPr>
        <w:pStyle w:val="BodyText"/>
        <w:spacing w:line="247" w:lineRule="auto"/>
        <w:ind w:left="100" w:right="117"/>
        <w:jc w:val="both"/>
      </w:pPr>
      <w:r>
        <w:rPr>
          <w:color w:val="231F20"/>
        </w:rPr>
        <w:t>The Company believes that its current liquidity position, including unrestricted cash and short-term investments of $3.1 billion as of December 31, 2015, anticipated future internally generated funds from operations, and its fully available, unsecured revolving credit facility of $1.0 billion that expires in April 2018, will enable it to meet its future known obligations in the ordinary course of business.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 necessary.</w:t>
      </w:r>
    </w:p>
    <w:p>
      <w:pPr>
        <w:spacing w:after="0" w:line="247" w:lineRule="auto"/>
        <w:jc w:val="both"/>
        <w:sectPr>
          <w:pgSz w:w="11880" w:h="15480"/>
          <w:pgMar w:header="0" w:footer="1240" w:top="1240" w:bottom="1420" w:left="1280" w:right="1260"/>
        </w:sectPr>
      </w:pPr>
    </w:p>
    <w:p>
      <w:pPr>
        <w:pStyle w:val="Heading1"/>
        <w:spacing w:before="74"/>
      </w:pPr>
      <w:r>
        <w:rPr>
          <w:color w:val="231F20"/>
        </w:rPr>
        <w:t>Airport Projects</w:t>
      </w:r>
    </w:p>
    <w:p>
      <w:pPr>
        <w:pStyle w:val="BodyText"/>
        <w:rPr>
          <w:b/>
          <w:sz w:val="23"/>
        </w:rPr>
      </w:pPr>
    </w:p>
    <w:p>
      <w:pPr>
        <w:pStyle w:val="BodyText"/>
        <w:spacing w:line="247" w:lineRule="auto" w:before="1"/>
        <w:ind w:left="100" w:right="118"/>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spacing w:before="5"/>
      </w:pPr>
    </w:p>
    <w:p>
      <w:pPr>
        <w:pStyle w:val="Heading1"/>
        <w:ind w:left="819"/>
        <w:jc w:val="left"/>
      </w:pPr>
      <w:r>
        <w:rPr>
          <w:color w:val="231F20"/>
        </w:rPr>
        <w:t>Dallas Love Field</w:t>
      </w:r>
    </w:p>
    <w:p>
      <w:pPr>
        <w:pStyle w:val="BodyText"/>
        <w:rPr>
          <w:b/>
          <w:sz w:val="23"/>
        </w:rPr>
      </w:pPr>
    </w:p>
    <w:p>
      <w:pPr>
        <w:pStyle w:val="BodyText"/>
        <w:spacing w:line="247" w:lineRule="auto"/>
        <w:ind w:left="100" w:right="117"/>
        <w:jc w:val="both"/>
      </w:pPr>
      <w:r>
        <w:rPr>
          <w:color w:val="231F20"/>
        </w:rPr>
        <w:t>For the rebuilding of the facilities at Dallas Love Field, the Company has guaranteed principal, premium, and interest on $456 million in bonds issued by the Love Field Airport Modernization Corporation (“LFAMC”) that were utilized to fund the majority of the project. Repayment of the bonds will be through the “Facilities Payments” described below. Reimbursement of the Company for its payment of Facilities Payments is expected to be made through recurring ground rents, fees, and other revenues collected at the airport.</w:t>
      </w:r>
    </w:p>
    <w:p>
      <w:pPr>
        <w:pStyle w:val="BodyText"/>
        <w:spacing w:before="5"/>
      </w:pPr>
    </w:p>
    <w:p>
      <w:pPr>
        <w:pStyle w:val="BodyText"/>
        <w:spacing w:line="247" w:lineRule="auto"/>
        <w:ind w:left="100" w:right="117"/>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w:t>
      </w:r>
      <w:r>
        <w:rPr>
          <w:color w:val="231F20"/>
          <w:spacing w:val="-1"/>
        </w:rPr>
        <w:t> </w:t>
      </w:r>
      <w:r>
        <w:rPr>
          <w:color w:val="231F20"/>
        </w:rPr>
        <w:t>Company.</w:t>
      </w:r>
    </w:p>
    <w:p>
      <w:pPr>
        <w:pStyle w:val="BodyText"/>
        <w:spacing w:before="5"/>
      </w:pPr>
    </w:p>
    <w:p>
      <w:pPr>
        <w:pStyle w:val="BodyText"/>
        <w:spacing w:line="247" w:lineRule="auto"/>
        <w:ind w:left="100" w:right="117"/>
        <w:jc w:val="both"/>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w:t>
      </w:r>
      <w:r>
        <w:rPr>
          <w:color w:val="231F20"/>
          <w:spacing w:val="-2"/>
        </w:rPr>
        <w:t> </w:t>
      </w:r>
      <w:r>
        <w:rPr>
          <w:color w:val="231F20"/>
        </w:rPr>
        <w:t>revenues.</w:t>
      </w:r>
    </w:p>
    <w:p>
      <w:pPr>
        <w:pStyle w:val="BodyText"/>
        <w:spacing w:before="5"/>
      </w:pPr>
    </w:p>
    <w:p>
      <w:pPr>
        <w:pStyle w:val="BodyText"/>
        <w:spacing w:line="247" w:lineRule="auto"/>
        <w:ind w:left="100" w:right="118"/>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 position.</w:t>
      </w:r>
    </w:p>
    <w:p>
      <w:pPr>
        <w:pStyle w:val="BodyText"/>
        <w:spacing w:before="5"/>
      </w:pPr>
    </w:p>
    <w:p>
      <w:pPr>
        <w:pStyle w:val="Heading1"/>
        <w:ind w:left="819"/>
        <w:jc w:val="left"/>
      </w:pPr>
      <w:r>
        <w:rPr>
          <w:color w:val="231F20"/>
        </w:rPr>
        <w:t>Fort Lauderdale-Hollywood International Airport</w:t>
      </w:r>
    </w:p>
    <w:p>
      <w:pPr>
        <w:pStyle w:val="BodyText"/>
        <w:rPr>
          <w:b/>
          <w:sz w:val="23"/>
        </w:rPr>
      </w:pPr>
    </w:p>
    <w:p>
      <w:pPr>
        <w:pStyle w:val="BodyText"/>
        <w:spacing w:line="247" w:lineRule="auto"/>
        <w:ind w:left="100" w:right="117"/>
        <w:jc w:val="both"/>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$295 million. 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Major construction on the project began during third quarter 2015 and is estimated to be completed during</w:t>
      </w:r>
      <w:r>
        <w:rPr>
          <w:color w:val="231F20"/>
          <w:spacing w:val="-5"/>
        </w:rPr>
        <w:t> </w:t>
      </w:r>
      <w:r>
        <w:rPr>
          <w:color w:val="231F20"/>
        </w:rPr>
        <w:t>2017.</w:t>
      </w:r>
    </w:p>
    <w:p>
      <w:pPr>
        <w:pStyle w:val="BodyText"/>
        <w:spacing w:before="9"/>
        <w:rPr>
          <w:sz w:val="20"/>
        </w:rPr>
      </w:pPr>
    </w:p>
    <w:p>
      <w:pPr>
        <w:pStyle w:val="Heading1"/>
        <w:ind w:left="819"/>
        <w:jc w:val="left"/>
      </w:pPr>
      <w:r>
        <w:rPr>
          <w:color w:val="231F20"/>
        </w:rPr>
        <w:t>Houston William P. Hobby Airport</w:t>
      </w:r>
    </w:p>
    <w:p>
      <w:pPr>
        <w:pStyle w:val="BodyText"/>
        <w:spacing w:before="5"/>
        <w:rPr>
          <w:b/>
          <w:sz w:val="21"/>
        </w:rPr>
      </w:pPr>
    </w:p>
    <w:p>
      <w:pPr>
        <w:pStyle w:val="BodyText"/>
        <w:spacing w:line="247" w:lineRule="auto"/>
        <w:ind w:left="100" w:right="117"/>
        <w:jc w:val="both"/>
      </w:pPr>
      <w:r>
        <w:rPr>
          <w:color w:val="231F20"/>
        </w:rPr>
        <w:t>The Company oversaw and managed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cost approximately $156 million, and the Company provided the funding for, and management of the project. In return, the Company receives a monthly credit for the capital cost portions of the international terminal from the date of initial occupancy of the terminal until expiration of the Lease. Additionally, a small portion of the project qualified for rental credits that will be utilized against the Company’s 2016 lease payments at the airport. At any time after the completion of the project, the City may buy out the Company’s investment in the international terminal via a cash payment for the then-unamortized cost of the  project.</w:t>
      </w:r>
    </w:p>
    <w:p>
      <w:pPr>
        <w:pStyle w:val="BodyText"/>
        <w:spacing w:before="9"/>
        <w:rPr>
          <w:sz w:val="20"/>
        </w:rPr>
      </w:pPr>
    </w:p>
    <w:p>
      <w:pPr>
        <w:pStyle w:val="BodyText"/>
        <w:spacing w:line="247" w:lineRule="auto"/>
        <w:ind w:left="100" w:right="117"/>
        <w:jc w:val="both"/>
      </w:pPr>
      <w:r>
        <w:rPr>
          <w:color w:val="231F20"/>
        </w:rPr>
        <w:t>The Company’s liquidity has been impacted by this project from the point of initial funding through  the time at which it receives monthly credits, and whether or not the City chooses to buy out the Company’s investment prior to the full amortization of the project. The project did not have a significant impact on the Company’s capital resources or financial position. Construction  began  during third quarter 2013 and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Heading1"/>
        <w:ind w:left="819"/>
        <w:jc w:val="left"/>
      </w:pPr>
      <w:r>
        <w:rPr>
          <w:color w:val="231F20"/>
        </w:rPr>
        <w:t>Los Angeles International Airport</w:t>
      </w:r>
    </w:p>
    <w:p>
      <w:pPr>
        <w:pStyle w:val="BodyText"/>
        <w:spacing w:before="5"/>
        <w:rPr>
          <w:b/>
          <w:sz w:val="21"/>
        </w:rPr>
      </w:pPr>
    </w:p>
    <w:p>
      <w:pPr>
        <w:pStyle w:val="BodyText"/>
        <w:spacing w:line="247" w:lineRule="auto"/>
        <w:ind w:left="100" w:right="117"/>
        <w:jc w:val="both"/>
      </w:pPr>
      <w:r>
        <w:rPr>
          <w:color w:val="231F20"/>
        </w:rPr>
        <w:t>In March 2013, the Company executed a lease agreement with Los Angeles World Airports (“LAWA”), which owns and operates Los Angeles International Airport.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w:t>
      </w:r>
      <w:r>
        <w:rPr>
          <w:color w:val="231F20"/>
          <w:spacing w:val="-1"/>
        </w:rPr>
        <w:t> </w:t>
      </w:r>
      <w:r>
        <w:rPr>
          <w:color w:val="231F20"/>
        </w:rPr>
        <w:t>facility.</w:t>
      </w:r>
    </w:p>
    <w:p>
      <w:pPr>
        <w:pStyle w:val="BodyText"/>
        <w:spacing w:before="9"/>
        <w:rPr>
          <w:sz w:val="20"/>
        </w:rPr>
      </w:pPr>
    </w:p>
    <w:p>
      <w:pPr>
        <w:pStyle w:val="BodyText"/>
        <w:spacing w:line="247" w:lineRule="auto"/>
        <w:ind w:left="100" w:right="119"/>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2014 and is estimated to be completed during 2018.</w:t>
      </w:r>
    </w:p>
    <w:p>
      <w:pPr>
        <w:spacing w:after="0" w:line="247" w:lineRule="auto"/>
        <w:jc w:val="both"/>
        <w:sectPr>
          <w:pgSz w:w="11880" w:h="15480"/>
          <w:pgMar w:header="0" w:footer="1240" w:top="1240" w:bottom="1420" w:left="1280" w:right="1260"/>
        </w:sectPr>
      </w:pPr>
    </w:p>
    <w:p>
      <w:pPr>
        <w:pStyle w:val="Heading1"/>
        <w:spacing w:before="74"/>
      </w:pPr>
      <w:bookmarkStart w:name="Critical Accounting Policies and Estimat" w:id="14"/>
      <w:bookmarkEnd w:id="14"/>
      <w:r>
        <w:rPr>
          <w:b w:val="0"/>
        </w:rPr>
      </w:r>
      <w:r>
        <w:rPr>
          <w:color w:val="231F20"/>
        </w:rPr>
        <w:t>CRITICAL ACCOUNTING POLICIES AND ESTIMATES</w:t>
      </w:r>
    </w:p>
    <w:p>
      <w:pPr>
        <w:pStyle w:val="BodyText"/>
        <w:spacing w:line="247" w:lineRule="auto" w:before="213"/>
        <w:ind w:left="100" w:right="117"/>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Heading2"/>
        <w:spacing w:before="206"/>
        <w:rPr>
          <w:i/>
        </w:rPr>
      </w:pPr>
      <w:r>
        <w:rPr>
          <w:i/>
          <w:color w:val="231F20"/>
        </w:rPr>
        <w:t>Revenue Recognition</w:t>
      </w:r>
    </w:p>
    <w:p>
      <w:pPr>
        <w:pStyle w:val="BodyText"/>
        <w:spacing w:line="247" w:lineRule="auto" w:before="213"/>
        <w:ind w:left="100" w:right="117"/>
        <w:jc w:val="both"/>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funds that are  past flight date and remain unused.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w:t>
      </w:r>
    </w:p>
    <w:p>
      <w:pPr>
        <w:pStyle w:val="BodyText"/>
        <w:spacing w:line="247" w:lineRule="auto" w:before="206"/>
        <w:ind w:left="100" w:right="117"/>
        <w:jc w:val="both"/>
      </w:pPr>
      <w:r>
        <w:rPr>
          <w:color w:val="231F20"/>
        </w:rPr>
        <w:t>For air travel on Southwest, the amount of tickets that will expire unused are estimated and recognized in Passenger revenue once the scheduled flight date has passed. Estimating the amount of tickets that will expire unused involves some level of subjectivity and judgment. The majority of Southwest’s tickets sold are nonrefundable, which is the primary source of unused tickets. In September 2013, Southwest implemented a No Show policy that applies to nonrefundable fares that are not canceled or changed by a Customer at least ten minutes prior to a flight’s scheduled departure. See Note 1 to the Consolidated Financial Statements for further information. According to Southwest’s current “Contract of Carriage,” all refundable tickets that are sold but not flown on the travel date can be reused for another flight up to a year from the date of sale, or some tickets can be refunded. This policy also applies to unused Customer funds that may be the result of an exchange downgrade. A small percentage of tickets (or partial tickets) expire unused. Fully refundable tickets rarely expire unused. Estimates of tickets that will expire unused are based on historical experience over many years. Southwest has consistently applied this accounting method to estimate revenue from unused tickets at the date of scheduled travel.</w:t>
      </w:r>
    </w:p>
    <w:p>
      <w:pPr>
        <w:pStyle w:val="BodyText"/>
        <w:spacing w:line="247" w:lineRule="auto" w:before="206"/>
        <w:ind w:left="100" w:right="117"/>
        <w:jc w:val="both"/>
      </w:pPr>
      <w:r>
        <w:rPr>
          <w:color w:val="231F20"/>
        </w:rPr>
        <w:t>Events and circumstances outside of historical fare sale activity or historical Customer travel patterns can result in actual spoiled tickets differing significantly from estimates. The Company evaluates its estimates within a narrow range of acceptable amounts. If actual spoilage results in an amount outside of this range, estimates and assumptions are reviewed and adjustments to Air traffic liability and to Passenger revenue are recorded, as necessary. Additional factors that may affect estimated spoiled tickets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spoiled tickets may vary from estimated amounts. During 2014, the Company revised assumptions regarding Customer behavior subsequent to the implementation of its No Show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policy. Consequently, the Company’s estimate of the amount of spoiled tickets recorded during 2014 was approximately 15 percent higher than what it believed its historical averages would indicate for  that year. The Company believes the change in policy resulted in a permanent shift in Customer behavior for 2014 and all subsequent periods, barring any future modifications to the Company’s ticketing policies. The Company believes these estimates are supported by actual data and are reasonable given the underlying fact patterns.</w:t>
      </w:r>
    </w:p>
    <w:p>
      <w:pPr>
        <w:pStyle w:val="BodyText"/>
        <w:spacing w:before="7"/>
      </w:pPr>
    </w:p>
    <w:p>
      <w:pPr>
        <w:pStyle w:val="BodyText"/>
        <w:spacing w:line="247" w:lineRule="auto"/>
        <w:ind w:left="100" w:right="118"/>
        <w:jc w:val="both"/>
      </w:pPr>
      <w:r>
        <w:rPr>
          <w:color w:val="231F20"/>
        </w:rPr>
        <w:t>The Company believes it is unlikely that materially different estimates for future spoiled tickets would be reported based on other reasonable assumptions or conditions suggested by actual historical experience and other data available at the time estimates were made.</w:t>
      </w:r>
    </w:p>
    <w:p>
      <w:pPr>
        <w:pStyle w:val="BodyText"/>
        <w:rPr>
          <w:sz w:val="34"/>
        </w:rPr>
      </w:pPr>
    </w:p>
    <w:p>
      <w:pPr>
        <w:pStyle w:val="Heading2"/>
        <w:rPr>
          <w:i/>
        </w:rPr>
      </w:pPr>
      <w:r>
        <w:rPr>
          <w:i/>
          <w:color w:val="231F20"/>
        </w:rPr>
        <w:t>Accounting for Long-Lived Assets</w:t>
      </w:r>
    </w:p>
    <w:p>
      <w:pPr>
        <w:pStyle w:val="BodyText"/>
        <w:spacing w:before="2"/>
        <w:rPr>
          <w:b/>
          <w:i/>
          <w:sz w:val="23"/>
        </w:rPr>
      </w:pPr>
    </w:p>
    <w:p>
      <w:pPr>
        <w:pStyle w:val="BodyText"/>
        <w:spacing w:line="247" w:lineRule="auto" w:before="1"/>
        <w:ind w:left="100" w:right="117"/>
        <w:jc w:val="both"/>
      </w:pPr>
      <w:r>
        <w:rPr>
          <w:color w:val="231F20"/>
        </w:rPr>
        <w:t>Flight equipment and related assets make up the majority of the Company’s long-lived assets. Flight equipment primarily relates to the 609 Boeing 737 aircraft in the Company’s fleet at December 31, 2015, which are either owned or on capital lease. The remaining 95 Boeing 737 aircraft in the Company’s fleet at December 31, 2015, are operated under operating leases. The Company also has 88 Boeing 717 aircraft, which are part of the lease/sublease with Delta. As these aircraft are not in service for the Company, they are not included in the fleet count as of December 31, 2015.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7"/>
      </w:pPr>
    </w:p>
    <w:p>
      <w:pPr>
        <w:pStyle w:val="BodyText"/>
        <w:spacing w:line="247" w:lineRule="auto"/>
        <w:ind w:left="100" w:right="117"/>
        <w:jc w:val="both"/>
      </w:pPr>
      <w:r>
        <w:rPr>
          <w:color w:val="231F20"/>
        </w:rPr>
        <w:t>The following table shows a breakdown of the Company’s long-lived asset groups along with information about estimated useful lives and residual values for new assets generally purchased from the manufacturer and assets constructed for others:</w:t>
      </w:r>
    </w:p>
    <w:p>
      <w:pPr>
        <w:pStyle w:val="BodyText"/>
        <w:spacing w:before="7"/>
        <w:rPr>
          <w:sz w:val="1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6"/>
        <w:gridCol w:w="2008"/>
        <w:gridCol w:w="756"/>
        <w:gridCol w:w="2680"/>
      </w:tblGrid>
      <w:tr>
        <w:trPr>
          <w:trHeight w:val="450" w:hRule="exact"/>
        </w:trPr>
        <w:tc>
          <w:tcPr>
            <w:tcW w:w="3676" w:type="dxa"/>
          </w:tcPr>
          <w:p>
            <w:pPr/>
          </w:p>
        </w:tc>
        <w:tc>
          <w:tcPr>
            <w:tcW w:w="2008" w:type="dxa"/>
            <w:tcBorders>
              <w:bottom w:val="single" w:sz="8" w:space="0" w:color="231F20"/>
            </w:tcBorders>
          </w:tcPr>
          <w:p>
            <w:pPr>
              <w:pStyle w:val="TableParagraph"/>
              <w:spacing w:line="200" w:lineRule="exact" w:before="19"/>
              <w:ind w:left="600" w:right="582" w:firstLine="3"/>
              <w:rPr>
                <w:sz w:val="20"/>
              </w:rPr>
            </w:pPr>
            <w:r>
              <w:rPr>
                <w:color w:val="231F20"/>
                <w:sz w:val="20"/>
              </w:rPr>
              <w:t>Estimated useful life</w:t>
            </w:r>
          </w:p>
        </w:tc>
        <w:tc>
          <w:tcPr>
            <w:tcW w:w="756" w:type="dxa"/>
          </w:tcPr>
          <w:p>
            <w:pPr/>
          </w:p>
        </w:tc>
        <w:tc>
          <w:tcPr>
            <w:tcW w:w="2680" w:type="dxa"/>
            <w:tcBorders>
              <w:bottom w:val="single" w:sz="8" w:space="0" w:color="231F20"/>
            </w:tcBorders>
          </w:tcPr>
          <w:p>
            <w:pPr>
              <w:pStyle w:val="TableParagraph"/>
              <w:spacing w:line="200" w:lineRule="exact" w:before="19"/>
              <w:ind w:left="600" w:right="943" w:firstLine="159"/>
              <w:rPr>
                <w:sz w:val="20"/>
              </w:rPr>
            </w:pPr>
            <w:r>
              <w:rPr>
                <w:color w:val="231F20"/>
                <w:sz w:val="20"/>
              </w:rPr>
              <w:t>Estimated residual value</w:t>
            </w:r>
          </w:p>
        </w:tc>
      </w:tr>
      <w:tr>
        <w:trPr>
          <w:trHeight w:val="310" w:hRule="exact"/>
        </w:trPr>
        <w:tc>
          <w:tcPr>
            <w:tcW w:w="3676" w:type="dxa"/>
            <w:shd w:val="clear" w:color="auto" w:fill="D1D3D4"/>
          </w:tcPr>
          <w:p>
            <w:pPr>
              <w:pStyle w:val="TableParagraph"/>
              <w:rPr>
                <w:sz w:val="20"/>
              </w:rPr>
            </w:pPr>
            <w:r>
              <w:rPr>
                <w:color w:val="231F20"/>
                <w:sz w:val="20"/>
              </w:rPr>
              <w:t>Airframes and engines</w:t>
            </w:r>
          </w:p>
        </w:tc>
        <w:tc>
          <w:tcPr>
            <w:tcW w:w="2008" w:type="dxa"/>
            <w:tcBorders>
              <w:top w:val="single" w:sz="8" w:space="0" w:color="231F20"/>
            </w:tcBorders>
            <w:shd w:val="clear" w:color="auto" w:fill="D1D3D4"/>
          </w:tcPr>
          <w:p>
            <w:pPr>
              <w:pStyle w:val="TableParagraph"/>
              <w:ind w:left="419" w:right="420"/>
              <w:jc w:val="center"/>
              <w:rPr>
                <w:sz w:val="20"/>
              </w:rPr>
            </w:pPr>
            <w:r>
              <w:rPr>
                <w:color w:val="231F20"/>
                <w:sz w:val="20"/>
              </w:rPr>
              <w:t>23 to 25 years</w:t>
            </w:r>
          </w:p>
        </w:tc>
        <w:tc>
          <w:tcPr>
            <w:tcW w:w="756" w:type="dxa"/>
            <w:shd w:val="clear" w:color="auto" w:fill="D1D3D4"/>
          </w:tcPr>
          <w:p>
            <w:pPr/>
          </w:p>
        </w:tc>
        <w:tc>
          <w:tcPr>
            <w:tcW w:w="2680" w:type="dxa"/>
            <w:tcBorders>
              <w:top w:val="single" w:sz="8" w:space="0" w:color="231F20"/>
            </w:tcBorders>
            <w:shd w:val="clear" w:color="auto" w:fill="D1D3D4"/>
          </w:tcPr>
          <w:p>
            <w:pPr>
              <w:pStyle w:val="TableParagraph"/>
              <w:ind w:left="493" w:right="852"/>
              <w:jc w:val="center"/>
              <w:rPr>
                <w:sz w:val="20"/>
              </w:rPr>
            </w:pPr>
            <w:r>
              <w:rPr>
                <w:color w:val="231F20"/>
                <w:sz w:val="20"/>
              </w:rPr>
              <w:t>2 to 20 percent</w:t>
            </w:r>
          </w:p>
        </w:tc>
      </w:tr>
      <w:tr>
        <w:trPr>
          <w:trHeight w:val="300" w:hRule="exact"/>
        </w:trPr>
        <w:tc>
          <w:tcPr>
            <w:tcW w:w="3676" w:type="dxa"/>
          </w:tcPr>
          <w:p>
            <w:pPr>
              <w:pStyle w:val="TableParagraph"/>
              <w:rPr>
                <w:sz w:val="20"/>
              </w:rPr>
            </w:pPr>
            <w:r>
              <w:rPr>
                <w:color w:val="231F20"/>
                <w:sz w:val="20"/>
              </w:rPr>
              <w:t>Aircraft parts</w:t>
            </w:r>
          </w:p>
        </w:tc>
        <w:tc>
          <w:tcPr>
            <w:tcW w:w="2008" w:type="dxa"/>
          </w:tcPr>
          <w:p>
            <w:pPr>
              <w:pStyle w:val="TableParagraph"/>
              <w:ind w:left="419" w:right="419"/>
              <w:jc w:val="center"/>
              <w:rPr>
                <w:sz w:val="20"/>
              </w:rPr>
            </w:pPr>
            <w:r>
              <w:rPr>
                <w:color w:val="231F20"/>
                <w:sz w:val="20"/>
              </w:rPr>
              <w:t>Fleet life</w:t>
            </w:r>
          </w:p>
        </w:tc>
        <w:tc>
          <w:tcPr>
            <w:tcW w:w="756" w:type="dxa"/>
          </w:tcPr>
          <w:p>
            <w:pPr/>
          </w:p>
        </w:tc>
        <w:tc>
          <w:tcPr>
            <w:tcW w:w="2680" w:type="dxa"/>
          </w:tcPr>
          <w:p>
            <w:pPr>
              <w:pStyle w:val="TableParagraph"/>
              <w:ind w:left="493" w:right="852"/>
              <w:jc w:val="center"/>
              <w:rPr>
                <w:sz w:val="20"/>
              </w:rPr>
            </w:pPr>
            <w:r>
              <w:rPr>
                <w:color w:val="231F20"/>
                <w:sz w:val="20"/>
              </w:rPr>
              <w:t>4 percent</w:t>
            </w:r>
          </w:p>
        </w:tc>
      </w:tr>
      <w:tr>
        <w:trPr>
          <w:trHeight w:val="300" w:hRule="exact"/>
        </w:trPr>
        <w:tc>
          <w:tcPr>
            <w:tcW w:w="3676" w:type="dxa"/>
            <w:shd w:val="clear" w:color="auto" w:fill="D1D3D4"/>
          </w:tcPr>
          <w:p>
            <w:pPr>
              <w:pStyle w:val="TableParagraph"/>
              <w:rPr>
                <w:sz w:val="20"/>
              </w:rPr>
            </w:pPr>
            <w:r>
              <w:rPr>
                <w:color w:val="231F20"/>
                <w:sz w:val="20"/>
              </w:rPr>
              <w:t>Assets constructed for others</w:t>
            </w:r>
          </w:p>
        </w:tc>
        <w:tc>
          <w:tcPr>
            <w:tcW w:w="2008" w:type="dxa"/>
            <w:shd w:val="clear" w:color="auto" w:fill="D1D3D4"/>
          </w:tcPr>
          <w:p>
            <w:pPr>
              <w:pStyle w:val="TableParagraph"/>
              <w:ind w:left="419" w:right="420"/>
              <w:jc w:val="center"/>
              <w:rPr>
                <w:sz w:val="20"/>
              </w:rPr>
            </w:pPr>
            <w:r>
              <w:rPr>
                <w:color w:val="231F20"/>
                <w:sz w:val="20"/>
              </w:rPr>
              <w:t>25 to 30 years</w:t>
            </w:r>
          </w:p>
        </w:tc>
        <w:tc>
          <w:tcPr>
            <w:tcW w:w="756" w:type="dxa"/>
            <w:shd w:val="clear" w:color="auto" w:fill="D1D3D4"/>
          </w:tcPr>
          <w:p>
            <w:pPr/>
          </w:p>
        </w:tc>
        <w:tc>
          <w:tcPr>
            <w:tcW w:w="2680" w:type="dxa"/>
            <w:shd w:val="clear" w:color="auto" w:fill="D1D3D4"/>
          </w:tcPr>
          <w:p>
            <w:pPr>
              <w:pStyle w:val="TableParagraph"/>
              <w:ind w:left="493" w:right="852"/>
              <w:jc w:val="center"/>
              <w:rPr>
                <w:sz w:val="20"/>
              </w:rPr>
            </w:pPr>
            <w:r>
              <w:rPr>
                <w:color w:val="231F20"/>
                <w:sz w:val="20"/>
              </w:rPr>
              <w:t>17 to 25 percent</w:t>
            </w:r>
          </w:p>
        </w:tc>
      </w:tr>
      <w:tr>
        <w:trPr>
          <w:trHeight w:val="284" w:hRule="exact"/>
        </w:trPr>
        <w:tc>
          <w:tcPr>
            <w:tcW w:w="3676" w:type="dxa"/>
          </w:tcPr>
          <w:p>
            <w:pPr>
              <w:pStyle w:val="TableParagraph"/>
              <w:rPr>
                <w:sz w:val="20"/>
              </w:rPr>
            </w:pPr>
            <w:r>
              <w:rPr>
                <w:color w:val="231F20"/>
                <w:sz w:val="20"/>
              </w:rPr>
              <w:t>Ground property and equipment</w:t>
            </w:r>
          </w:p>
        </w:tc>
        <w:tc>
          <w:tcPr>
            <w:tcW w:w="2008" w:type="dxa"/>
          </w:tcPr>
          <w:p>
            <w:pPr>
              <w:pStyle w:val="TableParagraph"/>
              <w:ind w:left="419" w:right="420"/>
              <w:jc w:val="center"/>
              <w:rPr>
                <w:sz w:val="20"/>
              </w:rPr>
            </w:pPr>
            <w:r>
              <w:rPr>
                <w:color w:val="231F20"/>
                <w:sz w:val="20"/>
              </w:rPr>
              <w:t>5 to 30 years</w:t>
            </w:r>
          </w:p>
        </w:tc>
        <w:tc>
          <w:tcPr>
            <w:tcW w:w="756" w:type="dxa"/>
          </w:tcPr>
          <w:p>
            <w:pPr/>
          </w:p>
        </w:tc>
        <w:tc>
          <w:tcPr>
            <w:tcW w:w="2680" w:type="dxa"/>
          </w:tcPr>
          <w:p>
            <w:pPr>
              <w:pStyle w:val="TableParagraph"/>
              <w:ind w:left="493" w:right="852"/>
              <w:jc w:val="center"/>
              <w:rPr>
                <w:sz w:val="20"/>
              </w:rPr>
            </w:pPr>
            <w:r>
              <w:rPr>
                <w:color w:val="231F20"/>
                <w:sz w:val="20"/>
              </w:rPr>
              <w:t>0 to 10 percent</w:t>
            </w:r>
          </w:p>
        </w:tc>
      </w:tr>
    </w:tbl>
    <w:p>
      <w:pPr>
        <w:pStyle w:val="BodyText"/>
        <w:spacing w:before="10"/>
        <w:rPr>
          <w:sz w:val="28"/>
        </w:rPr>
      </w:pPr>
    </w:p>
    <w:p>
      <w:pPr>
        <w:pStyle w:val="BodyText"/>
        <w:spacing w:line="247" w:lineRule="auto"/>
        <w:ind w:left="100" w:right="118"/>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See Notes 1 and 2 to the Consolidated Financial Statements for further</w:t>
      </w:r>
      <w:r>
        <w:rPr>
          <w:color w:val="231F20"/>
          <w:spacing w:val="-3"/>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5"/>
      </w:pPr>
    </w:p>
    <w:p>
      <w:pPr>
        <w:pStyle w:val="Heading2"/>
        <w:rPr>
          <w:i/>
        </w:rPr>
      </w:pPr>
      <w:r>
        <w:rPr>
          <w:i/>
          <w:color w:val="231F20"/>
        </w:rPr>
        <w:t>Financial Derivative Instruments</w:t>
      </w:r>
    </w:p>
    <w:p>
      <w:pPr>
        <w:pStyle w:val="BodyText"/>
        <w:spacing w:before="1"/>
        <w:rPr>
          <w:b/>
          <w:i/>
          <w:sz w:val="23"/>
        </w:rPr>
      </w:pPr>
    </w:p>
    <w:p>
      <w:pPr>
        <w:pStyle w:val="BodyText"/>
        <w:spacing w:line="247" w:lineRule="auto"/>
        <w:ind w:left="100" w:right="117"/>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before="5"/>
      </w:pPr>
    </w:p>
    <w:p>
      <w:pPr>
        <w:pStyle w:val="BodyText"/>
        <w:spacing w:line="247" w:lineRule="auto"/>
        <w:ind w:left="100" w:right="117"/>
        <w:jc w:val="both"/>
      </w:pPr>
      <w:r>
        <w:rPr>
          <w:color w:val="231F20"/>
        </w:rPr>
        <w:t>All derivatives are required to be reflected at fair value and recorded on the Consolidated Balance Sheet. At December 31, 2015, the Company was a party to over 1,200 separate financial derivative instruments related to its fuel hedging program for the years 2016 through 2018. Changes in the fair values of these instruments can vary dramatically based on changes in the underlying commodity prices. For example, during 2015, market “spot” prices for Brent crude oil peaked at a high of approximately $68 per barrel and hit a low price of approximately $36 per barrel. During 2014, market spot prices ranged from a high of $115 per barrel to a low of $57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pStyle w:val="BodyText"/>
        <w:spacing w:before="5"/>
      </w:pPr>
    </w:p>
    <w:p>
      <w:pPr>
        <w:pStyle w:val="BodyText"/>
        <w:spacing w:line="247" w:lineRule="auto"/>
        <w:ind w:left="100" w:right="117"/>
        <w:jc w:val="both"/>
      </w:pPr>
      <w:r>
        <w:rPr>
          <w:color w:val="231F20"/>
        </w:rPr>
        <w:t>The Company enters into financial derivative instruments with third party institutions in “over-the- 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5"/>
      </w:pPr>
    </w:p>
    <w:p>
      <w:pPr>
        <w:pStyle w:val="BodyText"/>
        <w:spacing w:line="247" w:lineRule="auto"/>
        <w:ind w:left="100" w:right="117"/>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periods, because of increased volatility in energy markets, the Company lost hedge accounting for certain types of commodities, including the periods from July 2013 through July 2015, when the Company lost hedge accounting for West Texas Intermediate crude oil (“WTI”) instruments. As such, the changes in fair value of all of the Company’s derivatives in WTI were recorded directly to Other (gains) losses, net in the Consolidated Statement of Income. The Company did not lose hedge accounting for an entire commodity during any other periods presented.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Although the Company continues to use a prospective assessment to determine that other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GAAP financial results.</w:t>
      </w:r>
    </w:p>
    <w:p>
      <w:pPr>
        <w:pStyle w:val="BodyText"/>
        <w:spacing w:before="5"/>
      </w:pPr>
    </w:p>
    <w:p>
      <w:pPr>
        <w:pStyle w:val="BodyText"/>
        <w:spacing w:line="247" w:lineRule="auto"/>
        <w:ind w:left="100" w:right="117"/>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pStyle w:val="BodyText"/>
        <w:spacing w:before="5"/>
      </w:pPr>
    </w:p>
    <w:p>
      <w:pPr>
        <w:pStyle w:val="BodyText"/>
        <w:spacing w:line="247" w:lineRule="auto"/>
        <w:ind w:left="100" w:right="117"/>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before="5"/>
      </w:pPr>
    </w:p>
    <w:p>
      <w:pPr>
        <w:pStyle w:val="BodyText"/>
        <w:spacing w:line="247" w:lineRule="auto"/>
        <w:ind w:left="100" w:right="117"/>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future cash flows (i.e., jet fuel prices) has been consistently applied during 2015, 2014, and 2013, and has not changed for either assessing or measuring hedge ineffectiveness during these periods.</w:t>
      </w:r>
    </w:p>
    <w:p>
      <w:pPr>
        <w:pStyle w:val="BodyText"/>
        <w:spacing w:before="8"/>
        <w:rPr>
          <w:sz w:val="25"/>
        </w:rPr>
      </w:pPr>
    </w:p>
    <w:p>
      <w:pPr>
        <w:pStyle w:val="BodyText"/>
        <w:spacing w:line="247" w:lineRule="auto"/>
        <w:ind w:left="100" w:right="117"/>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8"/>
        <w:rPr>
          <w:sz w:val="25"/>
        </w:rPr>
      </w:pPr>
    </w:p>
    <w:p>
      <w:pPr>
        <w:pStyle w:val="Heading2"/>
        <w:rPr>
          <w:i/>
        </w:rPr>
      </w:pPr>
      <w:r>
        <w:rPr>
          <w:i/>
          <w:color w:val="231F20"/>
        </w:rPr>
        <w:t>Fair Value Measurements</w:t>
      </w:r>
    </w:p>
    <w:p>
      <w:pPr>
        <w:pStyle w:val="BodyText"/>
        <w:spacing w:before="4"/>
        <w:rPr>
          <w:b/>
          <w:i/>
          <w:sz w:val="26"/>
        </w:rPr>
      </w:pPr>
    </w:p>
    <w:p>
      <w:pPr>
        <w:pStyle w:val="BodyText"/>
        <w:spacing w:line="247" w:lineRule="auto"/>
        <w:ind w:left="100" w:right="117"/>
        <w:jc w:val="both"/>
      </w:pPr>
      <w:r>
        <w:rPr>
          <w:color w:val="231F20"/>
        </w:rPr>
        <w:t>The Company utilizes unobservable (Level 3) inputs in determining the fair value of certain assets and liabilities. At December 31, 2015, these primarily included a portion of its fuel derivative option contracts, which were a net liability of $1.7 billion.</w:t>
      </w:r>
    </w:p>
    <w:p>
      <w:pPr>
        <w:pStyle w:val="BodyText"/>
        <w:spacing w:before="8"/>
        <w:rPr>
          <w:sz w:val="25"/>
        </w:rPr>
      </w:pPr>
    </w:p>
    <w:p>
      <w:pPr>
        <w:pStyle w:val="BodyText"/>
        <w:spacing w:line="247" w:lineRule="auto"/>
        <w:ind w:left="100" w:right="117"/>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8"/>
        <w:rPr>
          <w:sz w:val="25"/>
        </w:rPr>
      </w:pPr>
    </w:p>
    <w:p>
      <w:pPr>
        <w:pStyle w:val="BodyText"/>
        <w:spacing w:line="247" w:lineRule="auto"/>
        <w:ind w:left="100" w:right="117"/>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4"/>
        </w:rPr>
        <w:t> </w:t>
      </w:r>
      <w:r>
        <w:rPr>
          <w:color w:val="231F20"/>
        </w:rPr>
        <w:t>values.</w:t>
      </w:r>
    </w:p>
    <w:p>
      <w:pPr>
        <w:pStyle w:val="BodyText"/>
        <w:spacing w:before="8"/>
        <w:rPr>
          <w:sz w:val="25"/>
        </w:rPr>
      </w:pPr>
    </w:p>
    <w:p>
      <w:pPr>
        <w:pStyle w:val="Heading2"/>
        <w:rPr>
          <w:i/>
        </w:rPr>
      </w:pPr>
      <w:r>
        <w:rPr>
          <w:i/>
          <w:color w:val="231F20"/>
        </w:rPr>
        <w:t>Frequent Flyer Accounting</w:t>
      </w:r>
    </w:p>
    <w:p>
      <w:pPr>
        <w:pStyle w:val="BodyText"/>
        <w:spacing w:before="4"/>
        <w:rPr>
          <w:b/>
          <w:i/>
          <w:sz w:val="26"/>
        </w:rPr>
      </w:pPr>
    </w:p>
    <w:p>
      <w:pPr>
        <w:pStyle w:val="BodyText"/>
        <w:spacing w:line="247" w:lineRule="auto"/>
        <w:ind w:left="100" w:right="117"/>
        <w:jc w:val="both"/>
      </w:pPr>
      <w:r>
        <w:rPr>
          <w:color w:val="231F20"/>
        </w:rPr>
        <w:t>The Company utilizes estimates in the recognition of liabilities associated with its frequent flyer program. These estimates primarily include the liability associated with Rapid Rewards frequent flyer member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6"/>
        </w:rPr>
        <w:t> </w:t>
      </w:r>
      <w:r>
        <w:rPr>
          <w:color w:val="231F20"/>
        </w:rPr>
        <w:t>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on other airlines, cruises, hotel stays, rental cars, gift cards, event tickets, and more. In addition to earning points for revenue flights and qualifying purchases with Rapid Rewards Partners, Rapid Rewards Members also have the ability to purchase, gift, and transfer points, as well as the ability to donate points to selected charities.</w:t>
      </w:r>
    </w:p>
    <w:p>
      <w:pPr>
        <w:pStyle w:val="BodyText"/>
        <w:spacing w:before="5"/>
      </w:pPr>
    </w:p>
    <w:p>
      <w:pPr>
        <w:pStyle w:val="BodyText"/>
        <w:spacing w:line="247" w:lineRule="auto"/>
        <w:ind w:left="100" w:right="117"/>
        <w:jc w:val="both"/>
      </w:pPr>
      <w:r>
        <w:rPr>
          <w:color w:val="231F20"/>
        </w:rPr>
        <w:t>The</w:t>
      </w:r>
      <w:r>
        <w:rPr>
          <w:color w:val="231F20"/>
          <w:spacing w:val="-3"/>
        </w:rPr>
        <w:t> </w:t>
      </w:r>
      <w:r>
        <w:rPr>
          <w:color w:val="231F20"/>
        </w:rPr>
        <w:t>Company</w:t>
      </w:r>
      <w:r>
        <w:rPr>
          <w:color w:val="231F20"/>
          <w:spacing w:val="-3"/>
        </w:rPr>
        <w:t> </w:t>
      </w:r>
      <w:r>
        <w:rPr>
          <w:color w:val="231F20"/>
        </w:rPr>
        <w:t>utilizes</w:t>
      </w:r>
      <w:r>
        <w:rPr>
          <w:color w:val="231F20"/>
          <w:spacing w:val="-4"/>
        </w:rPr>
        <w:t> </w:t>
      </w:r>
      <w:r>
        <w:rPr>
          <w:color w:val="231F20"/>
        </w:rPr>
        <w:t>the</w:t>
      </w:r>
      <w:r>
        <w:rPr>
          <w:color w:val="231F20"/>
          <w:spacing w:val="-4"/>
        </w:rPr>
        <w:t> </w:t>
      </w:r>
      <w:r>
        <w:rPr>
          <w:color w:val="231F20"/>
        </w:rPr>
        <w:t>incremental</w:t>
      </w:r>
      <w:r>
        <w:rPr>
          <w:color w:val="231F20"/>
          <w:spacing w:val="-5"/>
        </w:rPr>
        <w:t> </w:t>
      </w:r>
      <w:r>
        <w:rPr>
          <w:color w:val="231F20"/>
        </w:rPr>
        <w:t>cost</w:t>
      </w:r>
      <w:r>
        <w:rPr>
          <w:color w:val="231F20"/>
          <w:spacing w:val="-5"/>
        </w:rPr>
        <w:t> </w:t>
      </w:r>
      <w:r>
        <w:rPr>
          <w:color w:val="231F20"/>
        </w:rPr>
        <w:t>method</w:t>
      </w:r>
      <w:r>
        <w:rPr>
          <w:color w:val="231F20"/>
          <w:spacing w:val="-4"/>
        </w:rPr>
        <w:t> </w:t>
      </w:r>
      <w:r>
        <w:rPr>
          <w:color w:val="231F20"/>
        </w:rPr>
        <w:t>of</w:t>
      </w:r>
      <w:r>
        <w:rPr>
          <w:color w:val="231F20"/>
          <w:spacing w:val="-5"/>
        </w:rPr>
        <w:t> </w:t>
      </w:r>
      <w:r>
        <w:rPr>
          <w:color w:val="231F20"/>
        </w:rPr>
        <w:t>accounting</w:t>
      </w:r>
      <w:r>
        <w:rPr>
          <w:color w:val="231F20"/>
          <w:spacing w:val="-4"/>
        </w:rPr>
        <w:t> </w:t>
      </w:r>
      <w:r>
        <w:rPr>
          <w:color w:val="231F20"/>
        </w:rPr>
        <w:t>for</w:t>
      </w:r>
      <w:r>
        <w:rPr>
          <w:color w:val="231F20"/>
          <w:spacing w:val="-5"/>
        </w:rPr>
        <w:t> </w:t>
      </w:r>
      <w:r>
        <w:rPr>
          <w:color w:val="231F20"/>
        </w:rPr>
        <w:t>points</w:t>
      </w:r>
      <w:r>
        <w:rPr>
          <w:color w:val="231F20"/>
          <w:spacing w:val="-4"/>
        </w:rPr>
        <w:t> </w:t>
      </w:r>
      <w:r>
        <w:rPr>
          <w:color w:val="231F20"/>
        </w:rPr>
        <w:t>earned</w:t>
      </w:r>
      <w:r>
        <w:rPr>
          <w:color w:val="231F20"/>
          <w:spacing w:val="-4"/>
        </w:rPr>
        <w:t> </w:t>
      </w:r>
      <w:r>
        <w:rPr>
          <w:color w:val="231F20"/>
        </w:rPr>
        <w:t>through</w:t>
      </w:r>
      <w:r>
        <w:rPr>
          <w:color w:val="231F20"/>
          <w:spacing w:val="-4"/>
        </w:rPr>
        <w:t> </w:t>
      </w:r>
      <w:r>
        <w:rPr>
          <w:color w:val="231F20"/>
        </w:rPr>
        <w:t>flights</w:t>
      </w:r>
      <w:r>
        <w:rPr>
          <w:color w:val="231F20"/>
          <w:spacing w:val="-4"/>
        </w:rPr>
        <w:t> </w:t>
      </w:r>
      <w:r>
        <w:rPr>
          <w:color w:val="231F20"/>
          <w:spacing w:val="-3"/>
        </w:rPr>
        <w:t>taken </w:t>
      </w:r>
      <w:r>
        <w:rPr>
          <w:color w:val="231F20"/>
        </w:rPr>
        <w:t>in its frequent flyer program. A liability is recorded for the estimated incremental cost of providing free travel</w:t>
      </w:r>
      <w:r>
        <w:rPr>
          <w:color w:val="231F20"/>
          <w:spacing w:val="-6"/>
        </w:rPr>
        <w:t> </w:t>
      </w:r>
      <w:r>
        <w:rPr>
          <w:color w:val="231F20"/>
        </w:rPr>
        <w:t>as</w:t>
      </w:r>
      <w:r>
        <w:rPr>
          <w:color w:val="231F20"/>
          <w:spacing w:val="-5"/>
        </w:rPr>
        <w:t> </w:t>
      </w:r>
      <w:r>
        <w:rPr>
          <w:color w:val="231F20"/>
        </w:rPr>
        <w:t>points</w:t>
      </w:r>
      <w:r>
        <w:rPr>
          <w:color w:val="231F20"/>
          <w:spacing w:val="-5"/>
        </w:rPr>
        <w:t> </w:t>
      </w:r>
      <w:r>
        <w:rPr>
          <w:color w:val="231F20"/>
        </w:rPr>
        <w:t>are</w:t>
      </w:r>
      <w:r>
        <w:rPr>
          <w:color w:val="231F20"/>
          <w:spacing w:val="-5"/>
        </w:rPr>
        <w:t> </w:t>
      </w:r>
      <w:r>
        <w:rPr>
          <w:color w:val="231F20"/>
        </w:rPr>
        <w:t>being</w:t>
      </w:r>
      <w:r>
        <w:rPr>
          <w:color w:val="231F20"/>
          <w:spacing w:val="-5"/>
        </w:rPr>
        <w:t> </w:t>
      </w:r>
      <w:r>
        <w:rPr>
          <w:color w:val="231F20"/>
        </w:rPr>
        <w:t>earned.</w:t>
      </w:r>
      <w:r>
        <w:rPr>
          <w:color w:val="231F20"/>
          <w:spacing w:val="-6"/>
        </w:rPr>
        <w:t> </w:t>
      </w:r>
      <w:r>
        <w:rPr>
          <w:color w:val="231F20"/>
        </w:rPr>
        <w:t>The</w:t>
      </w:r>
      <w:r>
        <w:rPr>
          <w:color w:val="231F20"/>
          <w:spacing w:val="-6"/>
        </w:rPr>
        <w:t> </w:t>
      </w:r>
      <w:r>
        <w:rPr>
          <w:color w:val="231F20"/>
        </w:rPr>
        <w:t>liability</w:t>
      </w:r>
      <w:r>
        <w:rPr>
          <w:color w:val="231F20"/>
          <w:spacing w:val="-6"/>
        </w:rPr>
        <w:t> </w:t>
      </w:r>
      <w:r>
        <w:rPr>
          <w:color w:val="231F20"/>
        </w:rPr>
        <w:t>recorded</w:t>
      </w:r>
      <w:r>
        <w:rPr>
          <w:color w:val="231F20"/>
          <w:spacing w:val="-6"/>
        </w:rPr>
        <w:t> </w:t>
      </w:r>
      <w:r>
        <w:rPr>
          <w:color w:val="231F20"/>
        </w:rPr>
        <w:t>represents</w:t>
      </w:r>
      <w:r>
        <w:rPr>
          <w:color w:val="231F20"/>
          <w:spacing w:val="-6"/>
        </w:rPr>
        <w:t> </w:t>
      </w:r>
      <w:r>
        <w:rPr>
          <w:color w:val="231F20"/>
        </w:rPr>
        <w:t>the</w:t>
      </w:r>
      <w:r>
        <w:rPr>
          <w:color w:val="231F20"/>
          <w:spacing w:val="-6"/>
        </w:rPr>
        <w:t> </w:t>
      </w:r>
      <w:r>
        <w:rPr>
          <w:color w:val="231F20"/>
        </w:rPr>
        <w:t>total</w:t>
      </w:r>
      <w:r>
        <w:rPr>
          <w:color w:val="231F20"/>
          <w:spacing w:val="-7"/>
        </w:rPr>
        <w:t> </w:t>
      </w:r>
      <w:r>
        <w:rPr>
          <w:color w:val="231F20"/>
        </w:rPr>
        <w:t>number</w:t>
      </w:r>
      <w:r>
        <w:rPr>
          <w:color w:val="231F20"/>
          <w:spacing w:val="-7"/>
        </w:rPr>
        <w:t> </w:t>
      </w:r>
      <w:r>
        <w:rPr>
          <w:color w:val="231F20"/>
        </w:rPr>
        <w:t>of</w:t>
      </w:r>
      <w:r>
        <w:rPr>
          <w:color w:val="231F20"/>
          <w:spacing w:val="-7"/>
        </w:rPr>
        <w:t> </w:t>
      </w:r>
      <w:r>
        <w:rPr>
          <w:color w:val="231F20"/>
        </w:rPr>
        <w:t>points</w:t>
      </w:r>
      <w:r>
        <w:rPr>
          <w:color w:val="231F20"/>
          <w:spacing w:val="-6"/>
        </w:rPr>
        <w:t> </w:t>
      </w:r>
      <w:r>
        <w:rPr>
          <w:color w:val="231F20"/>
        </w:rPr>
        <w:t>expected</w:t>
      </w:r>
      <w:r>
        <w:rPr>
          <w:color w:val="231F20"/>
          <w:spacing w:val="-6"/>
        </w:rPr>
        <w:t> </w:t>
      </w:r>
      <w:r>
        <w:rPr>
          <w:color w:val="231F20"/>
        </w:rPr>
        <w:t>to be redeemed by Members, regardless of whether the Members may have enough to qualify for a </w:t>
      </w:r>
      <w:r>
        <w:rPr>
          <w:color w:val="231F20"/>
          <w:spacing w:val="-3"/>
        </w:rPr>
        <w:t>full </w:t>
      </w:r>
      <w:r>
        <w:rPr>
          <w:color w:val="231F20"/>
        </w:rPr>
        <w:t>travel</w:t>
      </w:r>
      <w:r>
        <w:rPr>
          <w:color w:val="231F20"/>
          <w:spacing w:val="-5"/>
        </w:rPr>
        <w:t> </w:t>
      </w:r>
      <w:r>
        <w:rPr>
          <w:color w:val="231F20"/>
        </w:rPr>
        <w:t>award.</w:t>
      </w:r>
      <w:r>
        <w:rPr>
          <w:color w:val="231F20"/>
          <w:spacing w:val="-5"/>
        </w:rPr>
        <w:t> </w:t>
      </w:r>
      <w:r>
        <w:rPr>
          <w:color w:val="231F20"/>
        </w:rPr>
        <w:t>The</w:t>
      </w:r>
      <w:r>
        <w:rPr>
          <w:color w:val="231F20"/>
          <w:spacing w:val="-5"/>
        </w:rPr>
        <w:t> </w:t>
      </w:r>
      <w:r>
        <w:rPr>
          <w:color w:val="231F20"/>
        </w:rPr>
        <w:t>incremental</w:t>
      </w:r>
      <w:r>
        <w:rPr>
          <w:color w:val="231F20"/>
          <w:spacing w:val="-5"/>
        </w:rPr>
        <w:t> </w:t>
      </w:r>
      <w:r>
        <w:rPr>
          <w:color w:val="231F20"/>
        </w:rPr>
        <w:t>cost</w:t>
      </w:r>
      <w:r>
        <w:rPr>
          <w:color w:val="231F20"/>
          <w:spacing w:val="-5"/>
        </w:rPr>
        <w:t> </w:t>
      </w:r>
      <w:r>
        <w:rPr>
          <w:color w:val="231F20"/>
        </w:rPr>
        <w:t>liability</w:t>
      </w:r>
      <w:r>
        <w:rPr>
          <w:color w:val="231F20"/>
          <w:spacing w:val="-5"/>
        </w:rPr>
        <w:t> </w:t>
      </w:r>
      <w:r>
        <w:rPr>
          <w:color w:val="231F20"/>
        </w:rPr>
        <w:t>is</w:t>
      </w:r>
      <w:r>
        <w:rPr>
          <w:color w:val="231F20"/>
          <w:spacing w:val="-5"/>
        </w:rPr>
        <w:t> </w:t>
      </w:r>
      <w:r>
        <w:rPr>
          <w:color w:val="231F20"/>
        </w:rPr>
        <w:t>primarily</w:t>
      </w:r>
      <w:r>
        <w:rPr>
          <w:color w:val="231F20"/>
          <w:spacing w:val="-5"/>
        </w:rPr>
        <w:t> </w:t>
      </w:r>
      <w:r>
        <w:rPr>
          <w:color w:val="231F20"/>
        </w:rPr>
        <w:t>composed</w:t>
      </w:r>
      <w:r>
        <w:rPr>
          <w:color w:val="231F20"/>
          <w:spacing w:val="-5"/>
        </w:rPr>
        <w:t> </w:t>
      </w:r>
      <w:r>
        <w:rPr>
          <w:color w:val="231F20"/>
        </w:rPr>
        <w:t>of</w:t>
      </w:r>
      <w:r>
        <w:rPr>
          <w:color w:val="231F20"/>
          <w:spacing w:val="-6"/>
        </w:rPr>
        <w:t> </w:t>
      </w:r>
      <w:r>
        <w:rPr>
          <w:color w:val="231F20"/>
        </w:rPr>
        <w:t>direct</w:t>
      </w:r>
      <w:r>
        <w:rPr>
          <w:color w:val="231F20"/>
          <w:spacing w:val="-6"/>
        </w:rPr>
        <w:t> </w:t>
      </w:r>
      <w:r>
        <w:rPr>
          <w:color w:val="231F20"/>
        </w:rPr>
        <w:t>Passenger</w:t>
      </w:r>
      <w:r>
        <w:rPr>
          <w:color w:val="231F20"/>
          <w:spacing w:val="-6"/>
        </w:rPr>
        <w:t> </w:t>
      </w:r>
      <w:r>
        <w:rPr>
          <w:color w:val="231F20"/>
        </w:rPr>
        <w:t>costs</w:t>
      </w:r>
      <w:r>
        <w:rPr>
          <w:color w:val="231F20"/>
          <w:spacing w:val="-5"/>
        </w:rPr>
        <w:t> </w:t>
      </w:r>
      <w:r>
        <w:rPr>
          <w:color w:val="231F20"/>
        </w:rPr>
        <w:t>such</w:t>
      </w:r>
      <w:r>
        <w:rPr>
          <w:color w:val="231F20"/>
          <w:spacing w:val="-5"/>
        </w:rPr>
        <w:t> </w:t>
      </w:r>
      <w:r>
        <w:rPr>
          <w:color w:val="231F20"/>
        </w:rPr>
        <w:t>as</w:t>
      </w:r>
      <w:r>
        <w:rPr>
          <w:color w:val="231F20"/>
          <w:spacing w:val="-5"/>
        </w:rPr>
        <w:t> </w:t>
      </w:r>
      <w:r>
        <w:rPr>
          <w:color w:val="231F20"/>
        </w:rPr>
        <w:t>fuel, food,</w:t>
      </w:r>
      <w:r>
        <w:rPr>
          <w:color w:val="231F20"/>
          <w:spacing w:val="-5"/>
        </w:rPr>
        <w:t> </w:t>
      </w:r>
      <w:r>
        <w:rPr>
          <w:color w:val="231F20"/>
        </w:rPr>
        <w:t>and</w:t>
      </w:r>
      <w:r>
        <w:rPr>
          <w:color w:val="231F20"/>
          <w:spacing w:val="-5"/>
        </w:rPr>
        <w:t> </w:t>
      </w:r>
      <w:r>
        <w:rPr>
          <w:color w:val="231F20"/>
        </w:rPr>
        <w:t>other</w:t>
      </w:r>
      <w:r>
        <w:rPr>
          <w:color w:val="231F20"/>
          <w:spacing w:val="-6"/>
        </w:rPr>
        <w:t> </w:t>
      </w:r>
      <w:r>
        <w:rPr>
          <w:color w:val="231F20"/>
        </w:rPr>
        <w:t>operational</w:t>
      </w:r>
      <w:r>
        <w:rPr>
          <w:color w:val="231F20"/>
          <w:spacing w:val="-6"/>
        </w:rPr>
        <w:t> </w:t>
      </w:r>
      <w:r>
        <w:rPr>
          <w:color w:val="231F20"/>
        </w:rPr>
        <w:t>costs,</w:t>
      </w:r>
      <w:r>
        <w:rPr>
          <w:color w:val="231F20"/>
          <w:spacing w:val="-5"/>
        </w:rPr>
        <w:t> </w:t>
      </w:r>
      <w:r>
        <w:rPr>
          <w:color w:val="231F20"/>
        </w:rPr>
        <w:t>but</w:t>
      </w:r>
      <w:r>
        <w:rPr>
          <w:color w:val="231F20"/>
          <w:spacing w:val="-6"/>
        </w:rPr>
        <w:t> </w:t>
      </w:r>
      <w:r>
        <w:rPr>
          <w:color w:val="231F20"/>
        </w:rPr>
        <w:t>does</w:t>
      </w:r>
      <w:r>
        <w:rPr>
          <w:color w:val="231F20"/>
          <w:spacing w:val="-6"/>
        </w:rPr>
        <w:t> </w:t>
      </w:r>
      <w:r>
        <w:rPr>
          <w:color w:val="231F20"/>
        </w:rPr>
        <w:t>not</w:t>
      </w:r>
      <w:r>
        <w:rPr>
          <w:color w:val="231F20"/>
          <w:spacing w:val="-7"/>
        </w:rPr>
        <w:t> </w:t>
      </w:r>
      <w:r>
        <w:rPr>
          <w:color w:val="231F20"/>
        </w:rPr>
        <w:t>include</w:t>
      </w:r>
      <w:r>
        <w:rPr>
          <w:color w:val="231F20"/>
          <w:spacing w:val="-6"/>
        </w:rPr>
        <w:t> </w:t>
      </w:r>
      <w:r>
        <w:rPr>
          <w:color w:val="231F20"/>
        </w:rPr>
        <w:t>any</w:t>
      </w:r>
      <w:r>
        <w:rPr>
          <w:color w:val="231F20"/>
          <w:spacing w:val="-6"/>
        </w:rPr>
        <w:t> </w:t>
      </w:r>
      <w:r>
        <w:rPr>
          <w:color w:val="231F20"/>
        </w:rPr>
        <w:t>contribution</w:t>
      </w:r>
      <w:r>
        <w:rPr>
          <w:color w:val="231F20"/>
          <w:spacing w:val="-6"/>
        </w:rPr>
        <w:t> </w:t>
      </w:r>
      <w:r>
        <w:rPr>
          <w:color w:val="231F20"/>
        </w:rPr>
        <w:t>to</w:t>
      </w:r>
      <w:r>
        <w:rPr>
          <w:color w:val="231F20"/>
          <w:spacing w:val="-6"/>
        </w:rPr>
        <w:t> </w:t>
      </w:r>
      <w:r>
        <w:rPr>
          <w:color w:val="231F20"/>
        </w:rPr>
        <w:t>fixed</w:t>
      </w:r>
      <w:r>
        <w:rPr>
          <w:color w:val="231F20"/>
          <w:spacing w:val="-6"/>
        </w:rPr>
        <w:t> </w:t>
      </w:r>
      <w:r>
        <w:rPr>
          <w:color w:val="231F20"/>
        </w:rPr>
        <w:t>overhead</w:t>
      </w:r>
      <w:r>
        <w:rPr>
          <w:color w:val="231F20"/>
          <w:spacing w:val="-6"/>
        </w:rPr>
        <w:t> </w:t>
      </w:r>
      <w:r>
        <w:rPr>
          <w:color w:val="231F20"/>
        </w:rPr>
        <w:t>costs</w:t>
      </w:r>
      <w:r>
        <w:rPr>
          <w:color w:val="231F20"/>
          <w:spacing w:val="-6"/>
        </w:rPr>
        <w:t> </w:t>
      </w:r>
      <w:r>
        <w:rPr>
          <w:color w:val="231F20"/>
        </w:rPr>
        <w:t>or</w:t>
      </w:r>
      <w:r>
        <w:rPr>
          <w:color w:val="231F20"/>
          <w:spacing w:val="-7"/>
        </w:rPr>
        <w:t> </w:t>
      </w:r>
      <w:r>
        <w:rPr>
          <w:color w:val="231F20"/>
        </w:rPr>
        <w:t>profit. At</w:t>
      </w:r>
      <w:r>
        <w:rPr>
          <w:color w:val="231F20"/>
          <w:spacing w:val="-16"/>
        </w:rPr>
        <w:t> </w:t>
      </w:r>
      <w:r>
        <w:rPr>
          <w:color w:val="231F20"/>
        </w:rPr>
        <w:t>December</w:t>
      </w:r>
      <w:r>
        <w:rPr>
          <w:color w:val="231F20"/>
          <w:spacing w:val="-16"/>
        </w:rPr>
        <w:t> </w:t>
      </w:r>
      <w:r>
        <w:rPr>
          <w:color w:val="231F20"/>
        </w:rPr>
        <w:t>31,</w:t>
      </w:r>
      <w:r>
        <w:rPr>
          <w:color w:val="231F20"/>
          <w:spacing w:val="-16"/>
        </w:rPr>
        <w:t> </w:t>
      </w:r>
      <w:r>
        <w:rPr>
          <w:color w:val="231F20"/>
        </w:rPr>
        <w:t>2015,</w:t>
      </w:r>
      <w:r>
        <w:rPr>
          <w:color w:val="231F20"/>
          <w:spacing w:val="-16"/>
        </w:rPr>
        <w:t> </w:t>
      </w:r>
      <w:r>
        <w:rPr>
          <w:color w:val="231F20"/>
        </w:rPr>
        <w:t>the</w:t>
      </w:r>
      <w:r>
        <w:rPr>
          <w:color w:val="231F20"/>
          <w:spacing w:val="-16"/>
        </w:rPr>
        <w:t> </w:t>
      </w:r>
      <w:r>
        <w:rPr>
          <w:color w:val="231F20"/>
        </w:rPr>
        <w:t>incremental</w:t>
      </w:r>
      <w:r>
        <w:rPr>
          <w:color w:val="231F20"/>
          <w:spacing w:val="-16"/>
        </w:rPr>
        <w:t> </w:t>
      </w:r>
      <w:r>
        <w:rPr>
          <w:color w:val="231F20"/>
        </w:rPr>
        <w:t>cost</w:t>
      </w:r>
      <w:r>
        <w:rPr>
          <w:color w:val="231F20"/>
          <w:spacing w:val="-16"/>
        </w:rPr>
        <w:t> </w:t>
      </w:r>
      <w:r>
        <w:rPr>
          <w:color w:val="231F20"/>
        </w:rPr>
        <w:t>liability</w:t>
      </w:r>
      <w:r>
        <w:rPr>
          <w:color w:val="231F20"/>
          <w:spacing w:val="-16"/>
        </w:rPr>
        <w:t> </w:t>
      </w:r>
      <w:r>
        <w:rPr>
          <w:color w:val="231F20"/>
        </w:rPr>
        <w:t>was</w:t>
      </w:r>
      <w:r>
        <w:rPr>
          <w:color w:val="231F20"/>
          <w:spacing w:val="-16"/>
        </w:rPr>
        <w:t> </w:t>
      </w:r>
      <w:r>
        <w:rPr>
          <w:color w:val="231F20"/>
        </w:rPr>
        <w:t>approximately</w:t>
      </w:r>
      <w:r>
        <w:rPr>
          <w:color w:val="231F20"/>
          <w:spacing w:val="-16"/>
        </w:rPr>
        <w:t> </w:t>
      </w:r>
      <w:r>
        <w:rPr>
          <w:color w:val="231F20"/>
        </w:rPr>
        <w:t>$58</w:t>
      </w:r>
      <w:r>
        <w:rPr>
          <w:color w:val="231F20"/>
          <w:spacing w:val="-16"/>
        </w:rPr>
        <w:t> </w:t>
      </w:r>
      <w:r>
        <w:rPr>
          <w:color w:val="231F20"/>
        </w:rPr>
        <w:t>million.</w:t>
      </w:r>
    </w:p>
    <w:p>
      <w:pPr>
        <w:pStyle w:val="BodyText"/>
        <w:spacing w:before="5"/>
      </w:pPr>
    </w:p>
    <w:p>
      <w:pPr>
        <w:pStyle w:val="BodyText"/>
        <w:spacing w:line="247" w:lineRule="auto"/>
        <w:ind w:left="100" w:right="117"/>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Historically, funds received from the sale of points associated with these agreements were accounted for under the residual method. Under the residual method, the Company estimated the percent of the amount received from frequent flyer points sold associated with Southwest’s co-branded Chase Visa credit card that related to free travel. The  estimated amounts associated with free travel are deferred and recognized as Passenger revenue when the ultimate free travel awards are flown. During third quarter 2015, the Company executed an amended co-branded credit card agreement (“Agreement”) with Chase Bank USA, N.A. (“Chase”), which materially modified the previously existing agreement between Chase and the Company. Consideration received as part of this Agreement is subject to ASU 2009-13, “Multiple-Deliverable Revenue Arrangements—a consensus of the FASB Emerging Issues Task Force.” The modified Agreement has the following multiple elements: travel points to be awarded; use of the Southwest Airlines’ brand and access to Rapid Reward Member lists; advertising elements; and the Company’s resource team. Under ASU 2009-13, these deliverables are accounted for separately and allocation of consideration from the Agreement is determined based on the relative selling price of each deliverable. The application of ASU 2009-13 to the Agreement decreases the relative value of the air transportation deliverables that the Company records as deferred revenue (and ultimately Passenger revenues when redeemed awards are flown) and increases the relative value of the marketing-related deliverables recorded in Other revenues at the time these marketing-related deliverables are provided. This is principally due to the previous application of the residual method, which effectively applied the entire discount associated with the agreement to the marketing</w:t>
      </w:r>
      <w:r>
        <w:rPr>
          <w:color w:val="231F20"/>
          <w:spacing w:val="-2"/>
        </w:rPr>
        <w:t> </w:t>
      </w:r>
      <w:r>
        <w:rPr>
          <w:color w:val="231F20"/>
        </w:rPr>
        <w:t>deliverables.</w:t>
      </w:r>
    </w:p>
    <w:p>
      <w:pPr>
        <w:pStyle w:val="BodyText"/>
        <w:spacing w:before="5"/>
      </w:pPr>
    </w:p>
    <w:p>
      <w:pPr>
        <w:pStyle w:val="BodyText"/>
        <w:spacing w:line="247" w:lineRule="auto"/>
        <w:ind w:left="100" w:right="117"/>
        <w:jc w:val="both"/>
      </w:pPr>
      <w:r>
        <w:rPr>
          <w:color w:val="231F20"/>
        </w:rPr>
        <w:t>Significant management judgment was used to estimate the selling price of each of the deliverables. The objective was to determine the price at which the Company would transact a sale if the product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service was sold on a stand-alone basis. The Company determined the best estimate of selling price by considering multiple inputs and methods including, but not limited to, the estimated selling price of comparable travel, discounted cash flows, brand value, published selling prices, number of points awarded, and the number of points redeemed. The Company estimated the selling prices and volumes over the term of the Agreement in order to determine the allocation of proceeds to each of the multiple deliverables. The Company records passenger revenue related to air transportation and certificates for discounted companion travel when the transportation is delivered. A 1.0 percent increase or decrease in the Company’s estimate of the allocation of proceeds to air transportation would have changed the Company’s Operating revenues by less than $5 million for 2015.</w:t>
      </w:r>
    </w:p>
    <w:p>
      <w:pPr>
        <w:pStyle w:val="BodyText"/>
        <w:spacing w:line="247" w:lineRule="auto" w:before="194"/>
        <w:ind w:left="100" w:right="118"/>
        <w:jc w:val="both"/>
      </w:pPr>
      <w:r>
        <w:rPr>
          <w:color w:val="231F20"/>
        </w:rPr>
        <w:t>The Company followed the transition approach of ASU 2009-13, which required that the Company’s existing deferred revenue balance, classified within Air traffic liability, be adjusted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 time, non-cash adjustment to decrease frequent flyer deferred revenue and increase revenue through the recording of a Special revenue adjustment of $172 million. In addition, 2015 Operating revenues increased by an estimated net $255 million as a result of the amended Agreement with Chase and the resulting July 1, 2015, change in accounting methodology. See Note 1 to the Consolidated Financial Statements for further information.</w:t>
      </w:r>
    </w:p>
    <w:p>
      <w:pPr>
        <w:pStyle w:val="BodyText"/>
        <w:spacing w:line="247" w:lineRule="auto" w:before="194"/>
        <w:ind w:left="100" w:right="117"/>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which was recorded on a prospective basis, as of October 1, 2014, resulted in an increase in Passenger revenue of</w:t>
      </w:r>
      <w:r>
        <w:rPr>
          <w:color w:val="231F20"/>
          <w:spacing w:val="46"/>
        </w:rPr>
        <w:t> </w:t>
      </w:r>
      <w:r>
        <w:rPr>
          <w:color w:val="231F20"/>
        </w:rPr>
        <w:t>approximately</w:t>
      </w:r>
    </w:p>
    <w:p>
      <w:pPr>
        <w:pStyle w:val="BodyText"/>
        <w:spacing w:line="247" w:lineRule="auto"/>
        <w:ind w:left="100" w:right="117"/>
        <w:jc w:val="both"/>
      </w:pPr>
      <w:r>
        <w:rPr>
          <w:color w:val="231F20"/>
        </w:rPr>
        <w:t>$55 million for the quarter and the year ended December 31, 2014, and an increase in Passenger revenue of approximately $115 million for the first nine months of 2015. The Company has again updated its analysis of projected spoilage and implemented a new rate on a prospective basis beginning in fourth quarter 2015. The application of the new spoilage rate as of October 1, 2015, did not result in a significant difference to Passenger revenues during fourth quarter 2015, and is likewise not expected to have a material impact on 2016 Passenger revenues. For the year ended December 31, 2015, based on actual redemptions of points sold to business partners, a hypothetical one percentage point change  in</w:t>
      </w:r>
      <w:r>
        <w:rPr>
          <w:color w:val="231F20"/>
          <w:spacing w:val="12"/>
        </w:rPr>
        <w:t> </w:t>
      </w:r>
      <w:r>
        <w:rPr>
          <w:color w:val="231F20"/>
        </w:rPr>
        <w:t>the</w:t>
      </w:r>
      <w:r>
        <w:rPr>
          <w:color w:val="231F20"/>
          <w:spacing w:val="13"/>
        </w:rPr>
        <w:t> </w:t>
      </w:r>
      <w:r>
        <w:rPr>
          <w:color w:val="231F20"/>
        </w:rPr>
        <w:t>estimated</w:t>
      </w:r>
      <w:r>
        <w:rPr>
          <w:color w:val="231F20"/>
          <w:spacing w:val="13"/>
        </w:rPr>
        <w:t> </w:t>
      </w:r>
      <w:r>
        <w:rPr>
          <w:color w:val="231F20"/>
        </w:rPr>
        <w:t>spoilage</w:t>
      </w:r>
      <w:r>
        <w:rPr>
          <w:color w:val="231F20"/>
          <w:spacing w:val="13"/>
        </w:rPr>
        <w:t> </w:t>
      </w:r>
      <w:r>
        <w:rPr>
          <w:color w:val="231F20"/>
        </w:rPr>
        <w:t>rate</w:t>
      </w:r>
      <w:r>
        <w:rPr>
          <w:color w:val="231F20"/>
          <w:spacing w:val="13"/>
        </w:rPr>
        <w:t> </w:t>
      </w:r>
      <w:r>
        <w:rPr>
          <w:color w:val="231F20"/>
        </w:rPr>
        <w:t>would</w:t>
      </w:r>
      <w:r>
        <w:rPr>
          <w:color w:val="231F20"/>
          <w:spacing w:val="13"/>
        </w:rPr>
        <w:t> </w:t>
      </w:r>
      <w:r>
        <w:rPr>
          <w:color w:val="231F20"/>
        </w:rPr>
        <w:t>have</w:t>
      </w:r>
      <w:r>
        <w:rPr>
          <w:color w:val="231F20"/>
          <w:spacing w:val="13"/>
        </w:rPr>
        <w:t> </w:t>
      </w:r>
      <w:r>
        <w:rPr>
          <w:color w:val="231F20"/>
        </w:rPr>
        <w:t>resulted</w:t>
      </w:r>
      <w:r>
        <w:rPr>
          <w:color w:val="231F20"/>
          <w:spacing w:val="13"/>
        </w:rPr>
        <w:t> </w:t>
      </w:r>
      <w:r>
        <w:rPr>
          <w:color w:val="231F20"/>
        </w:rPr>
        <w:t>in</w:t>
      </w:r>
      <w:r>
        <w:rPr>
          <w:color w:val="231F20"/>
          <w:spacing w:val="11"/>
        </w:rPr>
        <w:t> </w:t>
      </w:r>
      <w:r>
        <w:rPr>
          <w:color w:val="231F20"/>
        </w:rPr>
        <w:t>a</w:t>
      </w:r>
      <w:r>
        <w:rPr>
          <w:color w:val="231F20"/>
          <w:spacing w:val="12"/>
        </w:rPr>
        <w:t> </w:t>
      </w:r>
      <w:r>
        <w:rPr>
          <w:color w:val="231F20"/>
        </w:rPr>
        <w:t>change</w:t>
      </w:r>
      <w:r>
        <w:rPr>
          <w:color w:val="231F20"/>
          <w:spacing w:val="12"/>
        </w:rPr>
        <w:t> </w:t>
      </w:r>
      <w:r>
        <w:rPr>
          <w:color w:val="231F20"/>
        </w:rPr>
        <w:t>to</w:t>
      </w:r>
      <w:r>
        <w:rPr>
          <w:color w:val="231F20"/>
          <w:spacing w:val="11"/>
        </w:rPr>
        <w:t> </w:t>
      </w:r>
      <w:r>
        <w:rPr>
          <w:color w:val="231F20"/>
        </w:rPr>
        <w:t>Passenger</w:t>
      </w:r>
      <w:r>
        <w:rPr>
          <w:color w:val="231F20"/>
          <w:spacing w:val="13"/>
        </w:rPr>
        <w:t> </w:t>
      </w:r>
      <w:r>
        <w:rPr>
          <w:color w:val="231F20"/>
        </w:rPr>
        <w:t>revenue</w:t>
      </w:r>
      <w:r>
        <w:rPr>
          <w:color w:val="231F20"/>
          <w:spacing w:val="12"/>
        </w:rPr>
        <w:t> </w:t>
      </w:r>
      <w:r>
        <w:rPr>
          <w:color w:val="231F20"/>
        </w:rPr>
        <w:t>of</w:t>
      </w:r>
      <w:r>
        <w:rPr>
          <w:color w:val="231F20"/>
          <w:spacing w:val="11"/>
        </w:rPr>
        <w:t> </w:t>
      </w:r>
      <w:r>
        <w:rPr>
          <w:color w:val="231F20"/>
        </w:rPr>
        <w:t>approximately</w:t>
      </w:r>
    </w:p>
    <w:p>
      <w:pPr>
        <w:pStyle w:val="BodyText"/>
        <w:spacing w:line="247" w:lineRule="auto"/>
        <w:ind w:left="100" w:right="117"/>
        <w:jc w:val="both"/>
      </w:pPr>
      <w:r>
        <w:rPr>
          <w:color w:val="231F20"/>
        </w:rPr>
        <w:t>$34 million (an increase in spoilage would have resulted in an increase in revenue and a decrease in 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 circumstances.</w:t>
      </w:r>
    </w:p>
    <w:p>
      <w:pPr>
        <w:pStyle w:val="Heading2"/>
        <w:spacing w:before="194"/>
        <w:rPr>
          <w:i/>
        </w:rPr>
      </w:pPr>
      <w:r>
        <w:rPr>
          <w:i/>
          <w:color w:val="231F20"/>
        </w:rPr>
        <w:t>Goodwill and Other Intangible Assets</w:t>
      </w:r>
    </w:p>
    <w:p>
      <w:pPr>
        <w:pStyle w:val="BodyText"/>
        <w:spacing w:line="247" w:lineRule="auto" w:before="202"/>
        <w:ind w:left="100" w:right="118"/>
        <w:jc w:val="both"/>
      </w:pPr>
      <w:r>
        <w:rPr>
          <w:color w:val="231F20"/>
        </w:rPr>
        <w:t>As a result of the Company’s acquisition of AirTran on May 2, 2011, the Company has reflected Goodwill on its Consolidated Balance Sheet in the amount of $970 million at December 31, 2015, the excess  of the  consideration  transferred  over  the  fair value  of AirTran’s assets  and  liabilities on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acquisition date. In addition, the Company’s other intangible assets have a net carrying amount of approximately $464 million at December 31, 2015, of which $303 million related to indefinite-lived intangible assets. Indefinite-lived assets are not amortized and primarily consist of take-off and landing slots at certain domestic slot-controlled airports. Finite-lived intangible assets include leasehold rights to airport gates and certain intangible assets recognized as a part of the valuation of AirTran and are amortized over their estimated economic useful lives. Goodwill and indefinite-lived intangible assets are not amortized, but tested for impairment annually, as of October 1st, or more frequently if events or circumstances indicate that impairment may exist.</w:t>
      </w:r>
    </w:p>
    <w:p>
      <w:pPr>
        <w:pStyle w:val="BodyText"/>
        <w:spacing w:before="5"/>
      </w:pPr>
    </w:p>
    <w:p>
      <w:pPr>
        <w:pStyle w:val="BodyText"/>
        <w:spacing w:line="247" w:lineRule="auto"/>
        <w:ind w:left="100"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have affected the fair value of goodwill and indefinite-lived intangible assets. If the Company determines that it is more likely than not that an indefinite-lived intangible asset is impaired, the quantitative approach is used to assess the asset’s fair value and the amount of the impairment. Under a quantitative approach, the fair value is calculated based on key assumptions listed below. If the asset’s carrying value exceeds its fair value calculated using the quantitative approach, an impairment charge is recorded for the difference in fair value and carrying</w:t>
      </w:r>
      <w:r>
        <w:rPr>
          <w:color w:val="231F20"/>
          <w:spacing w:val="-4"/>
        </w:rPr>
        <w:t> </w:t>
      </w:r>
      <w:r>
        <w:rPr>
          <w:color w:val="231F20"/>
        </w:rPr>
        <w:t>value.</w:t>
      </w:r>
    </w:p>
    <w:p>
      <w:pPr>
        <w:pStyle w:val="BodyText"/>
        <w:spacing w:before="5"/>
      </w:pPr>
    </w:p>
    <w:p>
      <w:pPr>
        <w:pStyle w:val="BodyText"/>
        <w:spacing w:line="247" w:lineRule="auto"/>
        <w:ind w:left="100" w:right="118"/>
        <w:jc w:val="both"/>
      </w:pPr>
      <w:r>
        <w:rPr>
          <w:color w:val="231F20"/>
        </w:rPr>
        <w:t>When performing a quantitative impairment assessment of goodwill and indefinite-lived intangible assets, fair value is estimated based on (i) recent market transactions, where available, (ii) projected discounted cash flows (an income approach) or (iii) a combination of limited market transactions and the lease savings method (which reflects potential annual after-tax lease savings arising from owning the slots rather than leasing them from another airline at market rates).</w:t>
      </w:r>
    </w:p>
    <w:p>
      <w:pPr>
        <w:pStyle w:val="BodyText"/>
        <w:spacing w:before="5"/>
      </w:pPr>
    </w:p>
    <w:p>
      <w:pPr>
        <w:pStyle w:val="BodyText"/>
        <w:spacing w:line="247" w:lineRule="auto"/>
        <w:ind w:left="100" w:right="117"/>
        <w:jc w:val="both"/>
      </w:pPr>
      <w:r>
        <w:rPr>
          <w:color w:val="231F20"/>
        </w:rPr>
        <w:t>Key assumptions and/or estimates made in the Company’s impairment tests include: (i) a projection of revenues, expenses, and cash flows; (ii) terminal period revenue growth and cash flows; (iii) an estimated weighted average cost of capital; (iv) an assumed discount rate depending on the asset, (v) a tax rate and (vi) market prices for comparable assets. The Company believes these assumptions are consistent with those a hypothetical market participant would use given circumstances that were present at the time the estimates were made. However, actual results and amounts may be significantly different from the Company’s</w:t>
      </w:r>
      <w:r>
        <w:rPr>
          <w:color w:val="231F20"/>
          <w:spacing w:val="-2"/>
        </w:rPr>
        <w:t> </w:t>
      </w:r>
      <w:r>
        <w:rPr>
          <w:color w:val="231F20"/>
        </w:rPr>
        <w:t>estimates.</w:t>
      </w:r>
    </w:p>
    <w:p>
      <w:pPr>
        <w:pStyle w:val="BodyText"/>
        <w:spacing w:before="5"/>
      </w:pPr>
    </w:p>
    <w:p>
      <w:pPr>
        <w:pStyle w:val="BodyText"/>
        <w:ind w:left="100"/>
        <w:jc w:val="both"/>
      </w:pPr>
      <w:r>
        <w:rPr>
          <w:color w:val="231F20"/>
        </w:rPr>
        <w:t>As part of this evaluation, the Company assesses whether changes in (i) macroeconomic conditions;</w:t>
      </w:r>
    </w:p>
    <w:p>
      <w:pPr>
        <w:pStyle w:val="BodyText"/>
        <w:spacing w:before="6"/>
        <w:ind w:left="100"/>
        <w:jc w:val="both"/>
      </w:pPr>
      <w:r>
        <w:rPr>
          <w:color w:val="231F20"/>
        </w:rPr>
        <w:t>(ii)  industry  and  market  conditions;  (iii)  cost  factors;  (iv)  overall  financial  performance;  and</w:t>
      </w:r>
    </w:p>
    <w:p>
      <w:pPr>
        <w:pStyle w:val="BodyText"/>
        <w:spacing w:line="247" w:lineRule="auto" w:before="6"/>
        <w:ind w:left="100" w:right="118"/>
        <w:jc w:val="both"/>
      </w:pPr>
      <w:r>
        <w:rPr>
          <w:color w:val="231F20"/>
        </w:rPr>
        <w:t>(v) Company-specific events, have occurred which would impact the use and/or fair value of these assets since the Company’s quantitative analysis in 2013. In 2015, the Company performed a qualitative assessment of goodwill and determined that there was no indication that goodwill was impaired. The qualitative assessment included analysis and weighting of all relevant factors noted above. The Company performed a quantitative assessment of all indefinite-lived intangible assets and determined that there was no impairment in</w:t>
      </w:r>
      <w:r>
        <w:rPr>
          <w:color w:val="231F20"/>
          <w:spacing w:val="-2"/>
        </w:rPr>
        <w:t> </w:t>
      </w:r>
      <w:r>
        <w:rPr>
          <w:color w:val="231F20"/>
        </w:rPr>
        <w:t>2015.</w:t>
      </w:r>
    </w:p>
    <w:p>
      <w:pPr>
        <w:pStyle w:val="BodyText"/>
        <w:spacing w:before="5"/>
      </w:pPr>
    </w:p>
    <w:p>
      <w:pPr>
        <w:pStyle w:val="BodyText"/>
        <w:spacing w:line="247" w:lineRule="auto"/>
        <w:ind w:left="100" w:right="117"/>
        <w:jc w:val="both"/>
      </w:pPr>
      <w:r>
        <w:rPr>
          <w:color w:val="231F20"/>
        </w:rPr>
        <w:t>Future impairment of Goodwill and indefinite-lived intangible assets may result from changes in assumptions, estimates, or circumstances, some of which are beyond the Company’s control. Factors which could result in an impairment of Goodwill, holding other assumptions constant, could include,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but are not limited to: (i) reduced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a change in competition in the slotted airport; (ii) significantly higher prices for jet fuel; and (iii) increased competition at a nearby airport.</w:t>
      </w:r>
    </w:p>
    <w:p>
      <w:pPr>
        <w:pStyle w:val="BodyText"/>
        <w:spacing w:before="5"/>
      </w:pPr>
    </w:p>
    <w:p>
      <w:pPr>
        <w:pStyle w:val="Heading2"/>
        <w:tabs>
          <w:tab w:pos="1749" w:val="left" w:leader="none"/>
        </w:tabs>
        <w:ind w:left="100"/>
        <w:jc w:val="both"/>
        <w:rPr>
          <w:i/>
        </w:rPr>
      </w:pPr>
      <w:bookmarkStart w:name="Item 7A. Quantitative and Qualitative Di" w:id="15"/>
      <w:bookmarkEnd w:id="15"/>
      <w:r>
        <w:rPr>
          <w:b w:val="0"/>
          <w:i w:val="0"/>
        </w:rPr>
      </w: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1"/>
        <w:rPr>
          <w:b/>
          <w:i/>
          <w:sz w:val="23"/>
        </w:rPr>
      </w:pPr>
    </w:p>
    <w:p>
      <w:pPr>
        <w:pStyle w:val="BodyText"/>
        <w:spacing w:line="247" w:lineRule="auto"/>
        <w:ind w:left="100" w:right="117"/>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2015, Southwest operated a total of 123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Further information about this sublease arrangement is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jc w:val="both"/>
        <w:rPr>
          <w:i/>
        </w:rPr>
      </w:pPr>
      <w:r>
        <w:rPr>
          <w:i/>
          <w:color w:val="231F20"/>
        </w:rPr>
        <w:t>Hedging</w:t>
      </w:r>
    </w:p>
    <w:p>
      <w:pPr>
        <w:pStyle w:val="BodyText"/>
        <w:spacing w:before="1"/>
        <w:rPr>
          <w:b/>
          <w:i/>
          <w:sz w:val="23"/>
        </w:rPr>
      </w:pPr>
    </w:p>
    <w:p>
      <w:pPr>
        <w:pStyle w:val="BodyText"/>
        <w:spacing w:line="247" w:lineRule="auto"/>
        <w:ind w:left="100" w:right="117"/>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2 billion gallons of jet fuel in 2016. Based on this anticipated usage, a change in jet fuel prices of just one cent per gallon would impact the Company’s Fuel and oil expense by approximately $20 million for 2016, excluding any impact associated with fuel derivative instruments held.</w:t>
      </w:r>
    </w:p>
    <w:p>
      <w:pPr>
        <w:pStyle w:val="BodyText"/>
        <w:spacing w:before="5"/>
      </w:pPr>
    </w:p>
    <w:p>
      <w:pPr>
        <w:pStyle w:val="BodyText"/>
        <w:spacing w:line="247" w:lineRule="auto"/>
        <w:ind w:left="100" w:right="117"/>
        <w:jc w:val="both"/>
      </w:pPr>
      <w:r>
        <w:rPr>
          <w:color w:val="231F20"/>
        </w:rPr>
        <w:t>As of December 31, 2015, the Company held a net position of fuel derivative instruments that represented a hedge for a portion of its anticipated jet fuel purchases for each year from 2016 through 2018.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2015, was a net liability of $1.5 billion. In addition, $835 million in cash collateral deposits and $250 million in aircraft collateral were provided by</w:t>
      </w:r>
      <w:r>
        <w:rPr>
          <w:color w:val="231F20"/>
          <w:spacing w:val="28"/>
        </w:rPr>
        <w:t> </w:t>
      </w:r>
      <w:r>
        <w:rPr>
          <w:color w:val="231F20"/>
        </w:rPr>
        <w:t>the</w:t>
      </w:r>
      <w:r>
        <w:rPr>
          <w:color w:val="231F20"/>
          <w:spacing w:val="27"/>
        </w:rPr>
        <w:t> </w:t>
      </w:r>
      <w:r>
        <w:rPr>
          <w:color w:val="231F20"/>
        </w:rPr>
        <w:t>Company</w:t>
      </w:r>
      <w:r>
        <w:rPr>
          <w:color w:val="231F20"/>
          <w:spacing w:val="27"/>
        </w:rPr>
        <w:t> </w:t>
      </w:r>
      <w:r>
        <w:rPr>
          <w:color w:val="231F20"/>
        </w:rPr>
        <w:t>in</w:t>
      </w:r>
      <w:r>
        <w:rPr>
          <w:color w:val="231F20"/>
          <w:spacing w:val="26"/>
        </w:rPr>
        <w:t> </w:t>
      </w:r>
      <w:r>
        <w:rPr>
          <w:color w:val="231F20"/>
        </w:rPr>
        <w:t>connection</w:t>
      </w:r>
      <w:r>
        <w:rPr>
          <w:color w:val="231F20"/>
          <w:spacing w:val="27"/>
        </w:rPr>
        <w:t> </w:t>
      </w:r>
      <w:r>
        <w:rPr>
          <w:color w:val="231F20"/>
        </w:rPr>
        <w:t>with</w:t>
      </w:r>
      <w:r>
        <w:rPr>
          <w:color w:val="231F20"/>
          <w:spacing w:val="26"/>
        </w:rPr>
        <w:t> </w:t>
      </w:r>
      <w:r>
        <w:rPr>
          <w:color w:val="231F20"/>
        </w:rPr>
        <w:t>these</w:t>
      </w:r>
      <w:r>
        <w:rPr>
          <w:color w:val="231F20"/>
          <w:spacing w:val="27"/>
        </w:rPr>
        <w:t> </w:t>
      </w:r>
      <w:r>
        <w:rPr>
          <w:color w:val="231F20"/>
        </w:rPr>
        <w:t>instruments</w:t>
      </w:r>
      <w:r>
        <w:rPr>
          <w:color w:val="231F20"/>
          <w:spacing w:val="27"/>
        </w:rPr>
        <w:t> </w:t>
      </w:r>
      <w:r>
        <w:rPr>
          <w:color w:val="231F20"/>
        </w:rPr>
        <w:t>based</w:t>
      </w:r>
      <w:r>
        <w:rPr>
          <w:color w:val="231F20"/>
          <w:spacing w:val="28"/>
        </w:rPr>
        <w:t> </w:t>
      </w:r>
      <w:r>
        <w:rPr>
          <w:color w:val="231F20"/>
        </w:rPr>
        <w:t>on</w:t>
      </w:r>
      <w:r>
        <w:rPr>
          <w:color w:val="231F20"/>
          <w:spacing w:val="27"/>
        </w:rPr>
        <w:t> </w:t>
      </w:r>
      <w:r>
        <w:rPr>
          <w:color w:val="231F20"/>
        </w:rPr>
        <w:t>their</w:t>
      </w:r>
      <w:r>
        <w:rPr>
          <w:color w:val="231F20"/>
          <w:spacing w:val="26"/>
        </w:rPr>
        <w:t> </w:t>
      </w:r>
      <w:r>
        <w:rPr>
          <w:color w:val="231F20"/>
        </w:rPr>
        <w:t>fair</w:t>
      </w:r>
      <w:r>
        <w:rPr>
          <w:color w:val="231F20"/>
          <w:spacing w:val="26"/>
        </w:rPr>
        <w:t> </w:t>
      </w:r>
      <w:r>
        <w:rPr>
          <w:color w:val="231F20"/>
        </w:rPr>
        <w:t>value</w:t>
      </w:r>
      <w:r>
        <w:rPr>
          <w:color w:val="231F20"/>
          <w:spacing w:val="27"/>
        </w:rPr>
        <w:t> </w:t>
      </w:r>
      <w:r>
        <w:rPr>
          <w:color w:val="231F20"/>
        </w:rPr>
        <w:t>as</w:t>
      </w:r>
      <w:r>
        <w:rPr>
          <w:color w:val="231F20"/>
          <w:spacing w:val="27"/>
        </w:rPr>
        <w:t> </w:t>
      </w:r>
      <w:r>
        <w:rPr>
          <w:color w:val="231F20"/>
        </w:rPr>
        <w:t>of</w:t>
      </w:r>
      <w:r>
        <w:rPr>
          <w:color w:val="231F20"/>
          <w:spacing w:val="26"/>
        </w:rPr>
        <w:t> </w:t>
      </w:r>
      <w:r>
        <w:rPr>
          <w:color w:val="231F20"/>
        </w:rPr>
        <w:t>December</w:t>
      </w:r>
      <w:r>
        <w:rPr>
          <w:color w:val="231F20"/>
          <w:spacing w:val="28"/>
        </w:rPr>
        <w:t> </w:t>
      </w:r>
      <w:r>
        <w:rPr>
          <w:color w:val="231F20"/>
        </w:rPr>
        <w:t>31,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2015.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2015 (for all years from 2016 through 2018) prices would correspondingly change the fair value of the commodity derivative instruments in place by approximately $192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2015, levels, except underlying futures prices.</w:t>
      </w:r>
    </w:p>
    <w:p>
      <w:pPr>
        <w:pStyle w:val="BodyText"/>
        <w:spacing w:before="5"/>
      </w:pPr>
    </w:p>
    <w:p>
      <w:pPr>
        <w:pStyle w:val="BodyText"/>
        <w:spacing w:line="247" w:lineRule="auto"/>
        <w:ind w:left="100" w:right="117"/>
        <w:jc w:val="both"/>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2015, the Company had three counterparties in which the derivatives held were a net asset.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2015,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whenever the net fair value of derivatives associated with those counterparties exceeds specific thresholds—cash is  either posted by the counterparty if the value of derivatives is an asset to the Company, or cash, letters of credit, and/or aircraft could be posted as collateral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2015, at which such postings are triggered.</w:t>
      </w:r>
    </w:p>
    <w:p>
      <w:pPr>
        <w:pStyle w:val="BodyText"/>
        <w:spacing w:before="5"/>
      </w:pPr>
    </w:p>
    <w:p>
      <w:pPr>
        <w:pStyle w:val="BodyText"/>
        <w:spacing w:line="247" w:lineRule="auto"/>
        <w:ind w:left="100" w:right="117"/>
        <w:jc w:val="both"/>
      </w:pPr>
      <w:r>
        <w:rPr>
          <w:color w:val="231F20"/>
        </w:rPr>
        <w:t>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2015, given the Company’s fuel derivative portfolio, its aircraft collateral facilities, and its investment grade credit rating, it would likely provide an additional $436 million in collateral which could be met by posting aircraft and/or letters of credit with its current counterparties. The Company has the option of providing cash, letters of credit, and/or  pledging  aircraft  as  collateral.  At  December 31, 2015, the Company had $1.4 billion in aircraft available to be posted as collateral. However, as it did in 2015, and expects to continue doing in first quarter 2016, the Company would expect to also benefit from lower market prices paid for fuel used in its operations. Also, the </w:t>
      </w:r>
      <w:r>
        <w:rPr>
          <w:color w:val="231F20"/>
          <w:spacing w:val="20"/>
        </w:rPr>
        <w:t> </w:t>
      </w:r>
      <w:r>
        <w:rPr>
          <w:color w:val="231F20"/>
        </w:rPr>
        <w:t>Company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has the ability to manage or reduce its derivative positions by entering into offsetting positions, as it  did during 2015, for a portion of its future hedge</w:t>
      </w:r>
      <w:r>
        <w:rPr>
          <w:color w:val="231F20"/>
          <w:spacing w:val="-6"/>
        </w:rPr>
        <w:t> </w:t>
      </w:r>
      <w:r>
        <w:rPr>
          <w:color w:val="231F20"/>
        </w:rPr>
        <w:t>portfolio.</w:t>
      </w:r>
    </w:p>
    <w:p>
      <w:pPr>
        <w:pStyle w:val="BodyText"/>
        <w:spacing w:line="247" w:lineRule="auto" w:before="206"/>
        <w:ind w:left="100" w:right="117"/>
        <w:jc w:val="both"/>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In recent years, jet fuel prices have been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w:t>
      </w:r>
      <w:r>
        <w:rPr>
          <w:color w:val="231F20"/>
          <w:spacing w:val="-1"/>
        </w:rPr>
        <w:t> </w:t>
      </w:r>
      <w:r>
        <w:rPr>
          <w:color w:val="231F20"/>
        </w:rPr>
        <w:t>future.</w:t>
      </w:r>
    </w:p>
    <w:p>
      <w:pPr>
        <w:pStyle w:val="BodyText"/>
        <w:spacing w:line="247" w:lineRule="auto" w:before="206"/>
        <w:ind w:left="100" w:right="117"/>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2015, no cash collateral deposits were provided by or held by the Company based on its outstanding interest rate swap agreements.</w:t>
      </w:r>
    </w:p>
    <w:p>
      <w:pPr>
        <w:pStyle w:val="BodyText"/>
        <w:spacing w:line="247" w:lineRule="auto" w:before="206"/>
        <w:ind w:left="100" w:right="117"/>
        <w:jc w:val="both"/>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w:t>
      </w:r>
    </w:p>
    <w:p>
      <w:pPr>
        <w:pStyle w:val="BodyText"/>
        <w:spacing w:line="247" w:lineRule="auto"/>
        <w:ind w:left="100" w:right="117"/>
        <w:jc w:val="both"/>
      </w:pPr>
      <w:r>
        <w:rPr>
          <w:color w:val="231F20"/>
        </w:rPr>
        <w:t>(iii)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1"/>
        </w:rPr>
        <w:t> </w:t>
      </w:r>
      <w:r>
        <w:rPr>
          <w:color w:val="231F20"/>
        </w:rPr>
        <w:t>program.</w:t>
      </w:r>
    </w:p>
    <w:p>
      <w:pPr>
        <w:pStyle w:val="Heading2"/>
        <w:spacing w:before="207"/>
        <w:ind w:left="819"/>
        <w:rPr>
          <w:i/>
        </w:rPr>
      </w:pPr>
      <w:r>
        <w:rPr>
          <w:i/>
          <w:color w:val="231F20"/>
        </w:rPr>
        <w:t>Financial Market Risk</w:t>
      </w:r>
    </w:p>
    <w:p>
      <w:pPr>
        <w:pStyle w:val="BodyText"/>
        <w:spacing w:line="247" w:lineRule="auto" w:before="214"/>
        <w:ind w:left="100" w:right="117"/>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“Baa1” credit rating with Moody’s as of December 31, 2015,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As of December 31, 2015, excluding the notes or debentures that have been converted to a floating  rate, the Company’s fixed-rate senior unsecured notes outstanding included its $300 million 5.75% senior unsecured notes 2016, its $300 million 5.125% senior unsecured notes due 2017, and its $100 million 7.375% senior unsecured notes due 2027. Each of these notes had at one point been converted to floating rates, but the Company subsequently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following table displays the characteristics of the Company’s secured fixed rate debt as of December 31,</w:t>
      </w:r>
      <w:r>
        <w:rPr>
          <w:color w:val="231F20"/>
          <w:spacing w:val="1"/>
        </w:rPr>
        <w:t> </w:t>
      </w:r>
      <w:r>
        <w:rPr>
          <w:color w:val="231F20"/>
        </w:rPr>
        <w:t>2015:</w:t>
      </w:r>
    </w:p>
    <w:p>
      <w:pPr>
        <w:pStyle w:val="BodyText"/>
        <w:spacing w:before="10"/>
        <w:rPr>
          <w:sz w:val="9"/>
        </w:rPr>
      </w:pPr>
    </w:p>
    <w:p>
      <w:pPr>
        <w:spacing w:after="0"/>
        <w:rPr>
          <w:sz w:val="9"/>
        </w:rPr>
        <w:sectPr>
          <w:pgSz w:w="11880" w:h="15480"/>
          <w:pgMar w:header="0" w:footer="1240" w:top="1240" w:bottom="1420" w:left="1280" w:right="1260"/>
        </w:sectPr>
      </w:pPr>
    </w:p>
    <w:p>
      <w:pPr>
        <w:spacing w:line="200" w:lineRule="exact" w:before="126"/>
        <w:ind w:left="2595" w:right="-19" w:hanging="67"/>
        <w:jc w:val="left"/>
        <w:rPr>
          <w:b/>
          <w:sz w:val="20"/>
        </w:rPr>
      </w:pPr>
      <w:r>
        <w:rPr/>
        <w:pict>
          <v:shape style="position:absolute;margin-left:69pt;margin-top:25pt;width:456pt;height:58.3pt;mso-position-horizontal-relative:page;mso-position-vertical-relative:paragraph;z-index:33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23"/>
                    <w:gridCol w:w="1200"/>
                    <w:gridCol w:w="120"/>
                    <w:gridCol w:w="1058"/>
                    <w:gridCol w:w="320"/>
                    <w:gridCol w:w="1000"/>
                    <w:gridCol w:w="120"/>
                    <w:gridCol w:w="3079"/>
                  </w:tblGrid>
                  <w:tr>
                    <w:trPr>
                      <w:trHeight w:val="256" w:hRule="exact"/>
                    </w:trPr>
                    <w:tc>
                      <w:tcPr>
                        <w:tcW w:w="222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20"/>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79" w:type="dxa"/>
                        <w:tcBorders>
                          <w:bottom w:val="single" w:sz="8" w:space="0" w:color="231F20"/>
                        </w:tcBorders>
                      </w:tcPr>
                      <w:p>
                        <w:pPr>
                          <w:pStyle w:val="TableParagraph"/>
                          <w:spacing w:line="229" w:lineRule="exact" w:before="0"/>
                          <w:ind w:left="590"/>
                          <w:rPr>
                            <w:b/>
                            <w:sz w:val="20"/>
                          </w:rPr>
                        </w:pPr>
                        <w:r>
                          <w:rPr>
                            <w:b/>
                            <w:color w:val="231F20"/>
                            <w:sz w:val="20"/>
                          </w:rPr>
                          <w:t>Underlying collateral</w:t>
                        </w:r>
                      </w:p>
                    </w:tc>
                  </w:tr>
                  <w:tr>
                    <w:trPr>
                      <w:trHeight w:val="310" w:hRule="exact"/>
                    </w:trPr>
                    <w:tc>
                      <w:tcPr>
                        <w:tcW w:w="2223" w:type="dxa"/>
                        <w:shd w:val="clear" w:color="auto" w:fill="D1D3D4"/>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D1D3D4"/>
                      </w:tcPr>
                      <w:p>
                        <w:pPr>
                          <w:pStyle w:val="TableParagraph"/>
                          <w:tabs>
                            <w:tab w:pos="899" w:val="left" w:leader="none"/>
                          </w:tabs>
                          <w:jc w:val="right"/>
                          <w:rPr>
                            <w:sz w:val="20"/>
                          </w:rPr>
                        </w:pPr>
                        <w:r>
                          <w:rPr>
                            <w:color w:val="231F20"/>
                            <w:sz w:val="20"/>
                          </w:rPr>
                          <w:t>$</w:t>
                          <w:tab/>
                          <w:t>143</w:t>
                        </w:r>
                      </w:p>
                    </w:tc>
                    <w:tc>
                      <w:tcPr>
                        <w:tcW w:w="120" w:type="dxa"/>
                        <w:shd w:val="clear" w:color="auto" w:fill="D1D3D4"/>
                      </w:tcPr>
                      <w:p>
                        <w:pPr/>
                      </w:p>
                    </w:tc>
                    <w:tc>
                      <w:tcPr>
                        <w:tcW w:w="1058" w:type="dxa"/>
                        <w:tcBorders>
                          <w:top w:val="single" w:sz="8" w:space="0" w:color="231F20"/>
                        </w:tcBorders>
                        <w:shd w:val="clear" w:color="auto" w:fill="D1D3D4"/>
                      </w:tcPr>
                      <w:p>
                        <w:pPr>
                          <w:pStyle w:val="TableParagraph"/>
                          <w:jc w:val="right"/>
                          <w:rPr>
                            <w:sz w:val="20"/>
                          </w:rPr>
                        </w:pPr>
                        <w:r>
                          <w:rPr>
                            <w:color w:val="231F20"/>
                            <w:sz w:val="20"/>
                          </w:rPr>
                          <w:t>6.315%</w:t>
                        </w:r>
                      </w:p>
                    </w:tc>
                    <w:tc>
                      <w:tcPr>
                        <w:tcW w:w="320" w:type="dxa"/>
                        <w:shd w:val="clear" w:color="auto" w:fill="D1D3D4"/>
                      </w:tcPr>
                      <w:p>
                        <w:pPr/>
                      </w:p>
                    </w:tc>
                    <w:tc>
                      <w:tcPr>
                        <w:tcW w:w="1000" w:type="dxa"/>
                        <w:tcBorders>
                          <w:top w:val="single" w:sz="8" w:space="0" w:color="231F20"/>
                        </w:tcBorders>
                        <w:shd w:val="clear" w:color="auto" w:fill="D1D3D4"/>
                      </w:tcPr>
                      <w:p>
                        <w:pPr>
                          <w:pStyle w:val="TableParagraph"/>
                          <w:jc w:val="right"/>
                          <w:rPr>
                            <w:sz w:val="20"/>
                          </w:rPr>
                        </w:pPr>
                        <w:r>
                          <w:rPr>
                            <w:color w:val="231F20"/>
                            <w:sz w:val="20"/>
                          </w:rPr>
                          <w:t>5/6/2019</w:t>
                        </w:r>
                      </w:p>
                    </w:tc>
                    <w:tc>
                      <w:tcPr>
                        <w:tcW w:w="120" w:type="dxa"/>
                        <w:shd w:val="clear" w:color="auto" w:fill="D1D3D4"/>
                      </w:tcPr>
                      <w:p>
                        <w:pPr/>
                      </w:p>
                    </w:tc>
                    <w:tc>
                      <w:tcPr>
                        <w:tcW w:w="3079" w:type="dxa"/>
                        <w:tcBorders>
                          <w:top w:val="single" w:sz="8" w:space="0" w:color="231F20"/>
                        </w:tcBorders>
                        <w:shd w:val="clear" w:color="auto" w:fill="D1D3D4"/>
                      </w:tcPr>
                      <w:p>
                        <w:pPr>
                          <w:pStyle w:val="TableParagraph"/>
                          <w:ind w:right="80"/>
                          <w:jc w:val="right"/>
                          <w:rPr>
                            <w:sz w:val="20"/>
                          </w:rPr>
                        </w:pPr>
                        <w:r>
                          <w:rPr>
                            <w:color w:val="231F20"/>
                            <w:sz w:val="20"/>
                          </w:rPr>
                          <w:t>14 specified Boeing 737-700 aircraft</w:t>
                        </w:r>
                      </w:p>
                    </w:tc>
                  </w:tr>
                  <w:tr>
                    <w:trPr>
                      <w:trHeight w:val="300" w:hRule="exact"/>
                    </w:trPr>
                    <w:tc>
                      <w:tcPr>
                        <w:tcW w:w="222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36</w:t>
                        </w:r>
                      </w:p>
                    </w:tc>
                    <w:tc>
                      <w:tcPr>
                        <w:tcW w:w="120" w:type="dxa"/>
                      </w:tcPr>
                      <w:p>
                        <w:pPr/>
                      </w:p>
                    </w:tc>
                    <w:tc>
                      <w:tcPr>
                        <w:tcW w:w="1058" w:type="dxa"/>
                      </w:tcPr>
                      <w:p>
                        <w:pPr>
                          <w:pStyle w:val="TableParagraph"/>
                          <w:jc w:val="right"/>
                          <w:rPr>
                            <w:sz w:val="20"/>
                          </w:rPr>
                        </w:pPr>
                        <w:r>
                          <w:rPr>
                            <w:color w:val="231F20"/>
                            <w:sz w:val="20"/>
                          </w:rPr>
                          <w:t>4.84%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79" w:type="dxa"/>
                      </w:tcPr>
                      <w:p>
                        <w:pPr>
                          <w:pStyle w:val="TableParagraph"/>
                          <w:ind w:right="80"/>
                          <w:jc w:val="right"/>
                          <w:rPr>
                            <w:sz w:val="20"/>
                          </w:rPr>
                        </w:pPr>
                        <w:r>
                          <w:rPr>
                            <w:color w:val="231F20"/>
                            <w:sz w:val="20"/>
                          </w:rPr>
                          <w:t>4 specified Boeing 737-700 aircraft</w:t>
                        </w:r>
                      </w:p>
                    </w:tc>
                  </w:tr>
                  <w:tr>
                    <w:trPr>
                      <w:trHeight w:val="300" w:hRule="exact"/>
                    </w:trPr>
                    <w:tc>
                      <w:tcPr>
                        <w:tcW w:w="2223" w:type="dxa"/>
                        <w:shd w:val="clear" w:color="auto" w:fill="D1D3D4"/>
                      </w:tcPr>
                      <w:p>
                        <w:pPr>
                          <w:pStyle w:val="TableParagraph"/>
                          <w:ind w:left="60"/>
                          <w:rPr>
                            <w:sz w:val="20"/>
                          </w:rPr>
                        </w:pPr>
                        <w:r>
                          <w:rPr>
                            <w:color w:val="231F20"/>
                            <w:sz w:val="20"/>
                          </w:rPr>
                          <w:t>Term Loan Agreement</w:t>
                        </w:r>
                      </w:p>
                    </w:tc>
                    <w:tc>
                      <w:tcPr>
                        <w:tcW w:w="1200" w:type="dxa"/>
                        <w:shd w:val="clear" w:color="auto" w:fill="D1D3D4"/>
                      </w:tcPr>
                      <w:p>
                        <w:pPr>
                          <w:pStyle w:val="TableParagraph"/>
                          <w:jc w:val="right"/>
                          <w:rPr>
                            <w:sz w:val="20"/>
                          </w:rPr>
                        </w:pPr>
                        <w:r>
                          <w:rPr>
                            <w:color w:val="231F20"/>
                            <w:sz w:val="20"/>
                          </w:rPr>
                          <w:t>329</w:t>
                        </w:r>
                      </w:p>
                    </w:tc>
                    <w:tc>
                      <w:tcPr>
                        <w:tcW w:w="120" w:type="dxa"/>
                        <w:shd w:val="clear" w:color="auto" w:fill="D1D3D4"/>
                      </w:tcPr>
                      <w:p>
                        <w:pPr/>
                      </w:p>
                    </w:tc>
                    <w:tc>
                      <w:tcPr>
                        <w:tcW w:w="1058" w:type="dxa"/>
                        <w:shd w:val="clear" w:color="auto" w:fill="D1D3D4"/>
                      </w:tcPr>
                      <w:p>
                        <w:pPr>
                          <w:pStyle w:val="TableParagraph"/>
                          <w:jc w:val="right"/>
                          <w:rPr>
                            <w:sz w:val="20"/>
                          </w:rPr>
                        </w:pPr>
                        <w:r>
                          <w:rPr>
                            <w:color w:val="231F20"/>
                            <w:sz w:val="20"/>
                          </w:rPr>
                          <w:t>5.223%</w:t>
                        </w:r>
                      </w:p>
                    </w:tc>
                    <w:tc>
                      <w:tcPr>
                        <w:tcW w:w="320" w:type="dxa"/>
                        <w:shd w:val="clear" w:color="auto" w:fill="D1D3D4"/>
                      </w:tcPr>
                      <w:p>
                        <w:pPr/>
                      </w:p>
                    </w:tc>
                    <w:tc>
                      <w:tcPr>
                        <w:tcW w:w="1000" w:type="dxa"/>
                        <w:shd w:val="clear" w:color="auto" w:fill="D1D3D4"/>
                      </w:tcPr>
                      <w:p>
                        <w:pPr>
                          <w:pStyle w:val="TableParagraph"/>
                          <w:jc w:val="right"/>
                          <w:rPr>
                            <w:sz w:val="20"/>
                          </w:rPr>
                        </w:pPr>
                        <w:r>
                          <w:rPr>
                            <w:color w:val="231F20"/>
                            <w:sz w:val="20"/>
                          </w:rPr>
                          <w:t>5/9/2020</w:t>
                        </w:r>
                      </w:p>
                    </w:tc>
                    <w:tc>
                      <w:tcPr>
                        <w:tcW w:w="120" w:type="dxa"/>
                        <w:shd w:val="clear" w:color="auto" w:fill="D1D3D4"/>
                      </w:tcPr>
                      <w:p>
                        <w:pPr/>
                      </w:p>
                    </w:tc>
                    <w:tc>
                      <w:tcPr>
                        <w:tcW w:w="3079" w:type="dxa"/>
                        <w:shd w:val="clear" w:color="auto" w:fill="D1D3D4"/>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Principal</w:t>
      </w:r>
      <w:r>
        <w:rPr>
          <w:b/>
          <w:color w:val="231F20"/>
          <w:w w:val="100"/>
          <w:sz w:val="20"/>
        </w:rPr>
        <w:t> </w:t>
      </w:r>
      <w:r>
        <w:rPr>
          <w:b/>
          <w:color w:val="231F20"/>
          <w:sz w:val="20"/>
        </w:rPr>
        <w:t>amount</w:t>
      </w:r>
    </w:p>
    <w:p>
      <w:pPr>
        <w:pStyle w:val="BodyText"/>
        <w:rPr>
          <w:b/>
          <w:sz w:val="26"/>
        </w:rPr>
      </w:pPr>
      <w:r>
        <w:rPr/>
        <w:br w:type="column"/>
      </w:r>
      <w:r>
        <w:rPr>
          <w:b/>
          <w:sz w:val="26"/>
        </w:rPr>
      </w:r>
    </w:p>
    <w:p>
      <w:pPr>
        <w:spacing w:before="0"/>
        <w:ind w:left="435" w:right="0" w:firstLine="0"/>
        <w:jc w:val="left"/>
        <w:rPr>
          <w:b/>
          <w:sz w:val="20"/>
        </w:rPr>
      </w:pPr>
      <w:r>
        <w:rPr>
          <w:b/>
          <w:color w:val="231F20"/>
          <w:sz w:val="20"/>
        </w:rPr>
        <w:t>Effective</w:t>
      </w:r>
    </w:p>
    <w:p>
      <w:pPr>
        <w:pStyle w:val="BodyText"/>
        <w:rPr>
          <w:b/>
          <w:sz w:val="26"/>
        </w:rPr>
      </w:pPr>
      <w:r>
        <w:rPr/>
        <w:br w:type="column"/>
      </w:r>
      <w:r>
        <w:rPr>
          <w:b/>
          <w:sz w:val="26"/>
        </w:rPr>
      </w:r>
    </w:p>
    <w:p>
      <w:pPr>
        <w:spacing w:before="0"/>
        <w:ind w:left="709" w:right="0" w:firstLine="0"/>
        <w:jc w:val="left"/>
        <w:rPr>
          <w:b/>
          <w:sz w:val="20"/>
        </w:rPr>
      </w:pPr>
      <w:r>
        <w:rPr>
          <w:b/>
          <w:color w:val="231F20"/>
          <w:sz w:val="20"/>
        </w:rPr>
        <w:t>Final</w:t>
      </w:r>
    </w:p>
    <w:p>
      <w:pPr>
        <w:spacing w:after="0"/>
        <w:jc w:val="left"/>
        <w:rPr>
          <w:sz w:val="20"/>
        </w:rPr>
        <w:sectPr>
          <w:type w:val="continuous"/>
          <w:pgSz w:w="11880" w:h="15480"/>
          <w:pgMar w:top="1260" w:bottom="280" w:left="1280" w:right="1260"/>
          <w:cols w:num="3" w:equalWidth="0">
            <w:col w:w="3318" w:space="40"/>
            <w:col w:w="1192" w:space="40"/>
            <w:col w:w="475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pStyle w:val="BodyText"/>
        <w:spacing w:line="247" w:lineRule="auto" w:before="92"/>
        <w:ind w:left="100" w:right="118"/>
        <w:jc w:val="both"/>
      </w:pPr>
      <w:r>
        <w:rPr>
          <w:color w:val="231F20"/>
        </w:rPr>
        <w:t>The carrying value of the Company’s floating rate debt totaled $859 million, and this debt had a weighted-average maturity of 4.36 years at floating rates averaging 1.47 percent for the year ended December 31, 2015. In total, the Company’s fixed-rate debt and floating rate debt represented 13.42 percent and 4.97 percent, respectively, of consolidated noncurrent assets at December 31, 2015.</w:t>
      </w:r>
    </w:p>
    <w:p>
      <w:pPr>
        <w:pStyle w:val="BodyText"/>
        <w:spacing w:before="1"/>
      </w:pPr>
    </w:p>
    <w:p>
      <w:pPr>
        <w:pStyle w:val="BodyText"/>
        <w:spacing w:line="247" w:lineRule="auto"/>
        <w:ind w:left="100" w:right="117"/>
        <w:jc w:val="both"/>
      </w:pPr>
      <w:r>
        <w:rPr>
          <w:color w:val="231F20"/>
        </w:rPr>
        <w:t>The Company also has some risk associated with changing interest rates due to the short-term nature of its invested cash, which totaled $1.6 billion, and short-term investments, which totaled $1.5 billion at December 31, 2015.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1"/>
      </w:pPr>
    </w:p>
    <w:p>
      <w:pPr>
        <w:pStyle w:val="BodyText"/>
        <w:spacing w:line="247" w:lineRule="auto"/>
        <w:ind w:left="100" w:right="117"/>
        <w:jc w:val="both"/>
      </w:pPr>
      <w:r>
        <w:rPr>
          <w:color w:val="231F20"/>
        </w:rPr>
        <w:t>A hypothetical 10 percent change in market interest rates as of December 31, 2015,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2015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w:t>
      </w:r>
    </w:p>
    <w:p>
      <w:pPr>
        <w:spacing w:after="0" w:line="247" w:lineRule="auto"/>
        <w:jc w:val="both"/>
        <w:sectPr>
          <w:type w:val="continuous"/>
          <w:pgSz w:w="11880" w:h="15480"/>
          <w:pgMar w:top="1260" w:bottom="280" w:left="1280" w:right="1260"/>
        </w:sectPr>
      </w:pPr>
    </w:p>
    <w:p>
      <w:pPr>
        <w:pStyle w:val="BodyText"/>
        <w:spacing w:line="247" w:lineRule="auto" w:before="74"/>
        <w:ind w:left="100" w:right="118"/>
        <w:jc w:val="both"/>
      </w:pPr>
      <w:r>
        <w:rPr>
          <w:color w:val="231F20"/>
        </w:rPr>
        <w:t>provided to counterparties, if applicable), short-term investments, and floating-rate debt outstanding at December 31, 2015,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5"/>
      </w:pPr>
    </w:p>
    <w:p>
      <w:pPr>
        <w:pStyle w:val="BodyText"/>
        <w:spacing w:line="247" w:lineRule="auto"/>
        <w:ind w:left="100" w:right="117"/>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2015, the Company was in compliance with this covenant and there were no amounts outstanding under the revolving credit facility. However, if conditions change and the Company fails to meet the minimum standards set forth in the revolving credit facility, there could be a reduction in the availability of cash under the facility, or an increase in the costs to keep the facility intact as written. The Company’s hedging counterparty agreements contain ratings triggers in which additional cash collateral could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2015, $835 million in cash collateral deposits were provided by the Company under these provisions. If the Company’s credit rating had been below investment grade as of that date, the Company would not have been required to post additional cash collateral deposits with fuel hedge counterparties because it had additional room available under its existing aircraft collateral facilities.</w:t>
      </w:r>
    </w:p>
    <w:p>
      <w:pPr>
        <w:pStyle w:val="BodyText"/>
        <w:spacing w:before="5"/>
      </w:pPr>
    </w:p>
    <w:p>
      <w:pPr>
        <w:pStyle w:val="BodyText"/>
        <w:spacing w:line="247" w:lineRule="auto"/>
        <w:ind w:left="100" w:right="117"/>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5"/>
      </w:pPr>
    </w:p>
    <w:p>
      <w:pPr>
        <w:pStyle w:val="BodyText"/>
        <w:spacing w:line="247" w:lineRule="auto"/>
        <w:ind w:left="100" w:right="117"/>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w:t>
      </w:r>
      <w:r>
        <w:rPr>
          <w:color w:val="231F20"/>
          <w:spacing w:val="-1"/>
        </w:rPr>
        <w:t> </w:t>
      </w:r>
      <w:r>
        <w:rPr>
          <w:color w:val="231F20"/>
        </w:rPr>
        <w:t>liability.</w:t>
      </w:r>
    </w:p>
    <w:p>
      <w:pPr>
        <w:pStyle w:val="BodyText"/>
        <w:spacing w:before="5"/>
      </w:pPr>
    </w:p>
    <w:p>
      <w:pPr>
        <w:pStyle w:val="BodyText"/>
        <w:spacing w:line="247" w:lineRule="auto"/>
        <w:ind w:left="100" w:right="118"/>
        <w:jc w:val="both"/>
      </w:pPr>
      <w:r>
        <w:rPr>
          <w:color w:val="231F20"/>
        </w:rPr>
        <w:t>As of December 31, 2015,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29" w:val="left" w:leader="none"/>
        </w:tabs>
        <w:spacing w:before="74"/>
        <w:ind w:left="100"/>
        <w:rPr>
          <w:i/>
        </w:rPr>
      </w:pPr>
      <w:bookmarkStart w:name="Item 8. Financial Statements and Supplem" w:id="16"/>
      <w:bookmarkEnd w:id="16"/>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pStyle w:val="BodyText"/>
        <w:spacing w:before="1"/>
        <w:rPr>
          <w:b/>
          <w:i/>
          <w:sz w:val="21"/>
        </w:rPr>
      </w:pPr>
    </w:p>
    <w:p>
      <w:pPr>
        <w:spacing w:line="254" w:lineRule="auto" w:before="0" w:after="7"/>
        <w:ind w:left="3594" w:right="3613" w:hanging="1"/>
        <w:jc w:val="center"/>
        <w:rPr>
          <w:b/>
          <w:sz w:val="18"/>
        </w:rPr>
      </w:pPr>
      <w:r>
        <w:rPr/>
        <w:pict>
          <v:line style="position:absolute;mso-position-horizontal-relative:page;mso-position-vertical-relative:paragraph;z-index:-392032" from="345pt,302.752319pt" to="430pt,302.752319pt" stroked="true" strokeweight=".5pt" strokecolor="#231f20">
            <v:stroke dashstyle="solid"/>
            <w10:wrap type="none"/>
          </v:line>
        </w:pict>
      </w:r>
      <w:r>
        <w:rPr/>
        <w:pict>
          <v:line style="position:absolute;mso-position-horizontal-relative:page;mso-position-vertical-relative:paragraph;z-index:-392008" from="440pt,302.752319pt" to="525pt,302.752319pt" stroked="true" strokeweight=".5pt" strokecolor="#231f20">
            <v:stroke dashstyle="solid"/>
            <w10:wrap type="none"/>
          </v:line>
        </w:pict>
      </w:r>
      <w:r>
        <w:rPr>
          <w:b/>
          <w:color w:val="231F20"/>
          <w:sz w:val="18"/>
        </w:rPr>
        <w:t>Southwest Airlines Co. </w:t>
      </w:r>
      <w:bookmarkStart w:name="Southwest Airlines Co. Consolidated Bala" w:id="17"/>
      <w:bookmarkEnd w:id="17"/>
      <w:r>
        <w:rPr>
          <w:b/>
          <w:color w:val="231F20"/>
          <w:sz w:val="18"/>
        </w:rPr>
      </w:r>
      <w:r>
        <w:rPr>
          <w:b/>
          <w:color w:val="231F20"/>
          <w:sz w:val="18"/>
        </w:rPr>
        <w:t>Consolidated Balance Sheet</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200"/>
        <w:gridCol w:w="1700"/>
      </w:tblGrid>
      <w:tr>
        <w:trPr>
          <w:trHeight w:val="413" w:hRule="exact"/>
        </w:trPr>
        <w:tc>
          <w:tcPr>
            <w:tcW w:w="9120" w:type="dxa"/>
            <w:gridSpan w:val="4"/>
          </w:tcPr>
          <w:p>
            <w:pPr>
              <w:pStyle w:val="TableParagraph"/>
              <w:spacing w:line="201" w:lineRule="exact" w:before="0"/>
              <w:ind w:left="3427" w:right="3428"/>
              <w:jc w:val="center"/>
              <w:rPr>
                <w:sz w:val="18"/>
              </w:rPr>
            </w:pPr>
            <w:r>
              <w:rPr>
                <w:color w:val="231F20"/>
                <w:sz w:val="18"/>
              </w:rPr>
              <w:t>(in millions, except share data)</w:t>
            </w:r>
          </w:p>
        </w:tc>
      </w:tr>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2015</w:t>
            </w:r>
          </w:p>
        </w:tc>
        <w:tc>
          <w:tcPr>
            <w:tcW w:w="200" w:type="dxa"/>
          </w:tcPr>
          <w:p>
            <w:pPr/>
          </w:p>
        </w:tc>
        <w:tc>
          <w:tcPr>
            <w:tcW w:w="1700" w:type="dxa"/>
            <w:tcBorders>
              <w:bottom w:val="single" w:sz="8" w:space="0" w:color="231F20"/>
            </w:tcBorders>
          </w:tcPr>
          <w:p>
            <w:pPr>
              <w:pStyle w:val="TableParagraph"/>
              <w:spacing w:line="206" w:lineRule="exact" w:before="0"/>
              <w:ind w:right="121"/>
              <w:jc w:val="right"/>
              <w:rPr>
                <w:b/>
                <w:sz w:val="18"/>
              </w:rPr>
            </w:pPr>
            <w:r>
              <w:rPr>
                <w:b/>
                <w:color w:val="231F20"/>
                <w:sz w:val="18"/>
              </w:rPr>
              <w:t>December 31, 2014</w:t>
            </w:r>
          </w:p>
        </w:tc>
      </w:tr>
      <w:tr>
        <w:trPr>
          <w:trHeight w:val="486" w:hRule="exact"/>
        </w:trPr>
        <w:tc>
          <w:tcPr>
            <w:tcW w:w="5520" w:type="dxa"/>
          </w:tcPr>
          <w:p>
            <w:pPr>
              <w:pStyle w:val="TableParagraph"/>
              <w:spacing w:before="20"/>
              <w:ind w:left="60"/>
              <w:rPr>
                <w:b/>
                <w:sz w:val="18"/>
              </w:rPr>
            </w:pPr>
            <w:r>
              <w:rPr>
                <w:b/>
                <w:color w:val="231F20"/>
                <w:sz w:val="18"/>
              </w:rPr>
              <w:t>ASSETS</w:t>
            </w:r>
          </w:p>
          <w:p>
            <w:pPr>
              <w:pStyle w:val="TableParagraph"/>
              <w:spacing w:before="31"/>
              <w:ind w:left="60"/>
              <w:rPr>
                <w:sz w:val="18"/>
              </w:rPr>
            </w:pPr>
            <w:r>
              <w:rPr>
                <w:color w:val="231F20"/>
                <w:sz w:val="18"/>
              </w:rPr>
              <w:t>Current assets:</w:t>
            </w:r>
          </w:p>
        </w:tc>
        <w:tc>
          <w:tcPr>
            <w:tcW w:w="1700" w:type="dxa"/>
            <w:tcBorders>
              <w:top w:val="single" w:sz="8" w:space="0" w:color="231F20"/>
            </w:tcBorders>
          </w:tcPr>
          <w:p>
            <w:pPr/>
          </w:p>
        </w:tc>
        <w:tc>
          <w:tcPr>
            <w:tcW w:w="200" w:type="dxa"/>
          </w:tcPr>
          <w:p>
            <w:pPr/>
          </w:p>
        </w:tc>
        <w:tc>
          <w:tcPr>
            <w:tcW w:w="1700" w:type="dxa"/>
            <w:tcBorders>
              <w:top w:val="single" w:sz="8" w:space="0" w:color="231F20"/>
            </w:tcBorders>
          </w:tcPr>
          <w:p>
            <w:pPr/>
          </w:p>
        </w:tc>
      </w:tr>
      <w:tr>
        <w:trPr>
          <w:trHeight w:val="258" w:hRule="exact"/>
        </w:trPr>
        <w:tc>
          <w:tcPr>
            <w:tcW w:w="5520" w:type="dxa"/>
            <w:shd w:val="clear" w:color="auto" w:fill="D1D3D4"/>
          </w:tcPr>
          <w:p>
            <w:pPr>
              <w:pStyle w:val="TableParagraph"/>
              <w:spacing w:before="10"/>
              <w:ind w:left="240"/>
              <w:rPr>
                <w:sz w:val="18"/>
              </w:rPr>
            </w:pPr>
            <w:r>
              <w:rPr>
                <w:color w:val="231F20"/>
                <w:sz w:val="18"/>
              </w:rPr>
              <w:t>Cash and cash equivalents</w:t>
            </w:r>
          </w:p>
        </w:tc>
        <w:tc>
          <w:tcPr>
            <w:tcW w:w="1700" w:type="dxa"/>
            <w:shd w:val="clear" w:color="auto" w:fill="D1D3D4"/>
          </w:tcPr>
          <w:p>
            <w:pPr>
              <w:pStyle w:val="TableParagraph"/>
              <w:tabs>
                <w:tab w:pos="1234" w:val="left" w:leader="none"/>
              </w:tabs>
              <w:spacing w:before="10"/>
              <w:ind w:right="58"/>
              <w:jc w:val="right"/>
              <w:rPr>
                <w:sz w:val="18"/>
              </w:rPr>
            </w:pPr>
            <w:r>
              <w:rPr>
                <w:color w:val="231F20"/>
                <w:sz w:val="18"/>
              </w:rPr>
              <w:t>$</w:t>
              <w:tab/>
              <w:t>1,583</w:t>
            </w:r>
          </w:p>
        </w:tc>
        <w:tc>
          <w:tcPr>
            <w:tcW w:w="200" w:type="dxa"/>
            <w:shd w:val="clear" w:color="auto" w:fill="D1D3D4"/>
          </w:tcPr>
          <w:p>
            <w:pPr/>
          </w:p>
        </w:tc>
        <w:tc>
          <w:tcPr>
            <w:tcW w:w="1700" w:type="dxa"/>
            <w:shd w:val="clear" w:color="auto" w:fill="D1D3D4"/>
          </w:tcPr>
          <w:p>
            <w:pPr>
              <w:pStyle w:val="TableParagraph"/>
              <w:tabs>
                <w:tab w:pos="1234" w:val="left" w:leader="none"/>
              </w:tabs>
              <w:spacing w:before="10"/>
              <w:ind w:right="58"/>
              <w:jc w:val="right"/>
              <w:rPr>
                <w:sz w:val="18"/>
              </w:rPr>
            </w:pPr>
            <w:r>
              <w:rPr>
                <w:color w:val="231F20"/>
                <w:sz w:val="18"/>
              </w:rPr>
              <w:t>$</w:t>
              <w:tab/>
              <w:t>1,282</w:t>
            </w:r>
          </w:p>
        </w:tc>
      </w:tr>
      <w:tr>
        <w:trPr>
          <w:trHeight w:val="258" w:hRule="exact"/>
        </w:trPr>
        <w:tc>
          <w:tcPr>
            <w:tcW w:w="5520" w:type="dxa"/>
          </w:tcPr>
          <w:p>
            <w:pPr>
              <w:pStyle w:val="TableParagraph"/>
              <w:spacing w:before="10"/>
              <w:ind w:left="240"/>
              <w:rPr>
                <w:sz w:val="18"/>
              </w:rPr>
            </w:pPr>
            <w:r>
              <w:rPr>
                <w:color w:val="231F20"/>
                <w:sz w:val="18"/>
              </w:rPr>
              <w:t>Short-term investments</w:t>
            </w:r>
          </w:p>
        </w:tc>
        <w:tc>
          <w:tcPr>
            <w:tcW w:w="1700" w:type="dxa"/>
          </w:tcPr>
          <w:p>
            <w:pPr>
              <w:pStyle w:val="TableParagraph"/>
              <w:spacing w:before="10"/>
              <w:ind w:right="58"/>
              <w:jc w:val="right"/>
              <w:rPr>
                <w:sz w:val="18"/>
              </w:rPr>
            </w:pPr>
            <w:r>
              <w:rPr>
                <w:color w:val="231F20"/>
                <w:sz w:val="18"/>
              </w:rPr>
              <w:t>1,468</w:t>
            </w:r>
          </w:p>
        </w:tc>
        <w:tc>
          <w:tcPr>
            <w:tcW w:w="200" w:type="dxa"/>
          </w:tcPr>
          <w:p>
            <w:pPr/>
          </w:p>
        </w:tc>
        <w:tc>
          <w:tcPr>
            <w:tcW w:w="1700" w:type="dxa"/>
          </w:tcPr>
          <w:p>
            <w:pPr>
              <w:pStyle w:val="TableParagraph"/>
              <w:spacing w:before="10"/>
              <w:ind w:right="58"/>
              <w:jc w:val="right"/>
              <w:rPr>
                <w:sz w:val="18"/>
              </w:rPr>
            </w:pPr>
            <w:r>
              <w:rPr>
                <w:color w:val="231F20"/>
                <w:sz w:val="18"/>
              </w:rPr>
              <w:t>1,706</w:t>
            </w:r>
          </w:p>
        </w:tc>
      </w:tr>
      <w:tr>
        <w:trPr>
          <w:trHeight w:val="258" w:hRule="exact"/>
        </w:trPr>
        <w:tc>
          <w:tcPr>
            <w:tcW w:w="5520" w:type="dxa"/>
            <w:shd w:val="clear" w:color="auto" w:fill="D1D3D4"/>
          </w:tcPr>
          <w:p>
            <w:pPr>
              <w:pStyle w:val="TableParagraph"/>
              <w:spacing w:before="10"/>
              <w:ind w:left="240"/>
              <w:rPr>
                <w:sz w:val="18"/>
              </w:rPr>
            </w:pPr>
            <w:r>
              <w:rPr>
                <w:color w:val="231F20"/>
                <w:sz w:val="18"/>
              </w:rPr>
              <w:t>Accounts and other receivables</w:t>
            </w:r>
          </w:p>
        </w:tc>
        <w:tc>
          <w:tcPr>
            <w:tcW w:w="1700" w:type="dxa"/>
            <w:shd w:val="clear" w:color="auto" w:fill="D1D3D4"/>
          </w:tcPr>
          <w:p>
            <w:pPr>
              <w:pStyle w:val="TableParagraph"/>
              <w:spacing w:before="10"/>
              <w:ind w:right="58"/>
              <w:jc w:val="right"/>
              <w:rPr>
                <w:sz w:val="18"/>
              </w:rPr>
            </w:pPr>
            <w:r>
              <w:rPr>
                <w:color w:val="231F20"/>
                <w:sz w:val="18"/>
              </w:rPr>
              <w:t>474</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365</w:t>
            </w:r>
          </w:p>
        </w:tc>
      </w:tr>
      <w:tr>
        <w:trPr>
          <w:trHeight w:val="258" w:hRule="exact"/>
        </w:trPr>
        <w:tc>
          <w:tcPr>
            <w:tcW w:w="5520" w:type="dxa"/>
          </w:tcPr>
          <w:p>
            <w:pPr>
              <w:pStyle w:val="TableParagraph"/>
              <w:spacing w:before="10"/>
              <w:ind w:left="240"/>
              <w:rPr>
                <w:sz w:val="18"/>
              </w:rPr>
            </w:pPr>
            <w:r>
              <w:rPr>
                <w:color w:val="231F20"/>
                <w:sz w:val="18"/>
              </w:rPr>
              <w:t>Inventories of parts and supplies, at cost</w:t>
            </w:r>
          </w:p>
        </w:tc>
        <w:tc>
          <w:tcPr>
            <w:tcW w:w="1700" w:type="dxa"/>
          </w:tcPr>
          <w:p>
            <w:pPr>
              <w:pStyle w:val="TableParagraph"/>
              <w:spacing w:before="10"/>
              <w:ind w:right="58"/>
              <w:jc w:val="right"/>
              <w:rPr>
                <w:sz w:val="18"/>
              </w:rPr>
            </w:pPr>
            <w:r>
              <w:rPr>
                <w:color w:val="231F20"/>
                <w:sz w:val="18"/>
              </w:rPr>
              <w:t>311</w:t>
            </w:r>
          </w:p>
        </w:tc>
        <w:tc>
          <w:tcPr>
            <w:tcW w:w="200" w:type="dxa"/>
          </w:tcPr>
          <w:p>
            <w:pPr/>
          </w:p>
        </w:tc>
        <w:tc>
          <w:tcPr>
            <w:tcW w:w="1700" w:type="dxa"/>
          </w:tcPr>
          <w:p>
            <w:pPr>
              <w:pStyle w:val="TableParagraph"/>
              <w:spacing w:before="10"/>
              <w:ind w:right="58"/>
              <w:jc w:val="right"/>
              <w:rPr>
                <w:sz w:val="18"/>
              </w:rPr>
            </w:pPr>
            <w:r>
              <w:rPr>
                <w:color w:val="231F20"/>
                <w:sz w:val="18"/>
              </w:rPr>
              <w:t>342</w:t>
            </w:r>
          </w:p>
        </w:tc>
      </w:tr>
      <w:tr>
        <w:trPr>
          <w:trHeight w:val="273" w:hRule="exact"/>
        </w:trPr>
        <w:tc>
          <w:tcPr>
            <w:tcW w:w="5520" w:type="dxa"/>
            <w:shd w:val="clear" w:color="auto" w:fill="D1D3D4"/>
          </w:tcPr>
          <w:p>
            <w:pPr>
              <w:pStyle w:val="TableParagraph"/>
              <w:spacing w:before="10"/>
              <w:ind w:left="240"/>
              <w:rPr>
                <w:sz w:val="18"/>
              </w:rPr>
            </w:pPr>
            <w:r>
              <w:rPr>
                <w:color w:val="231F20"/>
                <w:sz w:val="18"/>
              </w:rPr>
              <w:t>Prepaid expenses and other current assets</w:t>
            </w: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188</w:t>
            </w:r>
          </w:p>
        </w:tc>
        <w:tc>
          <w:tcPr>
            <w:tcW w:w="200" w:type="dxa"/>
            <w:shd w:val="clear" w:color="auto" w:fill="D1D3D4"/>
          </w:tcPr>
          <w:p>
            <w:pP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232</w:t>
            </w:r>
          </w:p>
        </w:tc>
      </w:tr>
      <w:tr>
        <w:trPr>
          <w:trHeight w:val="243" w:hRule="exact"/>
        </w:trPr>
        <w:tc>
          <w:tcPr>
            <w:tcW w:w="5520" w:type="dxa"/>
          </w:tcPr>
          <w:p>
            <w:pPr>
              <w:pStyle w:val="TableParagraph"/>
              <w:spacing w:before="30"/>
              <w:ind w:left="420"/>
              <w:rPr>
                <w:sz w:val="18"/>
              </w:rPr>
            </w:pPr>
            <w:r>
              <w:rPr>
                <w:color w:val="231F20"/>
                <w:sz w:val="18"/>
              </w:rPr>
              <w:t>Total current assets</w:t>
            </w:r>
          </w:p>
        </w:tc>
        <w:tc>
          <w:tcPr>
            <w:tcW w:w="1700" w:type="dxa"/>
            <w:tcBorders>
              <w:top w:val="single" w:sz="4" w:space="0" w:color="231F20"/>
            </w:tcBorders>
          </w:tcPr>
          <w:p>
            <w:pPr>
              <w:pStyle w:val="TableParagraph"/>
              <w:spacing w:before="10"/>
              <w:ind w:right="58"/>
              <w:jc w:val="right"/>
              <w:rPr>
                <w:sz w:val="18"/>
              </w:rPr>
            </w:pPr>
            <w:r>
              <w:rPr>
                <w:color w:val="231F20"/>
                <w:sz w:val="18"/>
              </w:rPr>
              <w:t>4,024</w:t>
            </w:r>
          </w:p>
        </w:tc>
        <w:tc>
          <w:tcPr>
            <w:tcW w:w="200" w:type="dxa"/>
          </w:tcPr>
          <w:p>
            <w:pPr/>
          </w:p>
        </w:tc>
        <w:tc>
          <w:tcPr>
            <w:tcW w:w="1700" w:type="dxa"/>
            <w:tcBorders>
              <w:top w:val="single" w:sz="4" w:space="0" w:color="231F20"/>
            </w:tcBorders>
          </w:tcPr>
          <w:p>
            <w:pPr>
              <w:pStyle w:val="TableParagraph"/>
              <w:spacing w:before="10"/>
              <w:ind w:right="58"/>
              <w:jc w:val="right"/>
              <w:rPr>
                <w:sz w:val="18"/>
              </w:rPr>
            </w:pPr>
            <w:r>
              <w:rPr>
                <w:color w:val="231F20"/>
                <w:sz w:val="18"/>
              </w:rPr>
              <w:t>3,927</w:t>
            </w:r>
          </w:p>
        </w:tc>
      </w:tr>
      <w:tr>
        <w:trPr>
          <w:trHeight w:val="231" w:hRule="exact"/>
        </w:trPr>
        <w:tc>
          <w:tcPr>
            <w:tcW w:w="5520" w:type="dxa"/>
            <w:shd w:val="clear" w:color="auto" w:fill="D1D3D4"/>
          </w:tcPr>
          <w:p>
            <w:pPr/>
          </w:p>
        </w:tc>
        <w:tc>
          <w:tcPr>
            <w:tcW w:w="1700" w:type="dxa"/>
            <w:shd w:val="clear" w:color="auto" w:fill="D1D3D4"/>
          </w:tcPr>
          <w:p>
            <w:pPr/>
          </w:p>
        </w:tc>
        <w:tc>
          <w:tcPr>
            <w:tcW w:w="200" w:type="dxa"/>
            <w:shd w:val="clear" w:color="auto" w:fill="D1D3D4"/>
          </w:tcPr>
          <w:p>
            <w:pPr/>
          </w:p>
        </w:tc>
        <w:tc>
          <w:tcPr>
            <w:tcW w:w="1700" w:type="dxa"/>
            <w:shd w:val="clear" w:color="auto" w:fill="D1D3D4"/>
          </w:tcPr>
          <w:p>
            <w:pPr/>
          </w:p>
        </w:tc>
      </w:tr>
      <w:tr>
        <w:trPr>
          <w:trHeight w:val="238" w:hRule="exact"/>
        </w:trPr>
        <w:tc>
          <w:tcPr>
            <w:tcW w:w="5520" w:type="dxa"/>
          </w:tcPr>
          <w:p>
            <w:pPr>
              <w:pStyle w:val="TableParagraph"/>
              <w:spacing w:before="10"/>
              <w:ind w:left="60"/>
              <w:rPr>
                <w:sz w:val="18"/>
              </w:rPr>
            </w:pPr>
            <w:r>
              <w:rPr>
                <w:color w:val="231F20"/>
                <w:sz w:val="18"/>
              </w:rPr>
              <w:t>Property and equipment, at cost:</w:t>
            </w:r>
          </w:p>
        </w:tc>
        <w:tc>
          <w:tcPr>
            <w:tcW w:w="1700" w:type="dxa"/>
          </w:tcPr>
          <w:p>
            <w:pPr/>
          </w:p>
        </w:tc>
        <w:tc>
          <w:tcPr>
            <w:tcW w:w="200" w:type="dxa"/>
          </w:tcPr>
          <w:p>
            <w:pPr/>
          </w:p>
        </w:tc>
        <w:tc>
          <w:tcPr>
            <w:tcW w:w="1700" w:type="dxa"/>
          </w:tcPr>
          <w:p>
            <w:pPr/>
          </w:p>
        </w:tc>
      </w:tr>
      <w:tr>
        <w:trPr>
          <w:trHeight w:val="238" w:hRule="exact"/>
        </w:trPr>
        <w:tc>
          <w:tcPr>
            <w:tcW w:w="5520" w:type="dxa"/>
            <w:shd w:val="clear" w:color="auto" w:fill="D1D3D4"/>
          </w:tcPr>
          <w:p>
            <w:pPr>
              <w:pStyle w:val="TableParagraph"/>
              <w:spacing w:before="10"/>
              <w:ind w:left="240"/>
              <w:rPr>
                <w:sz w:val="18"/>
              </w:rPr>
            </w:pPr>
            <w:r>
              <w:rPr>
                <w:color w:val="231F20"/>
                <w:sz w:val="18"/>
              </w:rPr>
              <w:t>Flight equipment</w:t>
            </w:r>
          </w:p>
        </w:tc>
        <w:tc>
          <w:tcPr>
            <w:tcW w:w="1700" w:type="dxa"/>
            <w:shd w:val="clear" w:color="auto" w:fill="D1D3D4"/>
          </w:tcPr>
          <w:p>
            <w:pPr>
              <w:pStyle w:val="TableParagraph"/>
              <w:spacing w:before="10"/>
              <w:ind w:right="58"/>
              <w:jc w:val="right"/>
              <w:rPr>
                <w:sz w:val="18"/>
              </w:rPr>
            </w:pPr>
            <w:r>
              <w:rPr>
                <w:color w:val="231F20"/>
                <w:sz w:val="18"/>
              </w:rPr>
              <w:t>19,462</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18,473</w:t>
            </w:r>
          </w:p>
        </w:tc>
      </w:tr>
      <w:tr>
        <w:trPr>
          <w:trHeight w:val="238" w:hRule="exact"/>
        </w:trPr>
        <w:tc>
          <w:tcPr>
            <w:tcW w:w="5520" w:type="dxa"/>
          </w:tcPr>
          <w:p>
            <w:pPr>
              <w:pStyle w:val="TableParagraph"/>
              <w:spacing w:before="10"/>
              <w:ind w:left="240"/>
              <w:rPr>
                <w:sz w:val="18"/>
              </w:rPr>
            </w:pPr>
            <w:r>
              <w:rPr>
                <w:color w:val="231F20"/>
                <w:sz w:val="18"/>
              </w:rPr>
              <w:t>Ground property and equipment</w:t>
            </w:r>
          </w:p>
        </w:tc>
        <w:tc>
          <w:tcPr>
            <w:tcW w:w="1700" w:type="dxa"/>
          </w:tcPr>
          <w:p>
            <w:pPr>
              <w:pStyle w:val="TableParagraph"/>
              <w:spacing w:before="10"/>
              <w:ind w:right="58"/>
              <w:jc w:val="right"/>
              <w:rPr>
                <w:sz w:val="18"/>
              </w:rPr>
            </w:pPr>
            <w:r>
              <w:rPr>
                <w:color w:val="231F20"/>
                <w:sz w:val="18"/>
              </w:rPr>
              <w:t>3,219</w:t>
            </w:r>
          </w:p>
        </w:tc>
        <w:tc>
          <w:tcPr>
            <w:tcW w:w="200" w:type="dxa"/>
          </w:tcPr>
          <w:p>
            <w:pPr/>
          </w:p>
        </w:tc>
        <w:tc>
          <w:tcPr>
            <w:tcW w:w="1700" w:type="dxa"/>
          </w:tcPr>
          <w:p>
            <w:pPr>
              <w:pStyle w:val="TableParagraph"/>
              <w:spacing w:before="10"/>
              <w:ind w:right="58"/>
              <w:jc w:val="right"/>
              <w:rPr>
                <w:sz w:val="18"/>
              </w:rPr>
            </w:pPr>
            <w:r>
              <w:rPr>
                <w:color w:val="231F20"/>
                <w:sz w:val="18"/>
              </w:rPr>
              <w:t>2,853</w:t>
            </w:r>
          </w:p>
        </w:tc>
      </w:tr>
      <w:tr>
        <w:trPr>
          <w:trHeight w:val="238" w:hRule="exact"/>
        </w:trPr>
        <w:tc>
          <w:tcPr>
            <w:tcW w:w="5520" w:type="dxa"/>
            <w:shd w:val="clear" w:color="auto" w:fill="D1D3D4"/>
          </w:tcPr>
          <w:p>
            <w:pPr>
              <w:pStyle w:val="TableParagraph"/>
              <w:spacing w:before="10"/>
              <w:ind w:left="240"/>
              <w:rPr>
                <w:sz w:val="18"/>
              </w:rPr>
            </w:pPr>
            <w:r>
              <w:rPr>
                <w:color w:val="231F20"/>
                <w:sz w:val="18"/>
              </w:rPr>
              <w:t>Deposits on flight equipment purchase contracts</w:t>
            </w:r>
          </w:p>
        </w:tc>
        <w:tc>
          <w:tcPr>
            <w:tcW w:w="1700" w:type="dxa"/>
            <w:shd w:val="clear" w:color="auto" w:fill="D1D3D4"/>
          </w:tcPr>
          <w:p>
            <w:pPr>
              <w:pStyle w:val="TableParagraph"/>
              <w:spacing w:before="10"/>
              <w:ind w:right="58"/>
              <w:jc w:val="right"/>
              <w:rPr>
                <w:sz w:val="18"/>
              </w:rPr>
            </w:pPr>
            <w:r>
              <w:rPr>
                <w:color w:val="231F20"/>
                <w:sz w:val="18"/>
              </w:rPr>
              <w:t>1,089</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566</w:t>
            </w:r>
          </w:p>
        </w:tc>
      </w:tr>
      <w:tr>
        <w:trPr>
          <w:trHeight w:val="253" w:hRule="exact"/>
        </w:trPr>
        <w:tc>
          <w:tcPr>
            <w:tcW w:w="5520" w:type="dxa"/>
          </w:tcPr>
          <w:p>
            <w:pPr>
              <w:pStyle w:val="TableParagraph"/>
              <w:spacing w:before="10"/>
              <w:ind w:left="240"/>
              <w:rPr>
                <w:sz w:val="18"/>
              </w:rPr>
            </w:pPr>
            <w:r>
              <w:rPr>
                <w:color w:val="231F20"/>
                <w:sz w:val="18"/>
              </w:rPr>
              <w:t>Assets constructed for others</w:t>
            </w:r>
          </w:p>
        </w:tc>
        <w:tc>
          <w:tcPr>
            <w:tcW w:w="1700" w:type="dxa"/>
            <w:tcBorders>
              <w:bottom w:val="single" w:sz="4" w:space="0" w:color="231F20"/>
            </w:tcBorders>
          </w:tcPr>
          <w:p>
            <w:pPr>
              <w:pStyle w:val="TableParagraph"/>
              <w:spacing w:before="10"/>
              <w:ind w:right="58"/>
              <w:jc w:val="right"/>
              <w:rPr>
                <w:sz w:val="18"/>
              </w:rPr>
            </w:pPr>
            <w:r>
              <w:rPr>
                <w:color w:val="231F20"/>
                <w:sz w:val="18"/>
              </w:rPr>
              <w:t>915</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621</w:t>
            </w:r>
          </w:p>
        </w:tc>
      </w:tr>
      <w:tr>
        <w:trPr>
          <w:trHeight w:val="243"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0"/>
              <w:ind w:right="59"/>
              <w:jc w:val="right"/>
              <w:rPr>
                <w:sz w:val="18"/>
              </w:rPr>
            </w:pPr>
            <w:r>
              <w:rPr>
                <w:color w:val="231F20"/>
                <w:sz w:val="18"/>
              </w:rPr>
              <w:t>24,685</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22,513</w:t>
            </w:r>
          </w:p>
        </w:tc>
      </w:tr>
      <w:tr>
        <w:trPr>
          <w:trHeight w:val="253" w:hRule="exact"/>
        </w:trPr>
        <w:tc>
          <w:tcPr>
            <w:tcW w:w="5520" w:type="dxa"/>
          </w:tcPr>
          <w:p>
            <w:pPr>
              <w:pStyle w:val="TableParagraph"/>
              <w:spacing w:before="10"/>
              <w:ind w:left="239"/>
              <w:rPr>
                <w:sz w:val="18"/>
              </w:rPr>
            </w:pPr>
            <w:r>
              <w:rPr>
                <w:color w:val="231F20"/>
                <w:sz w:val="18"/>
              </w:rPr>
              <w:t>Less allowance for depreciation and amortization</w:t>
            </w:r>
          </w:p>
        </w:tc>
        <w:tc>
          <w:tcPr>
            <w:tcW w:w="1700" w:type="dxa"/>
            <w:tcBorders>
              <w:bottom w:val="single" w:sz="4" w:space="0" w:color="231F20"/>
            </w:tcBorders>
          </w:tcPr>
          <w:p>
            <w:pPr>
              <w:pStyle w:val="TableParagraph"/>
              <w:spacing w:before="10"/>
              <w:ind w:right="58"/>
              <w:jc w:val="right"/>
              <w:rPr>
                <w:sz w:val="18"/>
              </w:rPr>
            </w:pPr>
            <w:r>
              <w:rPr>
                <w:color w:val="231F20"/>
                <w:sz w:val="18"/>
              </w:rPr>
              <w:t>9,084</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8,221</w:t>
            </w:r>
          </w:p>
        </w:tc>
      </w:tr>
      <w:tr>
        <w:trPr>
          <w:trHeight w:val="243"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0"/>
              <w:ind w:right="59"/>
              <w:jc w:val="right"/>
              <w:rPr>
                <w:sz w:val="18"/>
              </w:rPr>
            </w:pPr>
            <w:r>
              <w:rPr>
                <w:color w:val="231F20"/>
                <w:sz w:val="18"/>
              </w:rPr>
              <w:t>15,601</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14,292</w:t>
            </w:r>
          </w:p>
        </w:tc>
      </w:tr>
      <w:tr>
        <w:trPr>
          <w:trHeight w:val="238" w:hRule="exact"/>
        </w:trPr>
        <w:tc>
          <w:tcPr>
            <w:tcW w:w="5520" w:type="dxa"/>
          </w:tcPr>
          <w:p>
            <w:pPr>
              <w:pStyle w:val="TableParagraph"/>
              <w:spacing w:before="10"/>
              <w:ind w:left="60"/>
              <w:rPr>
                <w:sz w:val="18"/>
              </w:rPr>
            </w:pPr>
            <w:r>
              <w:rPr>
                <w:color w:val="231F20"/>
                <w:sz w:val="18"/>
              </w:rPr>
              <w:t>Goodwill</w:t>
            </w:r>
          </w:p>
        </w:tc>
        <w:tc>
          <w:tcPr>
            <w:tcW w:w="1700" w:type="dxa"/>
          </w:tcPr>
          <w:p>
            <w:pPr>
              <w:pStyle w:val="TableParagraph"/>
              <w:spacing w:before="10"/>
              <w:ind w:right="59"/>
              <w:jc w:val="right"/>
              <w:rPr>
                <w:sz w:val="18"/>
              </w:rPr>
            </w:pPr>
            <w:r>
              <w:rPr>
                <w:color w:val="231F20"/>
                <w:sz w:val="18"/>
              </w:rPr>
              <w:t>970</w:t>
            </w:r>
          </w:p>
        </w:tc>
        <w:tc>
          <w:tcPr>
            <w:tcW w:w="200" w:type="dxa"/>
          </w:tcPr>
          <w:p>
            <w:pPr/>
          </w:p>
        </w:tc>
        <w:tc>
          <w:tcPr>
            <w:tcW w:w="1700" w:type="dxa"/>
          </w:tcPr>
          <w:p>
            <w:pPr>
              <w:pStyle w:val="TableParagraph"/>
              <w:spacing w:before="10"/>
              <w:ind w:right="58"/>
              <w:jc w:val="right"/>
              <w:rPr>
                <w:sz w:val="18"/>
              </w:rPr>
            </w:pPr>
            <w:r>
              <w:rPr>
                <w:color w:val="231F20"/>
                <w:sz w:val="18"/>
              </w:rPr>
              <w:t>970</w:t>
            </w:r>
          </w:p>
        </w:tc>
      </w:tr>
      <w:tr>
        <w:trPr>
          <w:trHeight w:val="253" w:hRule="exact"/>
        </w:trPr>
        <w:tc>
          <w:tcPr>
            <w:tcW w:w="5520" w:type="dxa"/>
            <w:shd w:val="clear" w:color="auto" w:fill="D1D3D4"/>
          </w:tcPr>
          <w:p>
            <w:pPr>
              <w:pStyle w:val="TableParagraph"/>
              <w:spacing w:before="10"/>
              <w:ind w:left="60"/>
              <w:rPr>
                <w:sz w:val="18"/>
              </w:rPr>
            </w:pPr>
            <w:r>
              <w:rPr>
                <w:color w:val="231F20"/>
                <w:sz w:val="18"/>
              </w:rPr>
              <w:t>Other assets</w:t>
            </w:r>
          </w:p>
        </w:tc>
        <w:tc>
          <w:tcPr>
            <w:tcW w:w="1700" w:type="dxa"/>
            <w:tcBorders>
              <w:bottom w:val="single" w:sz="4" w:space="0" w:color="231F20"/>
            </w:tcBorders>
            <w:shd w:val="clear" w:color="auto" w:fill="D1D3D4"/>
          </w:tcPr>
          <w:p>
            <w:pPr>
              <w:pStyle w:val="TableParagraph"/>
              <w:spacing w:before="10"/>
              <w:ind w:right="59"/>
              <w:jc w:val="right"/>
              <w:rPr>
                <w:sz w:val="18"/>
              </w:rPr>
            </w:pPr>
            <w:r>
              <w:rPr>
                <w:color w:val="231F20"/>
                <w:sz w:val="18"/>
              </w:rPr>
              <w:t>717</w:t>
            </w:r>
          </w:p>
        </w:tc>
        <w:tc>
          <w:tcPr>
            <w:tcW w:w="200" w:type="dxa"/>
            <w:shd w:val="clear" w:color="auto" w:fill="D1D3D4"/>
          </w:tcPr>
          <w:p>
            <w:pPr/>
          </w:p>
        </w:tc>
        <w:tc>
          <w:tcPr>
            <w:tcW w:w="1700" w:type="dxa"/>
            <w:tcBorders>
              <w:bottom w:val="single" w:sz="4" w:space="0" w:color="231F20"/>
            </w:tcBorders>
            <w:shd w:val="clear" w:color="auto" w:fill="D1D3D4"/>
          </w:tcPr>
          <w:p>
            <w:pPr>
              <w:pStyle w:val="TableParagraph"/>
              <w:spacing w:before="10"/>
              <w:ind w:right="58"/>
              <w:jc w:val="right"/>
              <w:rPr>
                <w:sz w:val="18"/>
              </w:rPr>
            </w:pPr>
            <w:r>
              <w:rPr>
                <w:color w:val="231F20"/>
                <w:sz w:val="18"/>
              </w:rPr>
              <w:t>534</w:t>
            </w:r>
          </w:p>
        </w:tc>
      </w:tr>
      <w:tr>
        <w:trPr>
          <w:trHeight w:val="298" w:hRule="exact"/>
        </w:trPr>
        <w:tc>
          <w:tcPr>
            <w:tcW w:w="552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ind w:right="58"/>
              <w:jc w:val="right"/>
              <w:rPr>
                <w:sz w:val="18"/>
              </w:rPr>
            </w:pPr>
            <w:r>
              <w:rPr>
                <w:color w:val="231F20"/>
                <w:sz w:val="18"/>
              </w:rPr>
              <w:t>$</w:t>
              <w:tab/>
              <w:t>21,312</w:t>
            </w:r>
          </w:p>
        </w:tc>
        <w:tc>
          <w:tcPr>
            <w:tcW w:w="2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ind w:right="58"/>
              <w:jc w:val="right"/>
              <w:rPr>
                <w:sz w:val="18"/>
              </w:rPr>
            </w:pPr>
            <w:r>
              <w:rPr>
                <w:color w:val="231F20"/>
                <w:sz w:val="18"/>
              </w:rPr>
              <w:t>$</w:t>
              <w:tab/>
              <w:t>19,723</w:t>
            </w:r>
          </w:p>
        </w:tc>
      </w:tr>
      <w:tr>
        <w:trPr>
          <w:trHeight w:val="263" w:hRule="exact"/>
        </w:trPr>
        <w:tc>
          <w:tcPr>
            <w:tcW w:w="5520" w:type="dxa"/>
            <w:shd w:val="clear" w:color="auto" w:fill="D1D3D4"/>
          </w:tcPr>
          <w:p>
            <w:pPr>
              <w:pStyle w:val="TableParagraph"/>
              <w:spacing w:before="30"/>
              <w:ind w:left="60"/>
              <w:rPr>
                <w:b/>
                <w:sz w:val="18"/>
              </w:rPr>
            </w:pPr>
            <w:r>
              <w:rPr>
                <w:b/>
                <w:color w:val="231F20"/>
                <w:sz w:val="18"/>
              </w:rPr>
              <w:t>LIABILITIES AND STOCKHOLDERS’ EQUITY</w:t>
            </w:r>
          </w:p>
        </w:tc>
        <w:tc>
          <w:tcPr>
            <w:tcW w:w="1700" w:type="dxa"/>
            <w:tcBorders>
              <w:top w:val="single" w:sz="4" w:space="0" w:color="231F20"/>
            </w:tcBorders>
            <w:shd w:val="clear" w:color="auto" w:fill="D1D3D4"/>
          </w:tcPr>
          <w:p>
            <w:pPr/>
          </w:p>
        </w:tc>
        <w:tc>
          <w:tcPr>
            <w:tcW w:w="200" w:type="dxa"/>
            <w:shd w:val="clear" w:color="auto" w:fill="D1D3D4"/>
          </w:tcPr>
          <w:p>
            <w:pPr/>
          </w:p>
        </w:tc>
        <w:tc>
          <w:tcPr>
            <w:tcW w:w="1700" w:type="dxa"/>
            <w:tcBorders>
              <w:top w:val="single" w:sz="4" w:space="0" w:color="231F20"/>
            </w:tcBorders>
            <w:shd w:val="clear" w:color="auto" w:fill="D1D3D4"/>
          </w:tcPr>
          <w:p>
            <w:pPr/>
          </w:p>
        </w:tc>
      </w:tr>
      <w:tr>
        <w:trPr>
          <w:trHeight w:val="238" w:hRule="exact"/>
        </w:trPr>
        <w:tc>
          <w:tcPr>
            <w:tcW w:w="5520" w:type="dxa"/>
          </w:tcPr>
          <w:p>
            <w:pPr>
              <w:pStyle w:val="TableParagraph"/>
              <w:spacing w:before="10"/>
              <w:ind w:left="60"/>
              <w:rPr>
                <w:sz w:val="18"/>
              </w:rPr>
            </w:pPr>
            <w:r>
              <w:rPr>
                <w:color w:val="231F20"/>
                <w:sz w:val="18"/>
              </w:rPr>
              <w:t>Current liabilities:</w:t>
            </w:r>
          </w:p>
        </w:tc>
        <w:tc>
          <w:tcPr>
            <w:tcW w:w="1700" w:type="dxa"/>
          </w:tcPr>
          <w:p>
            <w:pPr/>
          </w:p>
        </w:tc>
        <w:tc>
          <w:tcPr>
            <w:tcW w:w="200" w:type="dxa"/>
          </w:tcPr>
          <w:p>
            <w:pPr/>
          </w:p>
        </w:tc>
        <w:tc>
          <w:tcPr>
            <w:tcW w:w="1700" w:type="dxa"/>
          </w:tcPr>
          <w:p>
            <w:pPr/>
          </w:p>
        </w:tc>
      </w:tr>
      <w:tr>
        <w:trPr>
          <w:trHeight w:val="238" w:hRule="exact"/>
        </w:trPr>
        <w:tc>
          <w:tcPr>
            <w:tcW w:w="5520" w:type="dxa"/>
            <w:shd w:val="clear" w:color="auto" w:fill="D1D3D4"/>
          </w:tcPr>
          <w:p>
            <w:pPr>
              <w:pStyle w:val="TableParagraph"/>
              <w:spacing w:before="10"/>
              <w:ind w:left="240"/>
              <w:rPr>
                <w:sz w:val="18"/>
              </w:rPr>
            </w:pPr>
            <w:r>
              <w:rPr>
                <w:color w:val="231F20"/>
                <w:sz w:val="18"/>
              </w:rPr>
              <w:t>Accounts payable</w:t>
            </w:r>
          </w:p>
        </w:tc>
        <w:tc>
          <w:tcPr>
            <w:tcW w:w="1700" w:type="dxa"/>
            <w:shd w:val="clear" w:color="auto" w:fill="D1D3D4"/>
          </w:tcPr>
          <w:p>
            <w:pPr>
              <w:pStyle w:val="TableParagraph"/>
              <w:tabs>
                <w:tab w:pos="1234" w:val="left" w:leader="none"/>
              </w:tabs>
              <w:spacing w:before="10"/>
              <w:ind w:left="-1" w:right="58"/>
              <w:jc w:val="right"/>
              <w:rPr>
                <w:sz w:val="18"/>
              </w:rPr>
            </w:pPr>
            <w:r>
              <w:rPr>
                <w:color w:val="231F20"/>
                <w:sz w:val="18"/>
              </w:rPr>
              <w:t>$</w:t>
              <w:tab/>
              <w:t>1,188</w:t>
            </w:r>
          </w:p>
        </w:tc>
        <w:tc>
          <w:tcPr>
            <w:tcW w:w="200" w:type="dxa"/>
            <w:shd w:val="clear" w:color="auto" w:fill="D1D3D4"/>
          </w:tcPr>
          <w:p>
            <w:pPr/>
          </w:p>
        </w:tc>
        <w:tc>
          <w:tcPr>
            <w:tcW w:w="1700" w:type="dxa"/>
            <w:shd w:val="clear" w:color="auto" w:fill="D1D3D4"/>
          </w:tcPr>
          <w:p>
            <w:pPr>
              <w:pStyle w:val="TableParagraph"/>
              <w:tabs>
                <w:tab w:pos="1234" w:val="left" w:leader="none"/>
              </w:tabs>
              <w:spacing w:before="10"/>
              <w:ind w:left="-1" w:right="58"/>
              <w:jc w:val="right"/>
              <w:rPr>
                <w:sz w:val="18"/>
              </w:rPr>
            </w:pPr>
            <w:r>
              <w:rPr>
                <w:color w:val="231F20"/>
                <w:sz w:val="18"/>
              </w:rPr>
              <w:t>$</w:t>
              <w:tab/>
              <w:t>1,203</w:t>
            </w:r>
          </w:p>
        </w:tc>
      </w:tr>
      <w:tr>
        <w:trPr>
          <w:trHeight w:val="238" w:hRule="exact"/>
        </w:trPr>
        <w:tc>
          <w:tcPr>
            <w:tcW w:w="5520" w:type="dxa"/>
          </w:tcPr>
          <w:p>
            <w:pPr>
              <w:pStyle w:val="TableParagraph"/>
              <w:spacing w:before="10"/>
              <w:ind w:left="240"/>
              <w:rPr>
                <w:sz w:val="18"/>
              </w:rPr>
            </w:pPr>
            <w:r>
              <w:rPr>
                <w:color w:val="231F20"/>
                <w:sz w:val="18"/>
              </w:rPr>
              <w:t>Accrued liabilities</w:t>
            </w:r>
          </w:p>
        </w:tc>
        <w:tc>
          <w:tcPr>
            <w:tcW w:w="1700" w:type="dxa"/>
          </w:tcPr>
          <w:p>
            <w:pPr>
              <w:pStyle w:val="TableParagraph"/>
              <w:spacing w:before="10"/>
              <w:ind w:right="58"/>
              <w:jc w:val="right"/>
              <w:rPr>
                <w:sz w:val="18"/>
              </w:rPr>
            </w:pPr>
            <w:r>
              <w:rPr>
                <w:color w:val="231F20"/>
                <w:sz w:val="18"/>
              </w:rPr>
              <w:t>2,591</w:t>
            </w:r>
          </w:p>
        </w:tc>
        <w:tc>
          <w:tcPr>
            <w:tcW w:w="200" w:type="dxa"/>
          </w:tcPr>
          <w:p>
            <w:pPr/>
          </w:p>
        </w:tc>
        <w:tc>
          <w:tcPr>
            <w:tcW w:w="1700" w:type="dxa"/>
          </w:tcPr>
          <w:p>
            <w:pPr>
              <w:pStyle w:val="TableParagraph"/>
              <w:spacing w:before="10"/>
              <w:ind w:right="58"/>
              <w:jc w:val="right"/>
              <w:rPr>
                <w:sz w:val="18"/>
              </w:rPr>
            </w:pPr>
            <w:r>
              <w:rPr>
                <w:color w:val="231F20"/>
                <w:sz w:val="18"/>
              </w:rPr>
              <w:t>1,565</w:t>
            </w:r>
          </w:p>
        </w:tc>
      </w:tr>
      <w:tr>
        <w:trPr>
          <w:trHeight w:val="238" w:hRule="exact"/>
        </w:trPr>
        <w:tc>
          <w:tcPr>
            <w:tcW w:w="5520" w:type="dxa"/>
            <w:shd w:val="clear" w:color="auto" w:fill="D1D3D4"/>
          </w:tcPr>
          <w:p>
            <w:pPr>
              <w:pStyle w:val="TableParagraph"/>
              <w:spacing w:before="10"/>
              <w:ind w:left="240"/>
              <w:rPr>
                <w:sz w:val="18"/>
              </w:rPr>
            </w:pPr>
            <w:r>
              <w:rPr>
                <w:color w:val="231F20"/>
                <w:sz w:val="18"/>
              </w:rPr>
              <w:t>Air traffic liability</w:t>
            </w:r>
          </w:p>
        </w:tc>
        <w:tc>
          <w:tcPr>
            <w:tcW w:w="1700" w:type="dxa"/>
            <w:shd w:val="clear" w:color="auto" w:fill="D1D3D4"/>
          </w:tcPr>
          <w:p>
            <w:pPr>
              <w:pStyle w:val="TableParagraph"/>
              <w:spacing w:before="10"/>
              <w:ind w:right="58"/>
              <w:jc w:val="right"/>
              <w:rPr>
                <w:sz w:val="18"/>
              </w:rPr>
            </w:pPr>
            <w:r>
              <w:rPr>
                <w:color w:val="231F20"/>
                <w:sz w:val="18"/>
              </w:rPr>
              <w:t>2,990</w:t>
            </w:r>
          </w:p>
        </w:tc>
        <w:tc>
          <w:tcPr>
            <w:tcW w:w="200" w:type="dxa"/>
            <w:shd w:val="clear" w:color="auto" w:fill="D1D3D4"/>
          </w:tcPr>
          <w:p>
            <w:pPr/>
          </w:p>
        </w:tc>
        <w:tc>
          <w:tcPr>
            <w:tcW w:w="1700" w:type="dxa"/>
            <w:shd w:val="clear" w:color="auto" w:fill="D1D3D4"/>
          </w:tcPr>
          <w:p>
            <w:pPr>
              <w:pStyle w:val="TableParagraph"/>
              <w:spacing w:before="10"/>
              <w:ind w:right="58"/>
              <w:jc w:val="right"/>
              <w:rPr>
                <w:sz w:val="18"/>
              </w:rPr>
            </w:pPr>
            <w:r>
              <w:rPr>
                <w:color w:val="231F20"/>
                <w:sz w:val="18"/>
              </w:rPr>
              <w:t>2,897</w:t>
            </w:r>
          </w:p>
        </w:tc>
      </w:tr>
      <w:tr>
        <w:trPr>
          <w:trHeight w:val="253" w:hRule="exact"/>
        </w:trPr>
        <w:tc>
          <w:tcPr>
            <w:tcW w:w="5520" w:type="dxa"/>
          </w:tcPr>
          <w:p>
            <w:pPr>
              <w:pStyle w:val="TableParagraph"/>
              <w:spacing w:before="10"/>
              <w:ind w:left="240"/>
              <w:rPr>
                <w:sz w:val="18"/>
              </w:rPr>
            </w:pPr>
            <w:r>
              <w:rPr>
                <w:color w:val="231F20"/>
                <w:sz w:val="18"/>
              </w:rPr>
              <w:t>Current maturities of long-term debt</w:t>
            </w:r>
          </w:p>
        </w:tc>
        <w:tc>
          <w:tcPr>
            <w:tcW w:w="1700" w:type="dxa"/>
            <w:tcBorders>
              <w:bottom w:val="single" w:sz="4" w:space="0" w:color="231F20"/>
            </w:tcBorders>
          </w:tcPr>
          <w:p>
            <w:pPr>
              <w:pStyle w:val="TableParagraph"/>
              <w:spacing w:before="10"/>
              <w:ind w:right="58"/>
              <w:jc w:val="right"/>
              <w:rPr>
                <w:sz w:val="18"/>
              </w:rPr>
            </w:pPr>
            <w:r>
              <w:rPr>
                <w:color w:val="231F20"/>
                <w:sz w:val="18"/>
              </w:rPr>
              <w:t>637</w:t>
            </w:r>
          </w:p>
        </w:tc>
        <w:tc>
          <w:tcPr>
            <w:tcW w:w="200" w:type="dxa"/>
          </w:tcPr>
          <w:p>
            <w:pPr/>
          </w:p>
        </w:tc>
        <w:tc>
          <w:tcPr>
            <w:tcW w:w="1700" w:type="dxa"/>
            <w:tcBorders>
              <w:bottom w:val="single" w:sz="4" w:space="0" w:color="231F20"/>
            </w:tcBorders>
          </w:tcPr>
          <w:p>
            <w:pPr>
              <w:pStyle w:val="TableParagraph"/>
              <w:spacing w:before="10"/>
              <w:ind w:right="58"/>
              <w:jc w:val="right"/>
              <w:rPr>
                <w:sz w:val="18"/>
              </w:rPr>
            </w:pPr>
            <w:r>
              <w:rPr>
                <w:color w:val="231F20"/>
                <w:sz w:val="18"/>
              </w:rPr>
              <w:t>258</w:t>
            </w:r>
          </w:p>
        </w:tc>
      </w:tr>
      <w:tr>
        <w:trPr>
          <w:trHeight w:val="243" w:hRule="exact"/>
        </w:trPr>
        <w:tc>
          <w:tcPr>
            <w:tcW w:w="5520" w:type="dxa"/>
            <w:shd w:val="clear" w:color="auto" w:fill="D1D3D4"/>
          </w:tcPr>
          <w:p>
            <w:pPr>
              <w:pStyle w:val="TableParagraph"/>
              <w:spacing w:before="10"/>
              <w:ind w:left="420"/>
              <w:rPr>
                <w:sz w:val="18"/>
              </w:rPr>
            </w:pPr>
            <w:r>
              <w:rPr>
                <w:color w:val="231F20"/>
                <w:sz w:val="18"/>
              </w:rPr>
              <w:t>Total current liabilities</w:t>
            </w: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7,406</w:t>
            </w:r>
          </w:p>
        </w:tc>
        <w:tc>
          <w:tcPr>
            <w:tcW w:w="200" w:type="dxa"/>
            <w:shd w:val="clear" w:color="auto" w:fill="D1D3D4"/>
          </w:tcPr>
          <w:p>
            <w:pPr/>
          </w:p>
        </w:tc>
        <w:tc>
          <w:tcPr>
            <w:tcW w:w="1700" w:type="dxa"/>
            <w:tcBorders>
              <w:top w:val="single" w:sz="4" w:space="0" w:color="231F20"/>
            </w:tcBorders>
            <w:shd w:val="clear" w:color="auto" w:fill="D1D3D4"/>
          </w:tcPr>
          <w:p>
            <w:pPr>
              <w:pStyle w:val="TableParagraph"/>
              <w:spacing w:before="10"/>
              <w:ind w:right="58"/>
              <w:jc w:val="right"/>
              <w:rPr>
                <w:sz w:val="18"/>
              </w:rPr>
            </w:pPr>
            <w:r>
              <w:rPr>
                <w:color w:val="231F20"/>
                <w:sz w:val="18"/>
              </w:rPr>
              <w:t>5,923</w:t>
            </w:r>
          </w:p>
        </w:tc>
      </w:tr>
    </w:tbl>
    <w:p>
      <w:pPr>
        <w:pStyle w:val="BodyText"/>
        <w:spacing w:before="1"/>
        <w:rPr>
          <w:b/>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100"/>
        <w:gridCol w:w="100"/>
        <w:gridCol w:w="1700"/>
      </w:tblGrid>
      <w:tr>
        <w:trPr>
          <w:trHeight w:val="358" w:hRule="exact"/>
        </w:trPr>
        <w:tc>
          <w:tcPr>
            <w:tcW w:w="5520" w:type="dxa"/>
            <w:shd w:val="clear" w:color="auto" w:fill="D1D3D4"/>
          </w:tcPr>
          <w:p>
            <w:pPr>
              <w:pStyle w:val="TableParagraph"/>
              <w:spacing w:before="130"/>
              <w:ind w:left="60"/>
              <w:rPr>
                <w:sz w:val="18"/>
              </w:rPr>
            </w:pPr>
            <w:r>
              <w:rPr>
                <w:color w:val="231F20"/>
                <w:sz w:val="18"/>
              </w:rPr>
              <w:t>Long-term debt less current maturities</w:t>
            </w:r>
          </w:p>
        </w:tc>
        <w:tc>
          <w:tcPr>
            <w:tcW w:w="1700" w:type="dxa"/>
            <w:shd w:val="clear" w:color="auto" w:fill="D1D3D4"/>
          </w:tcPr>
          <w:p>
            <w:pPr>
              <w:pStyle w:val="TableParagraph"/>
              <w:spacing w:before="130"/>
              <w:ind w:right="58"/>
              <w:jc w:val="right"/>
              <w:rPr>
                <w:sz w:val="18"/>
              </w:rPr>
            </w:pPr>
            <w:r>
              <w:rPr>
                <w:color w:val="231F20"/>
                <w:sz w:val="18"/>
              </w:rPr>
              <w:t>2,541</w:t>
            </w:r>
          </w:p>
        </w:tc>
        <w:tc>
          <w:tcPr>
            <w:tcW w:w="1900" w:type="dxa"/>
            <w:gridSpan w:val="3"/>
            <w:shd w:val="clear" w:color="auto" w:fill="D1D3D4"/>
          </w:tcPr>
          <w:p>
            <w:pPr>
              <w:pStyle w:val="TableParagraph"/>
              <w:spacing w:before="130"/>
              <w:ind w:right="58"/>
              <w:jc w:val="right"/>
              <w:rPr>
                <w:sz w:val="18"/>
              </w:rPr>
            </w:pPr>
            <w:r>
              <w:rPr>
                <w:color w:val="231F20"/>
                <w:sz w:val="18"/>
              </w:rPr>
              <w:t>2,434</w:t>
            </w:r>
          </w:p>
        </w:tc>
      </w:tr>
      <w:tr>
        <w:trPr>
          <w:trHeight w:val="238" w:hRule="exact"/>
        </w:trPr>
        <w:tc>
          <w:tcPr>
            <w:tcW w:w="5520" w:type="dxa"/>
          </w:tcPr>
          <w:p>
            <w:pPr>
              <w:pStyle w:val="TableParagraph"/>
              <w:spacing w:before="10"/>
              <w:ind w:left="60"/>
              <w:rPr>
                <w:sz w:val="18"/>
              </w:rPr>
            </w:pPr>
            <w:r>
              <w:rPr>
                <w:color w:val="231F20"/>
                <w:sz w:val="18"/>
              </w:rPr>
              <w:t>Deferred income taxes</w:t>
            </w:r>
          </w:p>
        </w:tc>
        <w:tc>
          <w:tcPr>
            <w:tcW w:w="1700" w:type="dxa"/>
          </w:tcPr>
          <w:p>
            <w:pPr>
              <w:pStyle w:val="TableParagraph"/>
              <w:spacing w:before="10"/>
              <w:ind w:right="58"/>
              <w:jc w:val="right"/>
              <w:rPr>
                <w:sz w:val="18"/>
              </w:rPr>
            </w:pPr>
            <w:r>
              <w:rPr>
                <w:color w:val="231F20"/>
                <w:sz w:val="18"/>
              </w:rPr>
              <w:t>2,490</w:t>
            </w:r>
          </w:p>
        </w:tc>
        <w:tc>
          <w:tcPr>
            <w:tcW w:w="1900" w:type="dxa"/>
            <w:gridSpan w:val="3"/>
          </w:tcPr>
          <w:p>
            <w:pPr>
              <w:pStyle w:val="TableParagraph"/>
              <w:spacing w:before="10"/>
              <w:ind w:right="58"/>
              <w:jc w:val="right"/>
              <w:rPr>
                <w:sz w:val="18"/>
              </w:rPr>
            </w:pPr>
            <w:r>
              <w:rPr>
                <w:color w:val="231F20"/>
                <w:sz w:val="18"/>
              </w:rPr>
              <w:t>2,782</w:t>
            </w:r>
          </w:p>
        </w:tc>
      </w:tr>
      <w:tr>
        <w:trPr>
          <w:trHeight w:val="238" w:hRule="exact"/>
        </w:trPr>
        <w:tc>
          <w:tcPr>
            <w:tcW w:w="5520" w:type="dxa"/>
            <w:shd w:val="clear" w:color="auto" w:fill="D1D3D4"/>
          </w:tcPr>
          <w:p>
            <w:pPr>
              <w:pStyle w:val="TableParagraph"/>
              <w:spacing w:before="10"/>
              <w:ind w:left="60"/>
              <w:rPr>
                <w:sz w:val="18"/>
              </w:rPr>
            </w:pPr>
            <w:r>
              <w:rPr>
                <w:color w:val="231F20"/>
                <w:sz w:val="18"/>
              </w:rPr>
              <w:t>Construction obligation</w:t>
            </w:r>
          </w:p>
        </w:tc>
        <w:tc>
          <w:tcPr>
            <w:tcW w:w="1700" w:type="dxa"/>
            <w:shd w:val="clear" w:color="auto" w:fill="D1D3D4"/>
          </w:tcPr>
          <w:p>
            <w:pPr>
              <w:pStyle w:val="TableParagraph"/>
              <w:spacing w:before="10"/>
              <w:ind w:right="58"/>
              <w:jc w:val="right"/>
              <w:rPr>
                <w:sz w:val="18"/>
              </w:rPr>
            </w:pPr>
            <w:r>
              <w:rPr>
                <w:color w:val="231F20"/>
                <w:sz w:val="18"/>
              </w:rPr>
              <w:t>757</w:t>
            </w:r>
          </w:p>
        </w:tc>
        <w:tc>
          <w:tcPr>
            <w:tcW w:w="1900" w:type="dxa"/>
            <w:gridSpan w:val="3"/>
            <w:shd w:val="clear" w:color="auto" w:fill="D1D3D4"/>
          </w:tcPr>
          <w:p>
            <w:pPr>
              <w:pStyle w:val="TableParagraph"/>
              <w:spacing w:before="10"/>
              <w:ind w:right="58"/>
              <w:jc w:val="right"/>
              <w:rPr>
                <w:sz w:val="18"/>
              </w:rPr>
            </w:pPr>
            <w:r>
              <w:rPr>
                <w:color w:val="231F20"/>
                <w:sz w:val="18"/>
              </w:rPr>
              <w:t>554</w:t>
            </w:r>
          </w:p>
        </w:tc>
      </w:tr>
      <w:tr>
        <w:trPr>
          <w:trHeight w:val="217" w:hRule="exact"/>
        </w:trPr>
        <w:tc>
          <w:tcPr>
            <w:tcW w:w="5520" w:type="dxa"/>
          </w:tcPr>
          <w:p>
            <w:pPr>
              <w:pStyle w:val="TableParagraph"/>
              <w:spacing w:before="10"/>
              <w:ind w:left="60"/>
              <w:rPr>
                <w:sz w:val="18"/>
              </w:rPr>
            </w:pPr>
            <w:r>
              <w:rPr>
                <w:color w:val="231F20"/>
                <w:sz w:val="18"/>
              </w:rPr>
              <w:t>Other noncurrent liabilities</w:t>
            </w:r>
          </w:p>
        </w:tc>
        <w:tc>
          <w:tcPr>
            <w:tcW w:w="1700" w:type="dxa"/>
          </w:tcPr>
          <w:p>
            <w:pPr>
              <w:pStyle w:val="TableParagraph"/>
              <w:spacing w:before="10"/>
              <w:ind w:right="58"/>
              <w:jc w:val="right"/>
              <w:rPr>
                <w:sz w:val="18"/>
              </w:rPr>
            </w:pPr>
            <w:r>
              <w:rPr>
                <w:color w:val="231F20"/>
                <w:sz w:val="18"/>
              </w:rPr>
              <w:t>760</w:t>
            </w:r>
          </w:p>
        </w:tc>
        <w:tc>
          <w:tcPr>
            <w:tcW w:w="1900" w:type="dxa"/>
            <w:gridSpan w:val="3"/>
          </w:tcPr>
          <w:p>
            <w:pPr>
              <w:pStyle w:val="TableParagraph"/>
              <w:spacing w:before="10"/>
              <w:ind w:right="58"/>
              <w:jc w:val="right"/>
              <w:rPr>
                <w:sz w:val="18"/>
              </w:rPr>
            </w:pPr>
            <w:r>
              <w:rPr>
                <w:color w:val="231F20"/>
                <w:sz w:val="18"/>
              </w:rPr>
              <w:t>1,255</w:t>
            </w:r>
          </w:p>
        </w:tc>
      </w:tr>
      <w:tr>
        <w:trPr>
          <w:trHeight w:val="464" w:hRule="exact"/>
        </w:trPr>
        <w:tc>
          <w:tcPr>
            <w:tcW w:w="9120" w:type="dxa"/>
            <w:gridSpan w:val="5"/>
          </w:tcPr>
          <w:p>
            <w:pPr>
              <w:pStyle w:val="TableParagraph"/>
              <w:tabs>
                <w:tab w:pos="9119" w:val="left" w:leader="none"/>
              </w:tabs>
              <w:spacing w:line="276" w:lineRule="auto" w:before="30"/>
              <w:ind w:left="240" w:hanging="240"/>
              <w:rPr>
                <w:sz w:val="18"/>
              </w:rPr>
            </w:pPr>
            <w:r>
              <w:rPr>
                <w:color w:val="231F20"/>
                <w:spacing w:val="15"/>
                <w:sz w:val="18"/>
                <w:shd w:fill="D1D3D4" w:color="auto" w:val="clear"/>
              </w:rPr>
              <w:t> </w:t>
            </w:r>
            <w:r>
              <w:rPr>
                <w:color w:val="231F20"/>
                <w:sz w:val="18"/>
                <w:shd w:fill="D1D3D4" w:color="auto" w:val="clear"/>
              </w:rPr>
              <w:t>Stockholders’ equity:</w:t>
              <w:tab/>
            </w:r>
            <w:r>
              <w:rPr>
                <w:color w:val="231F20"/>
                <w:sz w:val="18"/>
              </w:rPr>
              <w:t> Common stock, $1.00 par value: 2,000,000,000 shares</w:t>
            </w:r>
            <w:r>
              <w:rPr>
                <w:color w:val="231F20"/>
                <w:spacing w:val="-1"/>
                <w:sz w:val="18"/>
              </w:rPr>
              <w:t> </w:t>
            </w:r>
            <w:r>
              <w:rPr>
                <w:color w:val="231F20"/>
                <w:sz w:val="18"/>
              </w:rPr>
              <w:t>authorized;</w:t>
            </w:r>
          </w:p>
        </w:tc>
      </w:tr>
      <w:tr>
        <w:trPr>
          <w:trHeight w:val="210" w:hRule="exact"/>
        </w:trPr>
        <w:tc>
          <w:tcPr>
            <w:tcW w:w="5520" w:type="dxa"/>
          </w:tcPr>
          <w:p>
            <w:pPr>
              <w:pStyle w:val="TableParagraph"/>
              <w:spacing w:line="201" w:lineRule="exact" w:before="0"/>
              <w:ind w:left="420"/>
              <w:rPr>
                <w:sz w:val="18"/>
              </w:rPr>
            </w:pPr>
            <w:r>
              <w:rPr>
                <w:color w:val="231F20"/>
                <w:sz w:val="18"/>
              </w:rPr>
              <w:t>807,611,634 shares issued in 2015 and 2014</w:t>
            </w:r>
          </w:p>
        </w:tc>
        <w:tc>
          <w:tcPr>
            <w:tcW w:w="1700" w:type="dxa"/>
          </w:tcPr>
          <w:p>
            <w:pPr>
              <w:pStyle w:val="TableParagraph"/>
              <w:spacing w:line="201" w:lineRule="exact" w:before="0"/>
              <w:ind w:right="58"/>
              <w:jc w:val="right"/>
              <w:rPr>
                <w:sz w:val="18"/>
              </w:rPr>
            </w:pPr>
            <w:r>
              <w:rPr>
                <w:color w:val="231F20"/>
                <w:sz w:val="18"/>
              </w:rPr>
              <w:t>808</w:t>
            </w:r>
          </w:p>
        </w:tc>
        <w:tc>
          <w:tcPr>
            <w:tcW w:w="1900" w:type="dxa"/>
            <w:gridSpan w:val="3"/>
          </w:tcPr>
          <w:p>
            <w:pPr>
              <w:pStyle w:val="TableParagraph"/>
              <w:spacing w:line="201" w:lineRule="exact" w:before="0"/>
              <w:ind w:right="58"/>
              <w:jc w:val="right"/>
              <w:rPr>
                <w:sz w:val="18"/>
              </w:rPr>
            </w:pPr>
            <w:r>
              <w:rPr>
                <w:color w:val="231F20"/>
                <w:sz w:val="18"/>
              </w:rPr>
              <w:t>808</w:t>
            </w:r>
          </w:p>
        </w:tc>
      </w:tr>
      <w:tr>
        <w:trPr>
          <w:trHeight w:val="238" w:hRule="exact"/>
        </w:trPr>
        <w:tc>
          <w:tcPr>
            <w:tcW w:w="5520" w:type="dxa"/>
            <w:shd w:val="clear" w:color="auto" w:fill="D1D3D4"/>
          </w:tcPr>
          <w:p>
            <w:pPr>
              <w:pStyle w:val="TableParagraph"/>
              <w:spacing w:before="10"/>
              <w:ind w:left="240"/>
              <w:rPr>
                <w:sz w:val="18"/>
              </w:rPr>
            </w:pPr>
            <w:r>
              <w:rPr>
                <w:color w:val="231F20"/>
                <w:sz w:val="18"/>
              </w:rPr>
              <w:t>Capital in excess of par value</w:t>
            </w:r>
          </w:p>
        </w:tc>
        <w:tc>
          <w:tcPr>
            <w:tcW w:w="1700" w:type="dxa"/>
            <w:shd w:val="clear" w:color="auto" w:fill="D1D3D4"/>
          </w:tcPr>
          <w:p>
            <w:pPr>
              <w:pStyle w:val="TableParagraph"/>
              <w:spacing w:before="10"/>
              <w:ind w:right="58"/>
              <w:jc w:val="right"/>
              <w:rPr>
                <w:sz w:val="18"/>
              </w:rPr>
            </w:pPr>
            <w:r>
              <w:rPr>
                <w:color w:val="231F20"/>
                <w:sz w:val="18"/>
              </w:rPr>
              <w:t>1,374</w:t>
            </w:r>
          </w:p>
        </w:tc>
        <w:tc>
          <w:tcPr>
            <w:tcW w:w="1900" w:type="dxa"/>
            <w:gridSpan w:val="3"/>
            <w:shd w:val="clear" w:color="auto" w:fill="D1D3D4"/>
          </w:tcPr>
          <w:p>
            <w:pPr>
              <w:pStyle w:val="TableParagraph"/>
              <w:spacing w:before="10"/>
              <w:ind w:right="58"/>
              <w:jc w:val="right"/>
              <w:rPr>
                <w:sz w:val="18"/>
              </w:rPr>
            </w:pPr>
            <w:r>
              <w:rPr>
                <w:color w:val="231F20"/>
                <w:sz w:val="18"/>
              </w:rPr>
              <w:t>1,315</w:t>
            </w:r>
          </w:p>
        </w:tc>
      </w:tr>
      <w:tr>
        <w:trPr>
          <w:trHeight w:val="238" w:hRule="exact"/>
        </w:trPr>
        <w:tc>
          <w:tcPr>
            <w:tcW w:w="5520" w:type="dxa"/>
          </w:tcPr>
          <w:p>
            <w:pPr>
              <w:pStyle w:val="TableParagraph"/>
              <w:spacing w:before="10"/>
              <w:ind w:left="240"/>
              <w:rPr>
                <w:sz w:val="18"/>
              </w:rPr>
            </w:pPr>
            <w:r>
              <w:rPr>
                <w:color w:val="231F20"/>
                <w:sz w:val="18"/>
              </w:rPr>
              <w:t>Retained earnings</w:t>
            </w:r>
          </w:p>
        </w:tc>
        <w:tc>
          <w:tcPr>
            <w:tcW w:w="1700" w:type="dxa"/>
          </w:tcPr>
          <w:p>
            <w:pPr>
              <w:pStyle w:val="TableParagraph"/>
              <w:spacing w:before="10"/>
              <w:ind w:right="58"/>
              <w:jc w:val="right"/>
              <w:rPr>
                <w:sz w:val="18"/>
              </w:rPr>
            </w:pPr>
            <w:r>
              <w:rPr>
                <w:color w:val="231F20"/>
                <w:sz w:val="18"/>
              </w:rPr>
              <w:t>9,409</w:t>
            </w:r>
          </w:p>
        </w:tc>
        <w:tc>
          <w:tcPr>
            <w:tcW w:w="1900" w:type="dxa"/>
            <w:gridSpan w:val="3"/>
          </w:tcPr>
          <w:p>
            <w:pPr>
              <w:pStyle w:val="TableParagraph"/>
              <w:spacing w:before="10"/>
              <w:ind w:right="58"/>
              <w:jc w:val="right"/>
              <w:rPr>
                <w:sz w:val="18"/>
              </w:rPr>
            </w:pPr>
            <w:r>
              <w:rPr>
                <w:color w:val="231F20"/>
                <w:sz w:val="18"/>
              </w:rPr>
              <w:t>7,416</w:t>
            </w:r>
          </w:p>
        </w:tc>
      </w:tr>
      <w:tr>
        <w:trPr>
          <w:trHeight w:val="238" w:hRule="exact"/>
        </w:trPr>
        <w:tc>
          <w:tcPr>
            <w:tcW w:w="5520" w:type="dxa"/>
            <w:shd w:val="clear" w:color="auto" w:fill="D1D3D4"/>
          </w:tcPr>
          <w:p>
            <w:pPr>
              <w:pStyle w:val="TableParagraph"/>
              <w:spacing w:before="10"/>
              <w:ind w:left="240"/>
              <w:rPr>
                <w:sz w:val="18"/>
              </w:rPr>
            </w:pPr>
            <w:r>
              <w:rPr>
                <w:color w:val="231F20"/>
                <w:sz w:val="18"/>
              </w:rPr>
              <w:t>Accumulated other comprehensive loss</w:t>
            </w:r>
          </w:p>
        </w:tc>
        <w:tc>
          <w:tcPr>
            <w:tcW w:w="1700" w:type="dxa"/>
            <w:shd w:val="clear" w:color="auto" w:fill="D1D3D4"/>
          </w:tcPr>
          <w:p>
            <w:pPr>
              <w:pStyle w:val="TableParagraph"/>
              <w:spacing w:before="10"/>
              <w:jc w:val="right"/>
              <w:rPr>
                <w:sz w:val="18"/>
              </w:rPr>
            </w:pPr>
            <w:r>
              <w:rPr>
                <w:color w:val="231F20"/>
                <w:sz w:val="18"/>
              </w:rPr>
              <w:t>(1,051)</w:t>
            </w:r>
          </w:p>
        </w:tc>
        <w:tc>
          <w:tcPr>
            <w:tcW w:w="1900" w:type="dxa"/>
            <w:gridSpan w:val="3"/>
            <w:shd w:val="clear" w:color="auto" w:fill="D1D3D4"/>
          </w:tcPr>
          <w:p>
            <w:pPr>
              <w:pStyle w:val="TableParagraph"/>
              <w:spacing w:before="10"/>
              <w:jc w:val="right"/>
              <w:rPr>
                <w:sz w:val="18"/>
              </w:rPr>
            </w:pPr>
            <w:r>
              <w:rPr>
                <w:color w:val="231F20"/>
                <w:sz w:val="18"/>
              </w:rPr>
              <w:t>(738)</w:t>
            </w:r>
          </w:p>
        </w:tc>
      </w:tr>
      <w:tr>
        <w:trPr>
          <w:trHeight w:val="206" w:hRule="exact"/>
        </w:trPr>
        <w:tc>
          <w:tcPr>
            <w:tcW w:w="5520" w:type="dxa"/>
          </w:tcPr>
          <w:p>
            <w:pPr>
              <w:pStyle w:val="TableParagraph"/>
              <w:spacing w:before="10"/>
              <w:ind w:left="240"/>
              <w:rPr>
                <w:sz w:val="18"/>
              </w:rPr>
            </w:pPr>
            <w:r>
              <w:rPr>
                <w:color w:val="231F20"/>
                <w:sz w:val="18"/>
              </w:rPr>
              <w:t>Treasury stock, at cost: 160,010,017 and 132,017,550 shares in 2015</w:t>
            </w:r>
          </w:p>
        </w:tc>
        <w:tc>
          <w:tcPr>
            <w:tcW w:w="1700" w:type="dxa"/>
          </w:tcPr>
          <w:p>
            <w:pPr/>
          </w:p>
        </w:tc>
        <w:tc>
          <w:tcPr>
            <w:tcW w:w="200" w:type="dxa"/>
            <w:gridSpan w:val="2"/>
          </w:tcPr>
          <w:p>
            <w:pPr/>
          </w:p>
        </w:tc>
        <w:tc>
          <w:tcPr>
            <w:tcW w:w="1700" w:type="dxa"/>
          </w:tcPr>
          <w:p>
            <w:pPr/>
          </w:p>
        </w:tc>
      </w:tr>
      <w:tr>
        <w:trPr>
          <w:trHeight w:val="225" w:hRule="exact"/>
        </w:trPr>
        <w:tc>
          <w:tcPr>
            <w:tcW w:w="5520" w:type="dxa"/>
          </w:tcPr>
          <w:p>
            <w:pPr>
              <w:pStyle w:val="TableParagraph"/>
              <w:spacing w:line="201" w:lineRule="exact" w:before="0"/>
              <w:ind w:left="420"/>
              <w:rPr>
                <w:sz w:val="18"/>
              </w:rPr>
            </w:pPr>
            <w:r>
              <w:rPr>
                <w:color w:val="231F20"/>
                <w:sz w:val="18"/>
              </w:rPr>
              <w:t>and 2014 respectively</w:t>
            </w:r>
          </w:p>
        </w:tc>
        <w:tc>
          <w:tcPr>
            <w:tcW w:w="1800" w:type="dxa"/>
            <w:gridSpan w:val="2"/>
            <w:tcBorders>
              <w:bottom w:val="single" w:sz="4" w:space="0" w:color="231F20"/>
            </w:tcBorders>
          </w:tcPr>
          <w:p>
            <w:pPr>
              <w:pStyle w:val="TableParagraph"/>
              <w:spacing w:line="201" w:lineRule="exact" w:before="0"/>
              <w:ind w:left="1174"/>
              <w:rPr>
                <w:sz w:val="18"/>
              </w:rPr>
            </w:pPr>
            <w:r>
              <w:rPr>
                <w:color w:val="231F20"/>
                <w:sz w:val="18"/>
              </w:rPr>
              <w:t>(3,182)</w:t>
            </w:r>
          </w:p>
        </w:tc>
        <w:tc>
          <w:tcPr>
            <w:tcW w:w="100" w:type="dxa"/>
          </w:tcPr>
          <w:p>
            <w:pPr/>
          </w:p>
        </w:tc>
        <w:tc>
          <w:tcPr>
            <w:tcW w:w="1700" w:type="dxa"/>
          </w:tcPr>
          <w:p>
            <w:pPr>
              <w:pStyle w:val="TableParagraph"/>
              <w:spacing w:line="201" w:lineRule="exact" w:before="0"/>
              <w:ind w:right="58"/>
              <w:jc w:val="right"/>
              <w:rPr>
                <w:sz w:val="18"/>
              </w:rPr>
            </w:pPr>
            <w:r>
              <w:rPr>
                <w:color w:val="231F20"/>
                <w:sz w:val="18"/>
              </w:rPr>
              <w:t>(2,026)</w:t>
            </w:r>
          </w:p>
        </w:tc>
      </w:tr>
      <w:tr>
        <w:trPr>
          <w:trHeight w:val="258" w:hRule="exact"/>
        </w:trPr>
        <w:tc>
          <w:tcPr>
            <w:tcW w:w="5520" w:type="dxa"/>
            <w:shd w:val="clear" w:color="auto" w:fill="D1D3D4"/>
          </w:tcPr>
          <w:p>
            <w:pPr>
              <w:pStyle w:val="TableParagraph"/>
              <w:spacing w:before="15"/>
              <w:ind w:left="420"/>
              <w:rPr>
                <w:sz w:val="18"/>
              </w:rPr>
            </w:pPr>
            <w:r>
              <w:rPr>
                <w:color w:val="231F20"/>
                <w:sz w:val="18"/>
              </w:rPr>
              <w:t>Total stockholders’ equity</w:t>
            </w:r>
          </w:p>
        </w:tc>
        <w:tc>
          <w:tcPr>
            <w:tcW w:w="1800" w:type="dxa"/>
            <w:gridSpan w:val="2"/>
            <w:tcBorders>
              <w:top w:val="single" w:sz="4" w:space="0" w:color="231F20"/>
              <w:bottom w:val="single" w:sz="4" w:space="0" w:color="231F20"/>
            </w:tcBorders>
            <w:shd w:val="clear" w:color="auto" w:fill="D1D3D4"/>
          </w:tcPr>
          <w:p>
            <w:pPr>
              <w:pStyle w:val="TableParagraph"/>
              <w:spacing w:before="10"/>
              <w:ind w:right="158"/>
              <w:jc w:val="right"/>
              <w:rPr>
                <w:sz w:val="18"/>
              </w:rPr>
            </w:pPr>
            <w:r>
              <w:rPr>
                <w:color w:val="231F20"/>
                <w:sz w:val="18"/>
              </w:rPr>
              <w:t>7,358</w:t>
            </w:r>
          </w:p>
        </w:tc>
        <w:tc>
          <w:tcPr>
            <w:tcW w:w="100" w:type="dxa"/>
            <w:shd w:val="clear" w:color="auto" w:fill="D1D3D4"/>
          </w:tcPr>
          <w:p>
            <w:pPr/>
          </w:p>
        </w:tc>
        <w:tc>
          <w:tcPr>
            <w:tcW w:w="1700" w:type="dxa"/>
            <w:tcBorders>
              <w:bottom w:val="single" w:sz="4" w:space="0" w:color="231F20"/>
            </w:tcBorders>
            <w:shd w:val="clear" w:color="auto" w:fill="D1D3D4"/>
          </w:tcPr>
          <w:p>
            <w:pPr>
              <w:pStyle w:val="TableParagraph"/>
              <w:spacing w:before="15"/>
              <w:ind w:right="58"/>
              <w:jc w:val="right"/>
              <w:rPr>
                <w:sz w:val="18"/>
              </w:rPr>
            </w:pPr>
            <w:r>
              <w:rPr>
                <w:color w:val="231F20"/>
                <w:sz w:val="18"/>
              </w:rPr>
              <w:t>6,775</w:t>
            </w:r>
          </w:p>
        </w:tc>
      </w:tr>
      <w:tr>
        <w:trPr>
          <w:trHeight w:val="278" w:hRule="exact"/>
        </w:trPr>
        <w:tc>
          <w:tcPr>
            <w:tcW w:w="5520" w:type="dxa"/>
          </w:tcPr>
          <w:p>
            <w:pPr/>
          </w:p>
        </w:tc>
        <w:tc>
          <w:tcPr>
            <w:tcW w:w="1800" w:type="dxa"/>
            <w:gridSpan w:val="2"/>
            <w:tcBorders>
              <w:top w:val="single" w:sz="4" w:space="0" w:color="231F20"/>
              <w:bottom w:val="single" w:sz="4" w:space="0" w:color="231F20"/>
            </w:tcBorders>
          </w:tcPr>
          <w:p>
            <w:pPr>
              <w:pStyle w:val="TableParagraph"/>
              <w:tabs>
                <w:tab w:pos="1144" w:val="left" w:leader="none"/>
              </w:tabs>
              <w:spacing w:before="10"/>
              <w:rPr>
                <w:sz w:val="18"/>
              </w:rPr>
            </w:pPr>
            <w:r>
              <w:rPr>
                <w:color w:val="231F20"/>
                <w:sz w:val="18"/>
                <w:u w:val="single" w:color="231F20"/>
              </w:rPr>
              <w:t>$</w:t>
              <w:tab/>
              <w:t>21,312</w:t>
            </w:r>
            <w:r>
              <w:rPr>
                <w:color w:val="231F20"/>
                <w:spacing w:val="15"/>
                <w:sz w:val="18"/>
                <w:u w:val="single" w:color="231F20"/>
              </w:rPr>
              <w:t> </w:t>
            </w:r>
          </w:p>
        </w:tc>
        <w:tc>
          <w:tcPr>
            <w:tcW w:w="100" w:type="dxa"/>
          </w:tcPr>
          <w:p>
            <w:pPr/>
          </w:p>
        </w:tc>
        <w:tc>
          <w:tcPr>
            <w:tcW w:w="1700" w:type="dxa"/>
            <w:tcBorders>
              <w:top w:val="single" w:sz="4" w:space="0" w:color="231F20"/>
              <w:bottom w:val="single" w:sz="4" w:space="0" w:color="231F20"/>
            </w:tcBorders>
          </w:tcPr>
          <w:p>
            <w:pPr>
              <w:pStyle w:val="TableParagraph"/>
              <w:tabs>
                <w:tab w:pos="1144" w:val="left" w:leader="none"/>
              </w:tabs>
              <w:spacing w:before="10"/>
              <w:jc w:val="right"/>
              <w:rPr>
                <w:sz w:val="18"/>
              </w:rPr>
            </w:pPr>
            <w:r>
              <w:rPr>
                <w:color w:val="231F20"/>
                <w:sz w:val="18"/>
                <w:u w:val="single" w:color="231F20"/>
              </w:rPr>
              <w:t>$</w:t>
              <w:tab/>
              <w:t>19,723</w:t>
            </w:r>
            <w:r>
              <w:rPr>
                <w:color w:val="231F20"/>
                <w:spacing w:val="15"/>
                <w:sz w:val="18"/>
                <w:u w:val="single" w:color="231F20"/>
              </w:rPr>
              <w:t> </w:t>
            </w:r>
          </w:p>
        </w:tc>
      </w:tr>
    </w:tbl>
    <w:p>
      <w:pPr>
        <w:pStyle w:val="BodyText"/>
        <w:spacing w:before="4"/>
        <w:rPr>
          <w:b/>
          <w:sz w:val="23"/>
        </w:rPr>
      </w:pPr>
    </w:p>
    <w:p>
      <w:pPr>
        <w:pStyle w:val="BodyText"/>
        <w:ind w:left="100"/>
      </w:pPr>
      <w:r>
        <w:rPr/>
        <w:pict>
          <v:group style="position:absolute;margin-left:69pt;margin-top:-40.980465pt;width:456.25pt;height:12.4pt;mso-position-horizontal-relative:page;mso-position-vertical-relative:paragraph;z-index:-392056" coordorigin="1380,-820" coordsize="9125,248">
            <v:rect style="position:absolute;left:1380;top:-810;width:9120;height:238" filled="true" fillcolor="#d1d3d4" stroked="false">
              <v:fill type="solid"/>
            </v:rect>
            <v:line style="position:absolute" from="8800,-815" to="10500,-815" stroked="true" strokeweight=".5pt" strokecolor="#231f20">
              <v:stroke dashstyle="solid"/>
            </v:line>
            <w10:wrap type="none"/>
          </v:group>
        </w:pict>
      </w:r>
      <w:r>
        <w:rPr>
          <w:color w:val="231F20"/>
        </w:rPr>
        <w:t>See accompanying notes.</w:t>
      </w:r>
    </w:p>
    <w:p>
      <w:pPr>
        <w:spacing w:after="0"/>
        <w:sectPr>
          <w:pgSz w:w="11880" w:h="15480"/>
          <w:pgMar w:header="0" w:footer="1240" w:top="1240" w:bottom="1420" w:left="1280" w:right="1260"/>
        </w:sectPr>
      </w:pPr>
    </w:p>
    <w:p>
      <w:pPr>
        <w:spacing w:before="72"/>
        <w:ind w:left="160" w:right="179" w:firstLine="0"/>
        <w:jc w:val="center"/>
        <w:rPr>
          <w:b/>
          <w:sz w:val="18"/>
        </w:rPr>
      </w:pPr>
      <w:r>
        <w:rPr>
          <w:b/>
          <w:color w:val="231F20"/>
          <w:sz w:val="18"/>
        </w:rPr>
        <w:t>Southwest Airlines Co.</w:t>
      </w:r>
    </w:p>
    <w:p>
      <w:pPr>
        <w:spacing w:before="13"/>
        <w:ind w:left="160" w:right="179" w:firstLine="0"/>
        <w:jc w:val="center"/>
        <w:rPr>
          <w:b/>
          <w:sz w:val="18"/>
        </w:rPr>
      </w:pPr>
      <w:bookmarkStart w:name="Southwest Airlines Co. Consolidated Stat" w:id="18"/>
      <w:bookmarkEnd w:id="18"/>
      <w:r>
        <w:rPr/>
      </w:r>
      <w:r>
        <w:rPr>
          <w:b/>
          <w:color w:val="231F20"/>
          <w:sz w:val="18"/>
        </w:rPr>
        <w:t>Consolidated Statement of Income</w:t>
      </w:r>
    </w:p>
    <w:p>
      <w:pPr>
        <w:spacing w:before="13"/>
        <w:ind w:left="160" w:right="178"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799" w:right="0"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2015</w:t>
        <w:tab/>
        <w:t>2014</w:t>
        <w:tab/>
        <w:t>2013</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100"/>
        <w:gridCol w:w="100"/>
        <w:gridCol w:w="1300"/>
        <w:gridCol w:w="100"/>
        <w:gridCol w:w="1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7"/>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Passenger</w:t>
            </w: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18,299</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17,658</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rPr>
                <w:sz w:val="18"/>
              </w:rPr>
            </w:pPr>
            <w:r>
              <w:rPr>
                <w:color w:val="231F20"/>
                <w:sz w:val="18"/>
              </w:rPr>
              <w:t>$</w:t>
              <w:tab/>
              <w:t>16,721</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179</w:t>
            </w:r>
          </w:p>
        </w:tc>
        <w:tc>
          <w:tcPr>
            <w:tcW w:w="200" w:type="dxa"/>
            <w:gridSpan w:val="2"/>
          </w:tcPr>
          <w:p>
            <w:pPr/>
          </w:p>
        </w:tc>
        <w:tc>
          <w:tcPr>
            <w:tcW w:w="1300" w:type="dxa"/>
          </w:tcPr>
          <w:p>
            <w:pPr>
              <w:pStyle w:val="TableParagraph"/>
              <w:spacing w:before="22"/>
              <w:ind w:right="58"/>
              <w:jc w:val="right"/>
              <w:rPr>
                <w:sz w:val="18"/>
              </w:rPr>
            </w:pPr>
            <w:r>
              <w:rPr>
                <w:color w:val="231F20"/>
                <w:sz w:val="18"/>
              </w:rPr>
              <w:t>175</w:t>
            </w:r>
          </w:p>
        </w:tc>
        <w:tc>
          <w:tcPr>
            <w:tcW w:w="200" w:type="dxa"/>
            <w:gridSpan w:val="2"/>
          </w:tcPr>
          <w:p>
            <w:pPr/>
          </w:p>
        </w:tc>
        <w:tc>
          <w:tcPr>
            <w:tcW w:w="1300" w:type="dxa"/>
          </w:tcPr>
          <w:p>
            <w:pPr>
              <w:pStyle w:val="TableParagraph"/>
              <w:spacing w:before="22"/>
              <w:ind w:right="58"/>
              <w:jc w:val="right"/>
              <w:rPr>
                <w:sz w:val="18"/>
              </w:rPr>
            </w:pPr>
            <w:r>
              <w:rPr>
                <w:color w:val="231F20"/>
                <w:sz w:val="18"/>
              </w:rPr>
              <w:t>164</w:t>
            </w:r>
          </w:p>
        </w:tc>
      </w:tr>
      <w:tr>
        <w:trPr>
          <w:trHeight w:val="260" w:hRule="exact"/>
        </w:trPr>
        <w:tc>
          <w:tcPr>
            <w:tcW w:w="4820" w:type="dxa"/>
            <w:shd w:val="clear" w:color="auto" w:fill="D1D3D4"/>
          </w:tcPr>
          <w:p>
            <w:pPr>
              <w:pStyle w:val="TableParagraph"/>
              <w:spacing w:before="32"/>
              <w:ind w:left="240"/>
              <w:rPr>
                <w:sz w:val="18"/>
              </w:rPr>
            </w:pPr>
            <w:r>
              <w:rPr>
                <w:color w:val="231F20"/>
                <w:sz w:val="18"/>
              </w:rPr>
              <w:t>Special revenue adjustment</w:t>
            </w:r>
          </w:p>
        </w:tc>
        <w:tc>
          <w:tcPr>
            <w:tcW w:w="1300" w:type="dxa"/>
            <w:shd w:val="clear" w:color="auto" w:fill="D1D3D4"/>
          </w:tcPr>
          <w:p>
            <w:pPr>
              <w:pStyle w:val="TableParagraph"/>
              <w:spacing w:before="32"/>
              <w:ind w:right="58"/>
              <w:jc w:val="right"/>
              <w:rPr>
                <w:sz w:val="18"/>
              </w:rPr>
            </w:pPr>
            <w:r>
              <w:rPr>
                <w:color w:val="231F20"/>
                <w:sz w:val="18"/>
              </w:rPr>
              <w:t>172</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r>
      <w:tr>
        <w:trPr>
          <w:trHeight w:val="275" w:hRule="exact"/>
        </w:trPr>
        <w:tc>
          <w:tcPr>
            <w:tcW w:w="4820" w:type="dxa"/>
          </w:tcPr>
          <w:p>
            <w:pPr>
              <w:pStyle w:val="TableParagraph"/>
              <w:spacing w:before="32"/>
              <w:ind w:left="240"/>
              <w:rPr>
                <w:sz w:val="18"/>
              </w:rPr>
            </w:pPr>
            <w:r>
              <w:rPr>
                <w:color w:val="231F20"/>
                <w:sz w:val="18"/>
              </w:rPr>
              <w:t>Other</w:t>
            </w:r>
          </w:p>
        </w:tc>
        <w:tc>
          <w:tcPr>
            <w:tcW w:w="1300" w:type="dxa"/>
            <w:tcBorders>
              <w:bottom w:val="single" w:sz="4" w:space="0" w:color="231F20"/>
            </w:tcBorders>
          </w:tcPr>
          <w:p>
            <w:pPr>
              <w:pStyle w:val="TableParagraph"/>
              <w:spacing w:before="32"/>
              <w:ind w:right="58"/>
              <w:jc w:val="right"/>
              <w:rPr>
                <w:sz w:val="18"/>
              </w:rPr>
            </w:pPr>
            <w:r>
              <w:rPr>
                <w:color w:val="231F20"/>
                <w:sz w:val="18"/>
              </w:rPr>
              <w:t>1,170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772</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814</w:t>
            </w:r>
          </w:p>
        </w:tc>
      </w:tr>
      <w:tr>
        <w:trPr>
          <w:trHeight w:val="285" w:hRule="exact"/>
        </w:trPr>
        <w:tc>
          <w:tcPr>
            <w:tcW w:w="4820" w:type="dxa"/>
            <w:shd w:val="clear" w:color="auto" w:fill="D1D3D4"/>
          </w:tcPr>
          <w:p>
            <w:pPr>
              <w:pStyle w:val="TableParagraph"/>
              <w:spacing w:before="22"/>
              <w:ind w:left="420"/>
              <w:rPr>
                <w:sz w:val="18"/>
              </w:rPr>
            </w:pPr>
            <w:r>
              <w:rPr>
                <w:color w:val="231F20"/>
                <w:sz w:val="18"/>
              </w:rPr>
              <w:t>Total operating revenues</w:t>
            </w: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19,820</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18,605</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17,699</w:t>
            </w:r>
          </w:p>
        </w:tc>
      </w:tr>
      <w:tr>
        <w:trPr>
          <w:trHeight w:val="544" w:hRule="exact"/>
        </w:trPr>
        <w:tc>
          <w:tcPr>
            <w:tcW w:w="9120" w:type="dxa"/>
            <w:gridSpan w:val="8"/>
          </w:tcPr>
          <w:p>
            <w:pPr>
              <w:pStyle w:val="TableParagraph"/>
              <w:spacing w:before="1"/>
              <w:rPr>
                <w:b/>
                <w:sz w:val="27"/>
              </w:rPr>
            </w:pPr>
          </w:p>
          <w:p>
            <w:pPr>
              <w:pStyle w:val="TableParagraph"/>
              <w:tabs>
                <w:tab w:pos="9119" w:val="left" w:leader="none"/>
              </w:tabs>
              <w:spacing w:before="0"/>
              <w:rPr>
                <w:b/>
                <w:sz w:val="18"/>
              </w:rPr>
            </w:pPr>
            <w:r>
              <w:rPr>
                <w:b/>
                <w:color w:val="231F20"/>
                <w:spacing w:val="15"/>
                <w:sz w:val="18"/>
                <w:shd w:fill="D1D3D4" w:color="auto" w:val="clear"/>
              </w:rPr>
              <w:t> </w:t>
            </w:r>
            <w:r>
              <w:rPr>
                <w:b/>
                <w:color w:val="231F20"/>
                <w:sz w:val="18"/>
                <w:shd w:fill="D1D3D4" w:color="auto" w:val="clear"/>
              </w:rPr>
              <w:t>OPERATING</w:t>
            </w:r>
            <w:r>
              <w:rPr>
                <w:b/>
                <w:color w:val="231F20"/>
                <w:spacing w:val="-1"/>
                <w:sz w:val="18"/>
                <w:shd w:fill="D1D3D4" w:color="auto" w:val="clear"/>
              </w:rPr>
              <w:t> </w:t>
            </w:r>
            <w:r>
              <w:rPr>
                <w:b/>
                <w:color w:val="231F20"/>
                <w:sz w:val="18"/>
                <w:shd w:fill="D1D3D4" w:color="auto" w:val="clear"/>
              </w:rPr>
              <w:t>EXPENSES:</w:t>
              <w:tab/>
            </w:r>
          </w:p>
        </w:tc>
      </w:tr>
      <w:tr>
        <w:trPr>
          <w:trHeight w:val="276" w:hRule="exact"/>
        </w:trPr>
        <w:tc>
          <w:tcPr>
            <w:tcW w:w="4820" w:type="dxa"/>
          </w:tcPr>
          <w:p>
            <w:pPr>
              <w:pStyle w:val="TableParagraph"/>
              <w:spacing w:before="18"/>
              <w:ind w:left="240"/>
              <w:rPr>
                <w:sz w:val="18"/>
              </w:rPr>
            </w:pPr>
            <w:r>
              <w:rPr>
                <w:color w:val="231F20"/>
                <w:sz w:val="18"/>
              </w:rPr>
              <w:t>Salaries, wages, and benefits</w:t>
            </w:r>
          </w:p>
        </w:tc>
        <w:tc>
          <w:tcPr>
            <w:tcW w:w="1400" w:type="dxa"/>
            <w:gridSpan w:val="2"/>
          </w:tcPr>
          <w:p>
            <w:pPr>
              <w:pStyle w:val="TableParagraph"/>
              <w:spacing w:before="18"/>
              <w:ind w:left="834"/>
              <w:rPr>
                <w:sz w:val="18"/>
              </w:rPr>
            </w:pPr>
            <w:r>
              <w:rPr>
                <w:color w:val="231F20"/>
                <w:sz w:val="18"/>
              </w:rPr>
              <w:t>6,383</w:t>
            </w:r>
          </w:p>
        </w:tc>
        <w:tc>
          <w:tcPr>
            <w:tcW w:w="100" w:type="dxa"/>
          </w:tcPr>
          <w:p>
            <w:pPr/>
          </w:p>
        </w:tc>
        <w:tc>
          <w:tcPr>
            <w:tcW w:w="1400" w:type="dxa"/>
            <w:gridSpan w:val="2"/>
          </w:tcPr>
          <w:p>
            <w:pPr>
              <w:pStyle w:val="TableParagraph"/>
              <w:spacing w:before="18"/>
              <w:ind w:left="834"/>
              <w:rPr>
                <w:sz w:val="18"/>
              </w:rPr>
            </w:pPr>
            <w:r>
              <w:rPr>
                <w:color w:val="231F20"/>
                <w:sz w:val="18"/>
              </w:rPr>
              <w:t>5,434</w:t>
            </w:r>
          </w:p>
        </w:tc>
        <w:tc>
          <w:tcPr>
            <w:tcW w:w="100" w:type="dxa"/>
          </w:tcPr>
          <w:p>
            <w:pPr/>
          </w:p>
        </w:tc>
        <w:tc>
          <w:tcPr>
            <w:tcW w:w="1300" w:type="dxa"/>
          </w:tcPr>
          <w:p>
            <w:pPr>
              <w:pStyle w:val="TableParagraph"/>
              <w:spacing w:before="18"/>
              <w:ind w:right="58"/>
              <w:jc w:val="right"/>
              <w:rPr>
                <w:sz w:val="18"/>
              </w:rPr>
            </w:pPr>
            <w:r>
              <w:rPr>
                <w:color w:val="231F20"/>
                <w:sz w:val="18"/>
              </w:rPr>
              <w:t>5,035</w:t>
            </w:r>
          </w:p>
        </w:tc>
      </w:tr>
      <w:tr>
        <w:trPr>
          <w:trHeight w:val="280" w:hRule="exact"/>
        </w:trPr>
        <w:tc>
          <w:tcPr>
            <w:tcW w:w="4820" w:type="dxa"/>
            <w:shd w:val="clear" w:color="auto" w:fill="D1D3D4"/>
          </w:tcPr>
          <w:p>
            <w:pPr>
              <w:pStyle w:val="TableParagraph"/>
              <w:spacing w:before="22"/>
              <w:ind w:left="240"/>
              <w:rPr>
                <w:sz w:val="18"/>
              </w:rPr>
            </w:pPr>
            <w:r>
              <w:rPr>
                <w:color w:val="231F20"/>
                <w:sz w:val="18"/>
              </w:rPr>
              <w:t>Fuel and oil</w:t>
            </w:r>
          </w:p>
        </w:tc>
        <w:tc>
          <w:tcPr>
            <w:tcW w:w="1400" w:type="dxa"/>
            <w:gridSpan w:val="2"/>
            <w:shd w:val="clear" w:color="auto" w:fill="D1D3D4"/>
          </w:tcPr>
          <w:p>
            <w:pPr>
              <w:pStyle w:val="TableParagraph"/>
              <w:spacing w:before="22"/>
              <w:ind w:left="835"/>
              <w:rPr>
                <w:sz w:val="18"/>
              </w:rPr>
            </w:pPr>
            <w:r>
              <w:rPr>
                <w:color w:val="231F20"/>
                <w:sz w:val="18"/>
              </w:rPr>
              <w:t>3,616</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5,293</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5,763</w:t>
            </w:r>
          </w:p>
        </w:tc>
      </w:tr>
      <w:tr>
        <w:trPr>
          <w:trHeight w:val="280" w:hRule="exact"/>
        </w:trPr>
        <w:tc>
          <w:tcPr>
            <w:tcW w:w="4820" w:type="dxa"/>
          </w:tcPr>
          <w:p>
            <w:pPr>
              <w:pStyle w:val="TableParagraph"/>
              <w:spacing w:before="22"/>
              <w:ind w:left="240"/>
              <w:rPr>
                <w:sz w:val="18"/>
              </w:rPr>
            </w:pPr>
            <w:r>
              <w:rPr>
                <w:color w:val="231F20"/>
                <w:sz w:val="18"/>
              </w:rPr>
              <w:t>Maintenance materials and repairs</w:t>
            </w:r>
          </w:p>
        </w:tc>
        <w:tc>
          <w:tcPr>
            <w:tcW w:w="1400" w:type="dxa"/>
            <w:gridSpan w:val="2"/>
          </w:tcPr>
          <w:p>
            <w:pPr>
              <w:pStyle w:val="TableParagraph"/>
              <w:spacing w:before="22"/>
              <w:ind w:left="834"/>
              <w:rPr>
                <w:sz w:val="18"/>
              </w:rPr>
            </w:pPr>
            <w:r>
              <w:rPr>
                <w:color w:val="231F20"/>
                <w:sz w:val="18"/>
              </w:rPr>
              <w:t>1,005</w:t>
            </w:r>
          </w:p>
        </w:tc>
        <w:tc>
          <w:tcPr>
            <w:tcW w:w="100" w:type="dxa"/>
          </w:tcPr>
          <w:p>
            <w:pPr/>
          </w:p>
        </w:tc>
        <w:tc>
          <w:tcPr>
            <w:tcW w:w="1400" w:type="dxa"/>
            <w:gridSpan w:val="2"/>
          </w:tcPr>
          <w:p>
            <w:pPr>
              <w:pStyle w:val="TableParagraph"/>
              <w:spacing w:before="22"/>
              <w:ind w:right="157"/>
              <w:jc w:val="right"/>
              <w:rPr>
                <w:sz w:val="18"/>
              </w:rPr>
            </w:pPr>
            <w:r>
              <w:rPr>
                <w:color w:val="231F20"/>
                <w:sz w:val="18"/>
              </w:rPr>
              <w:t>978</w:t>
            </w:r>
          </w:p>
        </w:tc>
        <w:tc>
          <w:tcPr>
            <w:tcW w:w="100" w:type="dxa"/>
          </w:tcPr>
          <w:p>
            <w:pPr/>
          </w:p>
        </w:tc>
        <w:tc>
          <w:tcPr>
            <w:tcW w:w="1300" w:type="dxa"/>
          </w:tcPr>
          <w:p>
            <w:pPr>
              <w:pStyle w:val="TableParagraph"/>
              <w:spacing w:before="22"/>
              <w:ind w:right="58"/>
              <w:jc w:val="right"/>
              <w:rPr>
                <w:sz w:val="18"/>
              </w:rPr>
            </w:pPr>
            <w:r>
              <w:rPr>
                <w:color w:val="231F20"/>
                <w:sz w:val="18"/>
              </w:rPr>
              <w:t>1,080</w:t>
            </w:r>
          </w:p>
        </w:tc>
      </w:tr>
      <w:tr>
        <w:trPr>
          <w:trHeight w:val="280" w:hRule="exact"/>
        </w:trPr>
        <w:tc>
          <w:tcPr>
            <w:tcW w:w="4820" w:type="dxa"/>
            <w:shd w:val="clear" w:color="auto" w:fill="D1D3D4"/>
          </w:tcPr>
          <w:p>
            <w:pPr>
              <w:pStyle w:val="TableParagraph"/>
              <w:spacing w:before="22"/>
              <w:ind w:left="240"/>
              <w:rPr>
                <w:sz w:val="18"/>
              </w:rPr>
            </w:pPr>
            <w:r>
              <w:rPr>
                <w:color w:val="231F20"/>
                <w:sz w:val="18"/>
              </w:rPr>
              <w:t>Aircraft rentals</w:t>
            </w:r>
          </w:p>
        </w:tc>
        <w:tc>
          <w:tcPr>
            <w:tcW w:w="1400" w:type="dxa"/>
            <w:gridSpan w:val="2"/>
            <w:shd w:val="clear" w:color="auto" w:fill="D1D3D4"/>
          </w:tcPr>
          <w:p>
            <w:pPr>
              <w:pStyle w:val="TableParagraph"/>
              <w:spacing w:before="22"/>
              <w:ind w:right="157"/>
              <w:jc w:val="right"/>
              <w:rPr>
                <w:sz w:val="18"/>
              </w:rPr>
            </w:pPr>
            <w:r>
              <w:rPr>
                <w:color w:val="231F20"/>
                <w:sz w:val="18"/>
              </w:rPr>
              <w:t>238</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295</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361</w:t>
            </w:r>
          </w:p>
        </w:tc>
      </w:tr>
      <w:tr>
        <w:trPr>
          <w:trHeight w:val="280" w:hRule="exact"/>
        </w:trPr>
        <w:tc>
          <w:tcPr>
            <w:tcW w:w="4820" w:type="dxa"/>
          </w:tcPr>
          <w:p>
            <w:pPr>
              <w:pStyle w:val="TableParagraph"/>
              <w:spacing w:before="22"/>
              <w:ind w:left="240"/>
              <w:rPr>
                <w:sz w:val="18"/>
              </w:rPr>
            </w:pPr>
            <w:r>
              <w:rPr>
                <w:color w:val="231F20"/>
                <w:sz w:val="18"/>
              </w:rPr>
              <w:t>Landing fees and other rentals</w:t>
            </w:r>
          </w:p>
        </w:tc>
        <w:tc>
          <w:tcPr>
            <w:tcW w:w="1400" w:type="dxa"/>
            <w:gridSpan w:val="2"/>
          </w:tcPr>
          <w:p>
            <w:pPr>
              <w:pStyle w:val="TableParagraph"/>
              <w:spacing w:before="22"/>
              <w:ind w:left="834"/>
              <w:rPr>
                <w:sz w:val="18"/>
              </w:rPr>
            </w:pPr>
            <w:r>
              <w:rPr>
                <w:color w:val="231F20"/>
                <w:sz w:val="18"/>
              </w:rPr>
              <w:t>1,166</w:t>
            </w:r>
          </w:p>
        </w:tc>
        <w:tc>
          <w:tcPr>
            <w:tcW w:w="100" w:type="dxa"/>
          </w:tcPr>
          <w:p>
            <w:pPr/>
          </w:p>
        </w:tc>
        <w:tc>
          <w:tcPr>
            <w:tcW w:w="1400" w:type="dxa"/>
            <w:gridSpan w:val="2"/>
          </w:tcPr>
          <w:p>
            <w:pPr>
              <w:pStyle w:val="TableParagraph"/>
              <w:spacing w:before="22"/>
              <w:ind w:left="834"/>
              <w:rPr>
                <w:sz w:val="18"/>
              </w:rPr>
            </w:pPr>
            <w:r>
              <w:rPr>
                <w:color w:val="231F20"/>
                <w:sz w:val="18"/>
              </w:rPr>
              <w:t>1,111</w:t>
            </w:r>
          </w:p>
        </w:tc>
        <w:tc>
          <w:tcPr>
            <w:tcW w:w="100" w:type="dxa"/>
          </w:tcPr>
          <w:p>
            <w:pPr/>
          </w:p>
        </w:tc>
        <w:tc>
          <w:tcPr>
            <w:tcW w:w="1300" w:type="dxa"/>
          </w:tcPr>
          <w:p>
            <w:pPr>
              <w:pStyle w:val="TableParagraph"/>
              <w:spacing w:before="22"/>
              <w:ind w:right="58"/>
              <w:jc w:val="right"/>
              <w:rPr>
                <w:sz w:val="18"/>
              </w:rPr>
            </w:pPr>
            <w:r>
              <w:rPr>
                <w:color w:val="231F20"/>
                <w:sz w:val="18"/>
              </w:rPr>
              <w:t>1,103</w:t>
            </w:r>
          </w:p>
        </w:tc>
      </w:tr>
      <w:tr>
        <w:trPr>
          <w:trHeight w:val="280" w:hRule="exact"/>
        </w:trPr>
        <w:tc>
          <w:tcPr>
            <w:tcW w:w="4820" w:type="dxa"/>
            <w:shd w:val="clear" w:color="auto" w:fill="D1D3D4"/>
          </w:tcPr>
          <w:p>
            <w:pPr>
              <w:pStyle w:val="TableParagraph"/>
              <w:spacing w:before="22"/>
              <w:ind w:left="240"/>
              <w:rPr>
                <w:sz w:val="18"/>
              </w:rPr>
            </w:pPr>
            <w:r>
              <w:rPr>
                <w:color w:val="231F20"/>
                <w:sz w:val="18"/>
              </w:rPr>
              <w:t>Depreciation and amortization</w:t>
            </w:r>
          </w:p>
        </w:tc>
        <w:tc>
          <w:tcPr>
            <w:tcW w:w="1400" w:type="dxa"/>
            <w:gridSpan w:val="2"/>
            <w:shd w:val="clear" w:color="auto" w:fill="D1D3D4"/>
          </w:tcPr>
          <w:p>
            <w:pPr>
              <w:pStyle w:val="TableParagraph"/>
              <w:spacing w:before="22"/>
              <w:ind w:left="834"/>
              <w:rPr>
                <w:sz w:val="18"/>
              </w:rPr>
            </w:pPr>
            <w:r>
              <w:rPr>
                <w:color w:val="231F20"/>
                <w:sz w:val="18"/>
              </w:rPr>
              <w:t>1,015</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938</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867</w:t>
            </w:r>
          </w:p>
        </w:tc>
      </w:tr>
      <w:tr>
        <w:trPr>
          <w:trHeight w:val="280" w:hRule="exact"/>
        </w:trPr>
        <w:tc>
          <w:tcPr>
            <w:tcW w:w="4820" w:type="dxa"/>
          </w:tcPr>
          <w:p>
            <w:pPr>
              <w:pStyle w:val="TableParagraph"/>
              <w:spacing w:before="22"/>
              <w:ind w:left="240"/>
              <w:rPr>
                <w:sz w:val="18"/>
              </w:rPr>
            </w:pPr>
            <w:r>
              <w:rPr>
                <w:color w:val="231F20"/>
                <w:sz w:val="18"/>
              </w:rPr>
              <w:t>Acquisition and integration</w:t>
            </w:r>
          </w:p>
        </w:tc>
        <w:tc>
          <w:tcPr>
            <w:tcW w:w="1400" w:type="dxa"/>
            <w:gridSpan w:val="2"/>
          </w:tcPr>
          <w:p>
            <w:pPr>
              <w:pStyle w:val="TableParagraph"/>
              <w:spacing w:before="22"/>
              <w:ind w:right="157"/>
              <w:jc w:val="right"/>
              <w:rPr>
                <w:sz w:val="18"/>
              </w:rPr>
            </w:pPr>
            <w:r>
              <w:rPr>
                <w:color w:val="231F20"/>
                <w:sz w:val="18"/>
              </w:rPr>
              <w:t>39</w:t>
            </w:r>
          </w:p>
        </w:tc>
        <w:tc>
          <w:tcPr>
            <w:tcW w:w="100" w:type="dxa"/>
          </w:tcPr>
          <w:p>
            <w:pPr/>
          </w:p>
        </w:tc>
        <w:tc>
          <w:tcPr>
            <w:tcW w:w="1400" w:type="dxa"/>
            <w:gridSpan w:val="2"/>
          </w:tcPr>
          <w:p>
            <w:pPr>
              <w:pStyle w:val="TableParagraph"/>
              <w:spacing w:before="22"/>
              <w:ind w:right="157"/>
              <w:jc w:val="right"/>
              <w:rPr>
                <w:sz w:val="18"/>
              </w:rPr>
            </w:pPr>
            <w:r>
              <w:rPr>
                <w:color w:val="231F20"/>
                <w:sz w:val="18"/>
              </w:rPr>
              <w:t>126</w:t>
            </w:r>
          </w:p>
        </w:tc>
        <w:tc>
          <w:tcPr>
            <w:tcW w:w="100" w:type="dxa"/>
          </w:tcPr>
          <w:p>
            <w:pPr/>
          </w:p>
        </w:tc>
        <w:tc>
          <w:tcPr>
            <w:tcW w:w="1300" w:type="dxa"/>
          </w:tcPr>
          <w:p>
            <w:pPr>
              <w:pStyle w:val="TableParagraph"/>
              <w:spacing w:before="22"/>
              <w:ind w:right="58"/>
              <w:jc w:val="right"/>
              <w:rPr>
                <w:sz w:val="18"/>
              </w:rPr>
            </w:pPr>
            <w:r>
              <w:rPr>
                <w:color w:val="231F20"/>
                <w:sz w:val="18"/>
              </w:rPr>
              <w:t>86</w:t>
            </w:r>
          </w:p>
        </w:tc>
      </w:tr>
      <w:tr>
        <w:trPr>
          <w:trHeight w:val="295" w:hRule="exact"/>
        </w:trPr>
        <w:tc>
          <w:tcPr>
            <w:tcW w:w="4820" w:type="dxa"/>
            <w:shd w:val="clear" w:color="auto" w:fill="D1D3D4"/>
          </w:tcPr>
          <w:p>
            <w:pPr>
              <w:pStyle w:val="TableParagraph"/>
              <w:spacing w:before="22"/>
              <w:ind w:left="240"/>
              <w:rPr>
                <w:sz w:val="18"/>
              </w:rPr>
            </w:pPr>
            <w:r>
              <w:rPr>
                <w:color w:val="231F20"/>
                <w:sz w:val="18"/>
              </w:rPr>
              <w:t>Other operating expenses</w:t>
            </w: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2,242</w:t>
            </w:r>
          </w:p>
        </w:tc>
        <w:tc>
          <w:tcPr>
            <w:tcW w:w="100" w:type="dxa"/>
            <w:shd w:val="clear" w:color="auto" w:fill="D1D3D4"/>
          </w:tcPr>
          <w:p>
            <w:pP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2,205</w:t>
            </w:r>
          </w:p>
        </w:tc>
        <w:tc>
          <w:tcPr>
            <w:tcW w:w="100" w:type="dxa"/>
            <w:shd w:val="clear" w:color="auto" w:fill="D1D3D4"/>
          </w:tcPr>
          <w:p>
            <w:pPr/>
          </w:p>
        </w:tc>
        <w:tc>
          <w:tcPr>
            <w:tcW w:w="1300" w:type="dxa"/>
            <w:tcBorders>
              <w:bottom w:val="single" w:sz="4" w:space="0" w:color="231F20"/>
            </w:tcBorders>
            <w:shd w:val="clear" w:color="auto" w:fill="D1D3D4"/>
          </w:tcPr>
          <w:p>
            <w:pPr>
              <w:pStyle w:val="TableParagraph"/>
              <w:spacing w:before="22"/>
              <w:ind w:right="58"/>
              <w:jc w:val="right"/>
              <w:rPr>
                <w:sz w:val="18"/>
              </w:rPr>
            </w:pPr>
            <w:r>
              <w:rPr>
                <w:color w:val="231F20"/>
                <w:sz w:val="18"/>
              </w:rPr>
              <w:t>2,126</w:t>
            </w:r>
          </w:p>
        </w:tc>
      </w:tr>
      <w:tr>
        <w:trPr>
          <w:trHeight w:val="285" w:hRule="exact"/>
        </w:trPr>
        <w:tc>
          <w:tcPr>
            <w:tcW w:w="4820" w:type="dxa"/>
          </w:tcPr>
          <w:p>
            <w:pPr>
              <w:pStyle w:val="TableParagraph"/>
              <w:spacing w:before="42"/>
              <w:ind w:left="420"/>
              <w:rPr>
                <w:sz w:val="18"/>
              </w:rPr>
            </w:pPr>
            <w:r>
              <w:rPr>
                <w:color w:val="231F20"/>
                <w:sz w:val="18"/>
              </w:rPr>
              <w:t>Total operating expenses</w:t>
            </w:r>
          </w:p>
        </w:tc>
        <w:tc>
          <w:tcPr>
            <w:tcW w:w="1400" w:type="dxa"/>
            <w:gridSpan w:val="2"/>
            <w:tcBorders>
              <w:top w:val="single" w:sz="4" w:space="0" w:color="231F20"/>
            </w:tcBorders>
          </w:tcPr>
          <w:p>
            <w:pPr>
              <w:pStyle w:val="TableParagraph"/>
              <w:spacing w:before="22"/>
              <w:ind w:left="744"/>
              <w:rPr>
                <w:sz w:val="18"/>
              </w:rPr>
            </w:pPr>
            <w:r>
              <w:rPr>
                <w:color w:val="231F20"/>
                <w:sz w:val="18"/>
              </w:rPr>
              <w:t>15,704</w:t>
            </w:r>
          </w:p>
        </w:tc>
        <w:tc>
          <w:tcPr>
            <w:tcW w:w="100" w:type="dxa"/>
          </w:tcPr>
          <w:p>
            <w:pPr/>
          </w:p>
        </w:tc>
        <w:tc>
          <w:tcPr>
            <w:tcW w:w="1400" w:type="dxa"/>
            <w:gridSpan w:val="2"/>
            <w:tcBorders>
              <w:top w:val="single" w:sz="4" w:space="0" w:color="231F20"/>
            </w:tcBorders>
          </w:tcPr>
          <w:p>
            <w:pPr>
              <w:pStyle w:val="TableParagraph"/>
              <w:spacing w:before="22"/>
              <w:ind w:left="744"/>
              <w:rPr>
                <w:sz w:val="18"/>
              </w:rPr>
            </w:pPr>
            <w:r>
              <w:rPr>
                <w:color w:val="231F20"/>
                <w:sz w:val="18"/>
              </w:rPr>
              <w:t>16,380</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16,421</w:t>
            </w:r>
          </w:p>
        </w:tc>
      </w:tr>
      <w:tr>
        <w:trPr>
          <w:trHeight w:val="275" w:hRule="exact"/>
        </w:trPr>
        <w:tc>
          <w:tcPr>
            <w:tcW w:w="482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300" w:type="dxa"/>
            <w:tcBorders>
              <w:bottom w:val="single" w:sz="4" w:space="0" w:color="231F20"/>
            </w:tcBorders>
            <w:shd w:val="clear" w:color="auto" w:fill="D1D3D4"/>
          </w:tcPr>
          <w:p>
            <w:pPr/>
          </w:p>
        </w:tc>
      </w:tr>
      <w:tr>
        <w:trPr>
          <w:trHeight w:val="285" w:hRule="exact"/>
        </w:trPr>
        <w:tc>
          <w:tcPr>
            <w:tcW w:w="4820" w:type="dxa"/>
          </w:tcPr>
          <w:p>
            <w:pPr>
              <w:pStyle w:val="TableParagraph"/>
              <w:spacing w:before="42"/>
              <w:ind w:left="60"/>
              <w:rPr>
                <w:b/>
                <w:sz w:val="18"/>
              </w:rPr>
            </w:pPr>
            <w:r>
              <w:rPr>
                <w:b/>
                <w:color w:val="231F20"/>
                <w:sz w:val="18"/>
              </w:rPr>
              <w:t>OPERATING INCOME</w:t>
            </w:r>
          </w:p>
        </w:tc>
        <w:tc>
          <w:tcPr>
            <w:tcW w:w="1400" w:type="dxa"/>
            <w:gridSpan w:val="2"/>
            <w:tcBorders>
              <w:top w:val="single" w:sz="4" w:space="0" w:color="231F20"/>
            </w:tcBorders>
          </w:tcPr>
          <w:p>
            <w:pPr>
              <w:pStyle w:val="TableParagraph"/>
              <w:spacing w:before="22"/>
              <w:ind w:left="835"/>
              <w:rPr>
                <w:sz w:val="18"/>
              </w:rPr>
            </w:pPr>
            <w:r>
              <w:rPr>
                <w:color w:val="231F20"/>
                <w:sz w:val="18"/>
              </w:rPr>
              <w:t>4,116</w:t>
            </w:r>
          </w:p>
        </w:tc>
        <w:tc>
          <w:tcPr>
            <w:tcW w:w="100" w:type="dxa"/>
          </w:tcPr>
          <w:p>
            <w:pPr/>
          </w:p>
        </w:tc>
        <w:tc>
          <w:tcPr>
            <w:tcW w:w="1400" w:type="dxa"/>
            <w:gridSpan w:val="2"/>
            <w:tcBorders>
              <w:top w:val="single" w:sz="4" w:space="0" w:color="231F20"/>
            </w:tcBorders>
          </w:tcPr>
          <w:p>
            <w:pPr>
              <w:pStyle w:val="TableParagraph"/>
              <w:spacing w:before="22"/>
              <w:ind w:left="835"/>
              <w:rPr>
                <w:sz w:val="18"/>
              </w:rPr>
            </w:pPr>
            <w:r>
              <w:rPr>
                <w:color w:val="231F20"/>
                <w:sz w:val="18"/>
              </w:rPr>
              <w:t>2,225</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1,278</w:t>
            </w:r>
          </w:p>
        </w:tc>
      </w:tr>
      <w:tr>
        <w:trPr>
          <w:trHeight w:val="280" w:hRule="exact"/>
        </w:trPr>
        <w:tc>
          <w:tcPr>
            <w:tcW w:w="482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300" w:type="dxa"/>
            <w:shd w:val="clear" w:color="auto" w:fill="D1D3D4"/>
          </w:tcPr>
          <w:p>
            <w:pPr/>
          </w:p>
        </w:tc>
      </w:tr>
      <w:tr>
        <w:trPr>
          <w:trHeight w:val="280" w:hRule="exact"/>
        </w:trPr>
        <w:tc>
          <w:tcPr>
            <w:tcW w:w="4820" w:type="dxa"/>
          </w:tcPr>
          <w:p>
            <w:pPr>
              <w:pStyle w:val="TableParagraph"/>
              <w:spacing w:before="22"/>
              <w:ind w:left="60"/>
              <w:rPr>
                <w:b/>
                <w:sz w:val="18"/>
              </w:rPr>
            </w:pPr>
            <w:r>
              <w:rPr>
                <w:b/>
                <w:color w:val="231F20"/>
                <w:sz w:val="18"/>
              </w:rPr>
              <w:t>OTHER EXPENSES (INCOME):</w:t>
            </w:r>
          </w:p>
        </w:tc>
        <w:tc>
          <w:tcPr>
            <w:tcW w:w="1400" w:type="dxa"/>
            <w:gridSpan w:val="2"/>
          </w:tcPr>
          <w:p>
            <w:pPr/>
          </w:p>
        </w:tc>
        <w:tc>
          <w:tcPr>
            <w:tcW w:w="100" w:type="dxa"/>
          </w:tcPr>
          <w:p>
            <w:pPr/>
          </w:p>
        </w:tc>
        <w:tc>
          <w:tcPr>
            <w:tcW w:w="1400" w:type="dxa"/>
            <w:gridSpan w:val="2"/>
          </w:tcPr>
          <w:p>
            <w:pPr/>
          </w:p>
        </w:tc>
        <w:tc>
          <w:tcPr>
            <w:tcW w:w="100" w:type="dxa"/>
          </w:tcPr>
          <w:p>
            <w:pPr/>
          </w:p>
        </w:tc>
        <w:tc>
          <w:tcPr>
            <w:tcW w:w="1300" w:type="dxa"/>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expense</w:t>
            </w:r>
          </w:p>
        </w:tc>
        <w:tc>
          <w:tcPr>
            <w:tcW w:w="1400" w:type="dxa"/>
            <w:gridSpan w:val="2"/>
            <w:shd w:val="clear" w:color="auto" w:fill="D1D3D4"/>
          </w:tcPr>
          <w:p>
            <w:pPr>
              <w:pStyle w:val="TableParagraph"/>
              <w:spacing w:before="22"/>
              <w:ind w:right="157"/>
              <w:jc w:val="right"/>
              <w:rPr>
                <w:sz w:val="18"/>
              </w:rPr>
            </w:pPr>
            <w:r>
              <w:rPr>
                <w:color w:val="231F20"/>
                <w:sz w:val="18"/>
              </w:rPr>
              <w:t>121</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130</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131</w:t>
            </w:r>
          </w:p>
        </w:tc>
      </w:tr>
      <w:tr>
        <w:trPr>
          <w:trHeight w:val="280" w:hRule="exact"/>
        </w:trPr>
        <w:tc>
          <w:tcPr>
            <w:tcW w:w="4820" w:type="dxa"/>
          </w:tcPr>
          <w:p>
            <w:pPr>
              <w:pStyle w:val="TableParagraph"/>
              <w:spacing w:before="22"/>
              <w:ind w:left="240"/>
              <w:rPr>
                <w:sz w:val="18"/>
              </w:rPr>
            </w:pPr>
            <w:r>
              <w:rPr>
                <w:color w:val="231F20"/>
                <w:sz w:val="18"/>
              </w:rPr>
              <w:t>Capitalized interest</w:t>
            </w:r>
          </w:p>
        </w:tc>
        <w:tc>
          <w:tcPr>
            <w:tcW w:w="1400" w:type="dxa"/>
            <w:gridSpan w:val="2"/>
          </w:tcPr>
          <w:p>
            <w:pPr>
              <w:pStyle w:val="TableParagraph"/>
              <w:spacing w:before="22"/>
              <w:ind w:right="98"/>
              <w:jc w:val="right"/>
              <w:rPr>
                <w:sz w:val="18"/>
              </w:rPr>
            </w:pPr>
            <w:r>
              <w:rPr>
                <w:color w:val="231F20"/>
                <w:sz w:val="18"/>
              </w:rPr>
              <w:t>(31)</w:t>
            </w:r>
          </w:p>
        </w:tc>
        <w:tc>
          <w:tcPr>
            <w:tcW w:w="100" w:type="dxa"/>
          </w:tcPr>
          <w:p>
            <w:pPr/>
          </w:p>
        </w:tc>
        <w:tc>
          <w:tcPr>
            <w:tcW w:w="1400" w:type="dxa"/>
            <w:gridSpan w:val="2"/>
          </w:tcPr>
          <w:p>
            <w:pPr>
              <w:pStyle w:val="TableParagraph"/>
              <w:spacing w:before="22"/>
              <w:ind w:right="98"/>
              <w:jc w:val="right"/>
              <w:rPr>
                <w:sz w:val="18"/>
              </w:rPr>
            </w:pPr>
            <w:r>
              <w:rPr>
                <w:color w:val="231F20"/>
                <w:sz w:val="18"/>
              </w:rPr>
              <w:t>(23)</w:t>
            </w:r>
          </w:p>
        </w:tc>
        <w:tc>
          <w:tcPr>
            <w:tcW w:w="100" w:type="dxa"/>
          </w:tcPr>
          <w:p>
            <w:pPr/>
          </w:p>
        </w:tc>
        <w:tc>
          <w:tcPr>
            <w:tcW w:w="1300" w:type="dxa"/>
          </w:tcPr>
          <w:p>
            <w:pPr>
              <w:pStyle w:val="TableParagraph"/>
              <w:spacing w:before="22"/>
              <w:jc w:val="right"/>
              <w:rPr>
                <w:sz w:val="18"/>
              </w:rPr>
            </w:pPr>
            <w:r>
              <w:rPr>
                <w:color w:val="231F20"/>
                <w:sz w:val="18"/>
              </w:rPr>
              <w:t>(24)</w:t>
            </w: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income</w:t>
            </w:r>
          </w:p>
        </w:tc>
        <w:tc>
          <w:tcPr>
            <w:tcW w:w="1400" w:type="dxa"/>
            <w:gridSpan w:val="2"/>
            <w:shd w:val="clear" w:color="auto" w:fill="D1D3D4"/>
          </w:tcPr>
          <w:p>
            <w:pPr>
              <w:pStyle w:val="TableParagraph"/>
              <w:spacing w:before="22"/>
              <w:ind w:right="98"/>
              <w:jc w:val="right"/>
              <w:rPr>
                <w:sz w:val="18"/>
              </w:rPr>
            </w:pPr>
            <w:r>
              <w:rPr>
                <w:color w:val="231F20"/>
                <w:sz w:val="18"/>
              </w:rPr>
              <w:t>(9)</w:t>
            </w:r>
          </w:p>
        </w:tc>
        <w:tc>
          <w:tcPr>
            <w:tcW w:w="100" w:type="dxa"/>
            <w:shd w:val="clear" w:color="auto" w:fill="D1D3D4"/>
          </w:tcPr>
          <w:p>
            <w:pPr/>
          </w:p>
        </w:tc>
        <w:tc>
          <w:tcPr>
            <w:tcW w:w="1400" w:type="dxa"/>
            <w:gridSpan w:val="2"/>
            <w:shd w:val="clear" w:color="auto" w:fill="D1D3D4"/>
          </w:tcPr>
          <w:p>
            <w:pPr>
              <w:pStyle w:val="TableParagraph"/>
              <w:spacing w:before="22"/>
              <w:ind w:right="98"/>
              <w:jc w:val="right"/>
              <w:rPr>
                <w:sz w:val="18"/>
              </w:rPr>
            </w:pPr>
            <w:r>
              <w:rPr>
                <w:color w:val="231F20"/>
                <w:sz w:val="18"/>
              </w:rPr>
              <w:t>(7)</w:t>
            </w:r>
          </w:p>
        </w:tc>
        <w:tc>
          <w:tcPr>
            <w:tcW w:w="100" w:type="dxa"/>
            <w:shd w:val="clear" w:color="auto" w:fill="D1D3D4"/>
          </w:tcPr>
          <w:p>
            <w:pPr/>
          </w:p>
        </w:tc>
        <w:tc>
          <w:tcPr>
            <w:tcW w:w="1300" w:type="dxa"/>
            <w:shd w:val="clear" w:color="auto" w:fill="D1D3D4"/>
          </w:tcPr>
          <w:p>
            <w:pPr>
              <w:pStyle w:val="TableParagraph"/>
              <w:spacing w:before="22"/>
              <w:jc w:val="right"/>
              <w:rPr>
                <w:sz w:val="18"/>
              </w:rPr>
            </w:pPr>
            <w:r>
              <w:rPr>
                <w:color w:val="231F20"/>
                <w:sz w:val="18"/>
              </w:rPr>
              <w:t>(6)</w:t>
            </w:r>
          </w:p>
        </w:tc>
      </w:tr>
      <w:tr>
        <w:trPr>
          <w:trHeight w:val="295" w:hRule="exact"/>
        </w:trPr>
        <w:tc>
          <w:tcPr>
            <w:tcW w:w="4820" w:type="dxa"/>
          </w:tcPr>
          <w:p>
            <w:pPr>
              <w:pStyle w:val="TableParagraph"/>
              <w:spacing w:before="22"/>
              <w:ind w:left="240"/>
              <w:rPr>
                <w:sz w:val="18"/>
              </w:rPr>
            </w:pPr>
            <w:r>
              <w:rPr>
                <w:color w:val="231F20"/>
                <w:sz w:val="18"/>
              </w:rPr>
              <w:t>Other (gains) losses, net</w:t>
            </w: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556</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309</w:t>
            </w:r>
          </w:p>
        </w:tc>
        <w:tc>
          <w:tcPr>
            <w:tcW w:w="100" w:type="dxa"/>
          </w:tcPr>
          <w:p>
            <w:pPr/>
          </w:p>
        </w:tc>
        <w:tc>
          <w:tcPr>
            <w:tcW w:w="1300" w:type="dxa"/>
            <w:tcBorders>
              <w:bottom w:val="single" w:sz="4" w:space="0" w:color="231F20"/>
            </w:tcBorders>
          </w:tcPr>
          <w:p>
            <w:pPr>
              <w:pStyle w:val="TableParagraph"/>
              <w:spacing w:before="22"/>
              <w:jc w:val="right"/>
              <w:rPr>
                <w:sz w:val="18"/>
              </w:rPr>
            </w:pPr>
            <w:r>
              <w:rPr>
                <w:color w:val="231F20"/>
                <w:sz w:val="18"/>
              </w:rPr>
              <w:t>(32)</w:t>
            </w:r>
          </w:p>
        </w:tc>
      </w:tr>
      <w:tr>
        <w:trPr>
          <w:trHeight w:val="293" w:hRule="exact"/>
        </w:trPr>
        <w:tc>
          <w:tcPr>
            <w:tcW w:w="4820" w:type="dxa"/>
            <w:shd w:val="clear" w:color="auto" w:fill="D1D3D4"/>
          </w:tcPr>
          <w:p>
            <w:pPr>
              <w:pStyle w:val="TableParagraph"/>
              <w:spacing w:before="22"/>
              <w:ind w:left="420"/>
              <w:rPr>
                <w:sz w:val="18"/>
              </w:rPr>
            </w:pPr>
            <w:r>
              <w:rPr>
                <w:color w:val="231F20"/>
                <w:sz w:val="18"/>
              </w:rPr>
              <w:t>Total other expenses (income)</w:t>
            </w: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637</w:t>
            </w:r>
          </w:p>
        </w:tc>
        <w:tc>
          <w:tcPr>
            <w:tcW w:w="100" w:type="dxa"/>
            <w:shd w:val="clear" w:color="auto" w:fill="D1D3D4"/>
          </w:tcPr>
          <w:p>
            <w:pP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409</w:t>
            </w:r>
          </w:p>
        </w:tc>
        <w:tc>
          <w:tcPr>
            <w:tcW w:w="100" w:type="dxa"/>
            <w:shd w:val="clear" w:color="auto" w:fill="D1D3D4"/>
          </w:tcPr>
          <w:p>
            <w:pPr/>
          </w:p>
        </w:tc>
        <w:tc>
          <w:tcPr>
            <w:tcW w:w="1300" w:type="dxa"/>
            <w:tcBorders>
              <w:top w:val="single" w:sz="4" w:space="0" w:color="231F20"/>
            </w:tcBorders>
            <w:shd w:val="clear" w:color="auto" w:fill="D1D3D4"/>
          </w:tcPr>
          <w:p>
            <w:pPr>
              <w:pStyle w:val="TableParagraph"/>
              <w:spacing w:before="22"/>
              <w:ind w:right="58"/>
              <w:jc w:val="right"/>
              <w:rPr>
                <w:sz w:val="18"/>
              </w:rPr>
            </w:pPr>
            <w:r>
              <w:rPr>
                <w:color w:val="231F20"/>
                <w:sz w:val="18"/>
              </w:rPr>
              <w:t>69</w:t>
            </w:r>
          </w:p>
        </w:tc>
      </w:tr>
      <w:tr>
        <w:trPr>
          <w:trHeight w:val="273" w:hRule="exact"/>
        </w:trPr>
        <w:tc>
          <w:tcPr>
            <w:tcW w:w="4820" w:type="dxa"/>
          </w:tcPr>
          <w:p>
            <w:pPr/>
          </w:p>
        </w:tc>
        <w:tc>
          <w:tcPr>
            <w:tcW w:w="1400" w:type="dxa"/>
            <w:gridSpan w:val="2"/>
          </w:tcPr>
          <w:p>
            <w:pPr>
              <w:pStyle w:val="TableParagraph"/>
              <w:spacing w:before="8"/>
              <w:rPr>
                <w:b/>
                <w:sz w:val="23"/>
              </w:rPr>
            </w:pPr>
          </w:p>
        </w:tc>
        <w:tc>
          <w:tcPr>
            <w:tcW w:w="100" w:type="dxa"/>
          </w:tcPr>
          <w:p>
            <w:pPr/>
          </w:p>
        </w:tc>
        <w:tc>
          <w:tcPr>
            <w:tcW w:w="1400" w:type="dxa"/>
            <w:gridSpan w:val="2"/>
          </w:tcPr>
          <w:p>
            <w:pPr>
              <w:pStyle w:val="TableParagraph"/>
              <w:spacing w:before="8"/>
              <w:rPr>
                <w:b/>
                <w:sz w:val="23"/>
              </w:rPr>
            </w:pPr>
          </w:p>
        </w:tc>
        <w:tc>
          <w:tcPr>
            <w:tcW w:w="100" w:type="dxa"/>
          </w:tcPr>
          <w:p>
            <w:pPr/>
          </w:p>
        </w:tc>
        <w:tc>
          <w:tcPr>
            <w:tcW w:w="1300" w:type="dxa"/>
          </w:tcPr>
          <w:p>
            <w:pPr>
              <w:pStyle w:val="TableParagraph"/>
              <w:spacing w:before="8"/>
              <w:rPr>
                <w:b/>
                <w:sz w:val="23"/>
              </w:rPr>
            </w:pPr>
          </w:p>
        </w:tc>
      </w:tr>
      <w:tr>
        <w:trPr>
          <w:trHeight w:val="280" w:hRule="exact"/>
        </w:trPr>
        <w:tc>
          <w:tcPr>
            <w:tcW w:w="4820" w:type="dxa"/>
            <w:shd w:val="clear" w:color="auto" w:fill="D1D3D4"/>
          </w:tcPr>
          <w:p>
            <w:pPr>
              <w:pStyle w:val="TableParagraph"/>
              <w:spacing w:before="22"/>
              <w:ind w:left="60"/>
              <w:rPr>
                <w:b/>
                <w:sz w:val="18"/>
              </w:rPr>
            </w:pPr>
            <w:r>
              <w:rPr>
                <w:b/>
                <w:color w:val="231F20"/>
                <w:sz w:val="18"/>
              </w:rPr>
              <w:t>INCOME BEFORE INCOME TAXES</w:t>
            </w:r>
          </w:p>
        </w:tc>
        <w:tc>
          <w:tcPr>
            <w:tcW w:w="1400" w:type="dxa"/>
            <w:gridSpan w:val="2"/>
            <w:shd w:val="clear" w:color="auto" w:fill="D1D3D4"/>
          </w:tcPr>
          <w:p>
            <w:pPr>
              <w:pStyle w:val="TableParagraph"/>
              <w:spacing w:before="22"/>
              <w:ind w:left="835"/>
              <w:rPr>
                <w:sz w:val="18"/>
              </w:rPr>
            </w:pPr>
            <w:r>
              <w:rPr>
                <w:color w:val="231F20"/>
                <w:sz w:val="18"/>
              </w:rPr>
              <w:t>3,479</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1,816</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1,209</w:t>
            </w:r>
          </w:p>
        </w:tc>
      </w:tr>
      <w:tr>
        <w:trPr>
          <w:trHeight w:val="295" w:hRule="exact"/>
        </w:trPr>
        <w:tc>
          <w:tcPr>
            <w:tcW w:w="4820" w:type="dxa"/>
          </w:tcPr>
          <w:p>
            <w:pPr>
              <w:pStyle w:val="TableParagraph"/>
              <w:spacing w:before="22"/>
              <w:ind w:left="60"/>
              <w:rPr>
                <w:b/>
                <w:sz w:val="18"/>
              </w:rPr>
            </w:pPr>
            <w:r>
              <w:rPr>
                <w:b/>
                <w:color w:val="231F20"/>
                <w:sz w:val="18"/>
              </w:rPr>
              <w:t>PROVISION FOR INCOME TAXES</w:t>
            </w:r>
          </w:p>
        </w:tc>
        <w:tc>
          <w:tcPr>
            <w:tcW w:w="1400" w:type="dxa"/>
            <w:gridSpan w:val="2"/>
            <w:tcBorders>
              <w:bottom w:val="single" w:sz="4" w:space="0" w:color="231F20"/>
            </w:tcBorders>
          </w:tcPr>
          <w:p>
            <w:pPr>
              <w:pStyle w:val="TableParagraph"/>
              <w:spacing w:before="22"/>
              <w:ind w:left="835"/>
              <w:rPr>
                <w:sz w:val="18"/>
              </w:rPr>
            </w:pPr>
            <w:r>
              <w:rPr>
                <w:color w:val="231F20"/>
                <w:sz w:val="18"/>
              </w:rPr>
              <w:t>1,298</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680</w:t>
            </w:r>
          </w:p>
        </w:tc>
        <w:tc>
          <w:tcPr>
            <w:tcW w:w="1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455</w:t>
            </w:r>
          </w:p>
        </w:tc>
      </w:tr>
      <w:tr>
        <w:trPr>
          <w:trHeight w:val="340" w:hRule="exact"/>
        </w:trPr>
        <w:tc>
          <w:tcPr>
            <w:tcW w:w="4820" w:type="dxa"/>
            <w:shd w:val="clear" w:color="auto" w:fill="D1D3D4"/>
          </w:tcPr>
          <w:p>
            <w:pPr>
              <w:pStyle w:val="TableParagraph"/>
              <w:spacing w:before="52"/>
              <w:ind w:left="60"/>
              <w:rPr>
                <w:b/>
                <w:sz w:val="18"/>
              </w:rPr>
            </w:pPr>
            <w:r>
              <w:rPr>
                <w:b/>
                <w:color w:val="231F20"/>
                <w:sz w:val="18"/>
              </w:rPr>
              <w:t>NET INCOME</w:t>
            </w: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2,181</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1,136</w:t>
            </w:r>
          </w:p>
        </w:tc>
        <w:tc>
          <w:tcPr>
            <w:tcW w:w="100" w:type="dxa"/>
            <w:shd w:val="clear" w:color="auto" w:fill="D1D3D4"/>
          </w:tcPr>
          <w:p>
            <w:pPr/>
          </w:p>
        </w:tc>
        <w:tc>
          <w:tcPr>
            <w:tcW w:w="1300" w:type="dxa"/>
            <w:tcBorders>
              <w:top w:val="single" w:sz="4" w:space="0" w:color="231F20"/>
              <w:bottom w:val="single" w:sz="4" w:space="0" w:color="231F20"/>
            </w:tcBorders>
            <w:shd w:val="clear" w:color="auto" w:fill="D1D3D4"/>
          </w:tcPr>
          <w:p>
            <w:pPr>
              <w:pStyle w:val="TableParagraph"/>
              <w:tabs>
                <w:tab w:pos="969" w:val="left" w:leader="none"/>
              </w:tabs>
              <w:spacing w:before="47"/>
              <w:ind w:left="-1"/>
              <w:rPr>
                <w:sz w:val="18"/>
              </w:rPr>
            </w:pPr>
            <w:r>
              <w:rPr>
                <w:color w:val="231F20"/>
                <w:sz w:val="18"/>
              </w:rPr>
              <w:t>$</w:t>
              <w:tab/>
              <w:t>754</w:t>
            </w:r>
          </w:p>
        </w:tc>
      </w:tr>
      <w:tr>
        <w:trPr>
          <w:trHeight w:val="340" w:hRule="exact"/>
        </w:trPr>
        <w:tc>
          <w:tcPr>
            <w:tcW w:w="4820" w:type="dxa"/>
          </w:tcPr>
          <w:p>
            <w:pPr>
              <w:pStyle w:val="TableParagraph"/>
              <w:spacing w:before="82"/>
              <w:ind w:left="60"/>
              <w:rPr>
                <w:b/>
                <w:sz w:val="18"/>
              </w:rPr>
            </w:pPr>
            <w:r>
              <w:rPr>
                <w:b/>
                <w:color w:val="231F20"/>
                <w:sz w:val="18"/>
              </w:rPr>
              <w:t>NET INCOME PER SHARE, BASIC</w:t>
            </w: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3.30</w:t>
            </w:r>
          </w:p>
        </w:tc>
        <w:tc>
          <w:tcPr>
            <w:tcW w:w="100" w:type="dxa"/>
          </w:tcPr>
          <w:p>
            <w:pP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1.65</w:t>
            </w:r>
          </w:p>
        </w:tc>
        <w:tc>
          <w:tcPr>
            <w:tcW w:w="100" w:type="dxa"/>
          </w:tcPr>
          <w:p>
            <w:pPr/>
          </w:p>
        </w:tc>
        <w:tc>
          <w:tcPr>
            <w:tcW w:w="1300" w:type="dxa"/>
            <w:tcBorders>
              <w:top w:val="single" w:sz="4" w:space="0" w:color="231F20"/>
              <w:bottom w:val="double" w:sz="7" w:space="0" w:color="231F20"/>
            </w:tcBorders>
          </w:tcPr>
          <w:p>
            <w:pPr>
              <w:pStyle w:val="TableParagraph"/>
              <w:tabs>
                <w:tab w:pos="924" w:val="left" w:leader="none"/>
              </w:tabs>
              <w:spacing w:before="22"/>
              <w:ind w:left="-1"/>
              <w:rPr>
                <w:sz w:val="18"/>
              </w:rPr>
            </w:pPr>
            <w:r>
              <w:rPr>
                <w:color w:val="231F20"/>
                <w:sz w:val="18"/>
              </w:rPr>
              <w:t>$</w:t>
              <w:tab/>
              <w:t>1.06</w:t>
            </w:r>
          </w:p>
        </w:tc>
      </w:tr>
      <w:tr>
        <w:trPr>
          <w:trHeight w:val="340" w:hRule="exact"/>
        </w:trPr>
        <w:tc>
          <w:tcPr>
            <w:tcW w:w="4820" w:type="dxa"/>
            <w:shd w:val="clear" w:color="auto" w:fill="D1D3D4"/>
          </w:tcPr>
          <w:p>
            <w:pPr>
              <w:pStyle w:val="TableParagraph"/>
              <w:spacing w:before="22"/>
              <w:ind w:left="60"/>
              <w:rPr>
                <w:b/>
                <w:sz w:val="18"/>
              </w:rPr>
            </w:pPr>
            <w:r>
              <w:rPr>
                <w:b/>
                <w:color w:val="231F20"/>
                <w:sz w:val="18"/>
              </w:rPr>
              <w:t>NET INCOME PER SHARE, DILUTED</w:t>
            </w: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3.27</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1.64</w:t>
            </w:r>
          </w:p>
        </w:tc>
        <w:tc>
          <w:tcPr>
            <w:tcW w:w="100" w:type="dxa"/>
            <w:shd w:val="clear" w:color="auto" w:fill="D1D3D4"/>
          </w:tcPr>
          <w:p>
            <w:pPr/>
          </w:p>
        </w:tc>
        <w:tc>
          <w:tcPr>
            <w:tcW w:w="1300" w:type="dxa"/>
            <w:tcBorders>
              <w:top w:val="double" w:sz="7" w:space="0" w:color="231F20"/>
              <w:bottom w:val="single" w:sz="4" w:space="0" w:color="231F20"/>
            </w:tcBorders>
            <w:shd w:val="clear" w:color="auto" w:fill="D1D3D4"/>
          </w:tcPr>
          <w:p>
            <w:pPr>
              <w:pStyle w:val="TableParagraph"/>
              <w:tabs>
                <w:tab w:pos="924" w:val="left" w:leader="none"/>
              </w:tabs>
              <w:spacing w:line="204" w:lineRule="exact" w:before="0"/>
              <w:ind w:left="-1"/>
              <w:rPr>
                <w:sz w:val="18"/>
              </w:rPr>
            </w:pPr>
            <w:r>
              <w:rPr>
                <w:color w:val="231F20"/>
                <w:sz w:val="18"/>
              </w:rPr>
              <w:t>$</w:t>
              <w:tab/>
              <w:t>1.05</w:t>
            </w:r>
          </w:p>
        </w:tc>
      </w:tr>
      <w:tr>
        <w:trPr>
          <w:trHeight w:val="234" w:hRule="exact"/>
        </w:trPr>
        <w:tc>
          <w:tcPr>
            <w:tcW w:w="4820" w:type="dxa"/>
          </w:tcPr>
          <w:p>
            <w:pPr>
              <w:pStyle w:val="TableParagraph"/>
              <w:spacing w:before="82"/>
              <w:ind w:left="60"/>
              <w:rPr>
                <w:b/>
                <w:sz w:val="18"/>
              </w:rPr>
            </w:pPr>
            <w:r>
              <w:rPr>
                <w:b/>
                <w:color w:val="231F20"/>
                <w:sz w:val="18"/>
              </w:rPr>
              <w:t>Cash dividends declared per common share</w:t>
            </w: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.2850</w:t>
            </w:r>
          </w:p>
        </w:tc>
        <w:tc>
          <w:tcPr>
            <w:tcW w:w="100" w:type="dxa"/>
          </w:tcPr>
          <w:p>
            <w:pP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.2200</w:t>
            </w:r>
          </w:p>
        </w:tc>
        <w:tc>
          <w:tcPr>
            <w:tcW w:w="100" w:type="dxa"/>
          </w:tcPr>
          <w:p>
            <w:pPr/>
          </w:p>
        </w:tc>
        <w:tc>
          <w:tcPr>
            <w:tcW w:w="1300" w:type="dxa"/>
            <w:tcBorders>
              <w:top w:val="single" w:sz="4" w:space="0" w:color="231F20"/>
            </w:tcBorders>
          </w:tcPr>
          <w:p>
            <w:pPr>
              <w:pStyle w:val="TableParagraph"/>
              <w:tabs>
                <w:tab w:pos="834" w:val="left" w:leader="none"/>
              </w:tabs>
              <w:spacing w:before="22"/>
              <w:ind w:left="-1"/>
              <w:rPr>
                <w:sz w:val="18"/>
              </w:rPr>
            </w:pPr>
            <w:r>
              <w:rPr>
                <w:color w:val="231F20"/>
                <w:sz w:val="18"/>
              </w:rPr>
              <w:t>$</w:t>
              <w:tab/>
              <w:t>.1300</w:t>
            </w:r>
          </w:p>
        </w:tc>
      </w:tr>
    </w:tbl>
    <w:p>
      <w:pPr>
        <w:pStyle w:val="BodyText"/>
        <w:spacing w:before="4"/>
        <w:rPr>
          <w:b/>
          <w:sz w:val="19"/>
        </w:rPr>
      </w:pPr>
    </w:p>
    <w:p>
      <w:pPr>
        <w:spacing w:before="1"/>
        <w:ind w:left="819" w:right="0" w:firstLine="0"/>
        <w:jc w:val="left"/>
        <w:rPr>
          <w:sz w:val="18"/>
        </w:rPr>
      </w:pPr>
      <w:r>
        <w:rPr/>
        <w:pict>
          <v:line style="position:absolute;mso-position-horizontal-relative:page;mso-position-vertical-relative:paragraph;z-index:-391888" from="310pt,-115.79776pt" to="375pt,-115.79776pt" stroked="true" strokeweight=".5pt" strokecolor="#231f20">
            <v:stroke dashstyle="solid"/>
            <w10:wrap type="none"/>
          </v:line>
        </w:pict>
      </w:r>
      <w:r>
        <w:rPr/>
        <w:pict>
          <v:line style="position:absolute;mso-position-horizontal-relative:page;mso-position-vertical-relative:paragraph;z-index:-391864" from="385pt,-115.79776pt" to="450pt,-115.79776pt" stroked="true" strokeweight=".5pt" strokecolor="#231f20">
            <v:stroke dashstyle="solid"/>
            <w10:wrap type="none"/>
          </v:line>
        </w:pict>
      </w:r>
      <w:r>
        <w:rPr/>
        <w:pict>
          <v:line style="position:absolute;mso-position-horizontal-relative:page;mso-position-vertical-relative:paragraph;z-index:-391840" from="460pt,-115.79776pt" to="525pt,-115.79776pt" stroked="true" strokeweight=".5pt" strokecolor="#231f20">
            <v:stroke dashstyle="solid"/>
            <w10:wrap type="none"/>
          </v:line>
        </w:pict>
      </w:r>
      <w:r>
        <w:rPr/>
        <w:pict>
          <v:line style="position:absolute;mso-position-horizontal-relative:page;mso-position-vertical-relative:paragraph;z-index:-391816" from="310pt,-58.797764pt" to="375pt,-58.797764pt" stroked="true" strokeweight=".5pt" strokecolor="#231f20">
            <v:stroke dashstyle="solid"/>
            <w10:wrap type="none"/>
          </v:line>
        </w:pict>
      </w:r>
      <w:r>
        <w:rPr/>
        <w:pict>
          <v:line style="position:absolute;mso-position-horizontal-relative:page;mso-position-vertical-relative:paragraph;z-index:-391792" from="385pt,-58.797764pt" to="450pt,-58.797764pt" stroked="true" strokeweight=".5pt" strokecolor="#231f20">
            <v:stroke dashstyle="solid"/>
            <w10:wrap type="none"/>
          </v:line>
        </w:pict>
      </w:r>
      <w:r>
        <w:rPr/>
        <w:pict>
          <v:line style="position:absolute;mso-position-horizontal-relative:page;mso-position-vertical-relative:paragraph;z-index:-391768" from="310pt,-41.797764pt" to="375pt,-41.797764pt" stroked="true" strokeweight=".5pt" strokecolor="#231f20">
            <v:stroke dashstyle="solid"/>
            <w10:wrap type="none"/>
          </v:line>
        </w:pict>
      </w:r>
      <w:r>
        <w:rPr/>
        <w:pict>
          <v:line style="position:absolute;mso-position-horizontal-relative:page;mso-position-vertical-relative:paragraph;z-index:-391744" from="385pt,-41.797764pt" to="450pt,-41.797764pt" stroked="true" strokeweight=".5pt" strokecolor="#231f20">
            <v:stroke dashstyle="solid"/>
            <w10:wrap type="none"/>
          </v:line>
        </w:pict>
      </w:r>
      <w:r>
        <w:rPr/>
        <w:pict>
          <v:line style="position:absolute;mso-position-horizontal-relative:page;mso-position-vertical-relative:paragraph;z-index:-391720" from="310pt,-24.797764pt" to="375pt,-24.797764pt" stroked="true" strokeweight=".5pt" strokecolor="#231f20">
            <v:stroke dashstyle="solid"/>
            <w10:wrap type="none"/>
          </v:line>
        </w:pict>
      </w:r>
      <w:r>
        <w:rPr/>
        <w:pict>
          <v:line style="position:absolute;mso-position-horizontal-relative:page;mso-position-vertical-relative:paragraph;z-index:-391696" from="385pt,-24.797764pt" to="450pt,-24.797764pt" stroked="true" strokeweight=".5pt" strokecolor="#231f20">
            <v:stroke dashstyle="solid"/>
            <w10:wrap type="none"/>
          </v:line>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60" w:right="179" w:firstLine="0"/>
        <w:jc w:val="center"/>
        <w:rPr>
          <w:b/>
          <w:sz w:val="18"/>
        </w:rPr>
      </w:pPr>
      <w:r>
        <w:rPr>
          <w:b/>
          <w:color w:val="231F20"/>
          <w:sz w:val="18"/>
        </w:rPr>
        <w:t>Southwest Airlines Co.</w:t>
      </w:r>
    </w:p>
    <w:p>
      <w:pPr>
        <w:spacing w:before="13"/>
        <w:ind w:left="160" w:right="178" w:firstLine="0"/>
        <w:jc w:val="center"/>
        <w:rPr>
          <w:b/>
          <w:sz w:val="18"/>
        </w:rPr>
      </w:pPr>
      <w:bookmarkStart w:name="Southwest Airlines Co. Consolidated Stat" w:id="19"/>
      <w:bookmarkEnd w:id="19"/>
      <w:r>
        <w:rPr/>
      </w:r>
      <w:r>
        <w:rPr>
          <w:b/>
          <w:color w:val="231F20"/>
          <w:sz w:val="18"/>
        </w:rPr>
        <w:t>Consolidated Statement of Comprehensive Income</w:t>
      </w:r>
    </w:p>
    <w:p>
      <w:pPr>
        <w:spacing w:before="13"/>
        <w:ind w:left="160" w:right="178" w:firstLine="0"/>
        <w:jc w:val="center"/>
        <w:rPr>
          <w:sz w:val="18"/>
        </w:rPr>
      </w:pPr>
      <w:r>
        <w:rPr>
          <w:color w:val="231F20"/>
          <w:sz w:val="18"/>
        </w:rPr>
        <w:t>(in millions)</w:t>
      </w:r>
    </w:p>
    <w:p>
      <w:pPr>
        <w:pStyle w:val="BodyText"/>
        <w:rPr>
          <w:sz w:val="20"/>
        </w:rPr>
      </w:pPr>
    </w:p>
    <w:p>
      <w:pPr>
        <w:pStyle w:val="BodyText"/>
        <w:spacing w:before="10"/>
      </w:pPr>
    </w:p>
    <w:p>
      <w:pPr>
        <w:spacing w:before="0"/>
        <w:ind w:left="5930" w:right="0" w:firstLine="0"/>
        <w:jc w:val="left"/>
        <w:rPr>
          <w:b/>
          <w:sz w:val="18"/>
        </w:rPr>
      </w:pPr>
      <w:r>
        <w:rPr/>
        <w:pict>
          <v:shape style="position:absolute;margin-left:292.500092pt;margin-top:11.902466pt;width:232.5pt;height:46pt;mso-position-horizontal-relative:page;mso-position-vertical-relative:paragraph;z-index:39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7"/>
                    <w:gridCol w:w="532"/>
                    <w:gridCol w:w="1038"/>
                    <w:gridCol w:w="938"/>
                    <w:gridCol w:w="730"/>
                    <w:gridCol w:w="455"/>
                  </w:tblGrid>
                  <w:tr>
                    <w:trPr>
                      <w:trHeight w:val="300" w:hRule="exact"/>
                    </w:trPr>
                    <w:tc>
                      <w:tcPr>
                        <w:tcW w:w="957" w:type="dxa"/>
                        <w:tcBorders>
                          <w:top w:val="single" w:sz="8" w:space="0" w:color="231F20"/>
                          <w:bottom w:val="single" w:sz="8" w:space="0" w:color="231F20"/>
                        </w:tcBorders>
                      </w:tcPr>
                      <w:p>
                        <w:pPr>
                          <w:pStyle w:val="TableParagraph"/>
                          <w:spacing w:before="52"/>
                          <w:ind w:left="569"/>
                          <w:rPr>
                            <w:b/>
                            <w:sz w:val="18"/>
                          </w:rPr>
                        </w:pPr>
                        <w:r>
                          <w:rPr>
                            <w:b/>
                            <w:color w:val="231F20"/>
                            <w:sz w:val="18"/>
                          </w:rPr>
                          <w:t>2015</w:t>
                        </w:r>
                      </w:p>
                    </w:tc>
                    <w:tc>
                      <w:tcPr>
                        <w:tcW w:w="532" w:type="dxa"/>
                        <w:tcBorders>
                          <w:top w:val="single" w:sz="8" w:space="0" w:color="231F20"/>
                          <w:bottom w:val="single" w:sz="8" w:space="0" w:color="231F20"/>
                        </w:tcBorders>
                      </w:tcPr>
                      <w:p>
                        <w:pPr/>
                      </w:p>
                    </w:tc>
                    <w:tc>
                      <w:tcPr>
                        <w:tcW w:w="1038" w:type="dxa"/>
                        <w:tcBorders>
                          <w:top w:val="single" w:sz="8" w:space="0" w:color="231F20"/>
                          <w:bottom w:val="single" w:sz="8" w:space="0" w:color="231F20"/>
                        </w:tcBorders>
                      </w:tcPr>
                      <w:p>
                        <w:pPr>
                          <w:pStyle w:val="TableParagraph"/>
                          <w:spacing w:before="52"/>
                          <w:ind w:left="620"/>
                          <w:rPr>
                            <w:b/>
                            <w:sz w:val="18"/>
                          </w:rPr>
                        </w:pPr>
                        <w:r>
                          <w:rPr>
                            <w:b/>
                            <w:color w:val="231F20"/>
                            <w:sz w:val="18"/>
                          </w:rPr>
                          <w:t>2014</w:t>
                        </w:r>
                      </w:p>
                    </w:tc>
                    <w:tc>
                      <w:tcPr>
                        <w:tcW w:w="938" w:type="dxa"/>
                        <w:tcBorders>
                          <w:top w:val="single" w:sz="8" w:space="0" w:color="231F20"/>
                          <w:bottom w:val="single" w:sz="8" w:space="0" w:color="231F20"/>
                        </w:tcBorders>
                      </w:tcPr>
                      <w:p>
                        <w:pPr/>
                      </w:p>
                    </w:tc>
                    <w:tc>
                      <w:tcPr>
                        <w:tcW w:w="730" w:type="dxa"/>
                        <w:tcBorders>
                          <w:top w:val="single" w:sz="8" w:space="0" w:color="231F20"/>
                          <w:bottom w:val="single" w:sz="8" w:space="0" w:color="231F20"/>
                        </w:tcBorders>
                      </w:tcPr>
                      <w:p>
                        <w:pPr>
                          <w:pStyle w:val="TableParagraph"/>
                          <w:spacing w:before="52"/>
                          <w:ind w:left="244"/>
                          <w:rPr>
                            <w:b/>
                            <w:sz w:val="18"/>
                          </w:rPr>
                        </w:pPr>
                        <w:r>
                          <w:rPr>
                            <w:b/>
                            <w:color w:val="231F20"/>
                            <w:sz w:val="18"/>
                          </w:rPr>
                          <w:t>2013</w:t>
                        </w:r>
                      </w:p>
                    </w:tc>
                    <w:tc>
                      <w:tcPr>
                        <w:tcW w:w="455" w:type="dxa"/>
                        <w:tcBorders>
                          <w:top w:val="single" w:sz="8" w:space="0" w:color="231F20"/>
                          <w:bottom w:val="single" w:sz="8" w:space="0" w:color="231F20"/>
                        </w:tcBorders>
                      </w:tcPr>
                      <w:p>
                        <w:pPr/>
                      </w:p>
                    </w:tc>
                  </w:tr>
                  <w:tr>
                    <w:trPr>
                      <w:trHeight w:val="270" w:hRule="exact"/>
                    </w:trPr>
                    <w:tc>
                      <w:tcPr>
                        <w:tcW w:w="957" w:type="dxa"/>
                        <w:tcBorders>
                          <w:top w:val="single" w:sz="8" w:space="0" w:color="231F20"/>
                        </w:tcBorders>
                        <w:shd w:val="clear" w:color="auto" w:fill="D1D3D4"/>
                      </w:tcPr>
                      <w:p>
                        <w:pPr>
                          <w:pStyle w:val="TableParagraph"/>
                          <w:spacing w:before="32"/>
                          <w:ind w:left="50"/>
                          <w:rPr>
                            <w:sz w:val="18"/>
                          </w:rPr>
                        </w:pPr>
                        <w:r>
                          <w:rPr>
                            <w:color w:val="231F20"/>
                            <w:sz w:val="18"/>
                          </w:rPr>
                          <w:t>$</w:t>
                        </w:r>
                      </w:p>
                    </w:tc>
                    <w:tc>
                      <w:tcPr>
                        <w:tcW w:w="532" w:type="dxa"/>
                        <w:tcBorders>
                          <w:top w:val="single" w:sz="8" w:space="0" w:color="231F20"/>
                        </w:tcBorders>
                        <w:shd w:val="clear" w:color="auto" w:fill="D1D3D4"/>
                      </w:tcPr>
                      <w:p>
                        <w:pPr>
                          <w:pStyle w:val="TableParagraph"/>
                          <w:spacing w:before="32"/>
                          <w:ind w:left="27"/>
                          <w:rPr>
                            <w:sz w:val="18"/>
                          </w:rPr>
                        </w:pPr>
                        <w:r>
                          <w:rPr>
                            <w:color w:val="231F20"/>
                            <w:sz w:val="18"/>
                          </w:rPr>
                          <w:t>2,181</w:t>
                        </w:r>
                      </w:p>
                    </w:tc>
                    <w:tc>
                      <w:tcPr>
                        <w:tcW w:w="1038" w:type="dxa"/>
                        <w:tcBorders>
                          <w:top w:val="single" w:sz="8" w:space="0" w:color="231F20"/>
                        </w:tcBorders>
                        <w:shd w:val="clear" w:color="auto" w:fill="D1D3D4"/>
                      </w:tcPr>
                      <w:p>
                        <w:pPr>
                          <w:pStyle w:val="TableParagraph"/>
                          <w:spacing w:before="32"/>
                          <w:ind w:left="40"/>
                          <w:rPr>
                            <w:sz w:val="18"/>
                          </w:rPr>
                        </w:pPr>
                        <w:r>
                          <w:rPr>
                            <w:color w:val="231F20"/>
                            <w:sz w:val="18"/>
                          </w:rPr>
                          <w:t>$</w:t>
                        </w:r>
                      </w:p>
                    </w:tc>
                    <w:tc>
                      <w:tcPr>
                        <w:tcW w:w="938" w:type="dxa"/>
                        <w:tcBorders>
                          <w:top w:val="single" w:sz="8" w:space="0" w:color="231F20"/>
                        </w:tcBorders>
                        <w:shd w:val="clear" w:color="auto" w:fill="D1D3D4"/>
                      </w:tcPr>
                      <w:p>
                        <w:pPr>
                          <w:pStyle w:val="TableParagraph"/>
                          <w:spacing w:before="32"/>
                          <w:ind w:left="57"/>
                          <w:rPr>
                            <w:sz w:val="18"/>
                          </w:rPr>
                        </w:pPr>
                        <w:r>
                          <w:rPr>
                            <w:color w:val="231F20"/>
                            <w:sz w:val="18"/>
                          </w:rPr>
                          <w:t>1,136   $</w:t>
                        </w:r>
                      </w:p>
                    </w:tc>
                    <w:tc>
                      <w:tcPr>
                        <w:tcW w:w="730" w:type="dxa"/>
                        <w:tcBorders>
                          <w:top w:val="single" w:sz="8" w:space="0" w:color="231F20"/>
                        </w:tcBorders>
                        <w:shd w:val="clear" w:color="auto" w:fill="D1D3D4"/>
                      </w:tcPr>
                      <w:p>
                        <w:pPr/>
                      </w:p>
                    </w:tc>
                    <w:tc>
                      <w:tcPr>
                        <w:tcW w:w="455" w:type="dxa"/>
                        <w:tcBorders>
                          <w:top w:val="single" w:sz="8" w:space="0" w:color="231F20"/>
                        </w:tcBorders>
                        <w:shd w:val="clear" w:color="auto" w:fill="D1D3D4"/>
                      </w:tcPr>
                      <w:p>
                        <w:pPr>
                          <w:pStyle w:val="TableParagraph"/>
                          <w:spacing w:before="32"/>
                          <w:ind w:right="59"/>
                          <w:jc w:val="right"/>
                          <w:rPr>
                            <w:sz w:val="18"/>
                          </w:rPr>
                        </w:pPr>
                        <w:r>
                          <w:rPr>
                            <w:color w:val="231F20"/>
                            <w:sz w:val="18"/>
                          </w:rPr>
                          <w:t>754</w:t>
                        </w:r>
                      </w:p>
                    </w:tc>
                  </w:tr>
                  <w:tr>
                    <w:trPr>
                      <w:trHeight w:val="349" w:hRule="exact"/>
                    </w:trPr>
                    <w:tc>
                      <w:tcPr>
                        <w:tcW w:w="957" w:type="dxa"/>
                      </w:tcPr>
                      <w:p>
                        <w:pPr/>
                      </w:p>
                    </w:tc>
                    <w:tc>
                      <w:tcPr>
                        <w:tcW w:w="532" w:type="dxa"/>
                      </w:tcPr>
                      <w:p>
                        <w:pPr>
                          <w:pStyle w:val="TableParagraph"/>
                          <w:spacing w:before="142"/>
                          <w:ind w:left="102"/>
                          <w:rPr>
                            <w:sz w:val="18"/>
                          </w:rPr>
                        </w:pPr>
                        <w:r>
                          <w:rPr>
                            <w:color w:val="231F20"/>
                            <w:sz w:val="18"/>
                          </w:rPr>
                          <w:t>(308)</w:t>
                        </w:r>
                      </w:p>
                    </w:tc>
                    <w:tc>
                      <w:tcPr>
                        <w:tcW w:w="1038" w:type="dxa"/>
                      </w:tcPr>
                      <w:p>
                        <w:pPr/>
                      </w:p>
                    </w:tc>
                    <w:tc>
                      <w:tcPr>
                        <w:tcW w:w="938" w:type="dxa"/>
                      </w:tcPr>
                      <w:p>
                        <w:pPr>
                          <w:pStyle w:val="TableParagraph"/>
                          <w:spacing w:before="142"/>
                          <w:ind w:left="132"/>
                          <w:rPr>
                            <w:sz w:val="18"/>
                          </w:rPr>
                        </w:pPr>
                        <w:r>
                          <w:rPr>
                            <w:color w:val="231F20"/>
                            <w:sz w:val="18"/>
                          </w:rPr>
                          <w:t>(727)</w:t>
                        </w:r>
                      </w:p>
                    </w:tc>
                    <w:tc>
                      <w:tcPr>
                        <w:tcW w:w="730" w:type="dxa"/>
                      </w:tcPr>
                      <w:p>
                        <w:pPr/>
                      </w:p>
                    </w:tc>
                    <w:tc>
                      <w:tcPr>
                        <w:tcW w:w="455" w:type="dxa"/>
                      </w:tcPr>
                      <w:p>
                        <w:pPr>
                          <w:pStyle w:val="TableParagraph"/>
                          <w:spacing w:before="142"/>
                          <w:ind w:right="59"/>
                          <w:jc w:val="right"/>
                          <w:rPr>
                            <w:sz w:val="18"/>
                          </w:rPr>
                        </w:pPr>
                        <w:r>
                          <w:rPr>
                            <w:color w:val="231F20"/>
                            <w:sz w:val="18"/>
                          </w:rPr>
                          <w:t>52</w:t>
                        </w:r>
                      </w:p>
                    </w:tc>
                  </w:tr>
                </w:tbl>
                <w:p>
                  <w:pPr>
                    <w:pStyle w:val="BodyText"/>
                  </w:pPr>
                </w:p>
              </w:txbxContent>
            </v:textbox>
            <w10:wrap type="none"/>
          </v:shape>
        </w:pict>
      </w:r>
      <w:r>
        <w:rPr>
          <w:b/>
          <w:color w:val="231F20"/>
          <w:sz w:val="18"/>
        </w:rPr>
        <w:t>Year ended December 31,</w:t>
      </w:r>
    </w:p>
    <w:p>
      <w:pPr>
        <w:pStyle w:val="BodyText"/>
        <w:spacing w:before="7"/>
        <w:rPr>
          <w:b/>
          <w:sz w:val="29"/>
        </w:rPr>
      </w:pPr>
    </w:p>
    <w:p>
      <w:pPr>
        <w:pStyle w:val="BodyText"/>
        <w:ind w:left="100"/>
        <w:rPr>
          <w:sz w:val="20"/>
        </w:rPr>
      </w:pPr>
      <w:r>
        <w:rPr>
          <w:sz w:val="20"/>
        </w:rPr>
        <w:pict>
          <v:group style="width:456pt;height:13pt;mso-position-horizontal-relative:char;mso-position-vertical-relative:line" coordorigin="0,0" coordsize="9120,260">
            <v:rect style="position:absolute;left:0;top:0;width:9120;height:260" filled="true" fillcolor="#d1d3d4" stroked="false">
              <v:fill type="solid"/>
            </v:rect>
            <v:shape style="position:absolute;left:0;top:0;width:9120;height:260" type="#_x0000_t202" filled="false" stroked="false">
              <v:textbox inset="0,0,0,0">
                <w:txbxContent>
                  <w:p>
                    <w:pPr>
                      <w:spacing w:before="32"/>
                      <w:ind w:left="60" w:right="0" w:firstLine="0"/>
                      <w:jc w:val="left"/>
                      <w:rPr>
                        <w:b/>
                        <w:sz w:val="18"/>
                      </w:rPr>
                    </w:pPr>
                    <w:r>
                      <w:rPr>
                        <w:b/>
                        <w:color w:val="231F20"/>
                        <w:sz w:val="18"/>
                      </w:rPr>
                      <w:t>NET INCOME</w:t>
                    </w:r>
                  </w:p>
                </w:txbxContent>
              </v:textbox>
              <w10:wrap type="none"/>
            </v:shape>
          </v:group>
        </w:pict>
      </w:r>
      <w:r>
        <w:rPr>
          <w:sz w:val="20"/>
        </w:rPr>
      </w:r>
    </w:p>
    <w:p>
      <w:pPr>
        <w:spacing w:after="0"/>
        <w:rPr>
          <w:sz w:val="20"/>
        </w:rPr>
        <w:sectPr>
          <w:pgSz w:w="11880" w:h="15480"/>
          <w:pgMar w:header="0" w:footer="1240" w:top="1240" w:bottom="1420" w:left="1280" w:right="1260"/>
        </w:sectPr>
      </w:pPr>
    </w:p>
    <w:p>
      <w:pPr>
        <w:spacing w:line="254" w:lineRule="auto" w:before="0"/>
        <w:ind w:left="520" w:right="191" w:hanging="180"/>
        <w:jc w:val="left"/>
        <w:rPr>
          <w:sz w:val="18"/>
        </w:rPr>
      </w:pPr>
      <w:r>
        <w:rPr/>
        <w:pict>
          <v:rect style="position:absolute;margin-left:69pt;margin-top:22.402771pt;width:456pt;height:24pt;mso-position-horizontal-relative:page;mso-position-vertical-relative:paragraph;z-index:-391624" filled="true" fillcolor="#d1d3d4" stroked="false">
            <v:fill type="solid"/>
            <w10:wrap type="none"/>
          </v:rect>
        </w:pict>
      </w:r>
      <w:r>
        <w:rPr>
          <w:color w:val="231F20"/>
          <w:sz w:val="18"/>
        </w:rPr>
        <w:t>Unrealized gain (loss) on fuel derivative instruments, net of deferred taxes of ($181), ($430), and $31</w:t>
      </w:r>
    </w:p>
    <w:p>
      <w:pPr>
        <w:spacing w:line="254" w:lineRule="auto" w:before="44"/>
        <w:ind w:left="520" w:right="71" w:hanging="180"/>
        <w:jc w:val="left"/>
        <w:rPr>
          <w:sz w:val="18"/>
        </w:rPr>
      </w:pPr>
      <w:r>
        <w:rPr>
          <w:color w:val="231F20"/>
          <w:sz w:val="18"/>
        </w:rPr>
        <w:t>Unrealized gain on interest rate derivative instruments, net of deferred taxes of $6, $5, and $19</w:t>
      </w:r>
    </w:p>
    <w:p>
      <w:pPr>
        <w:spacing w:line="254" w:lineRule="auto" w:before="41"/>
        <w:ind w:left="520" w:right="-19" w:hanging="180"/>
        <w:jc w:val="left"/>
        <w:rPr>
          <w:sz w:val="18"/>
        </w:rPr>
      </w:pPr>
      <w:r>
        <w:rPr>
          <w:color w:val="231F20"/>
          <w:sz w:val="18"/>
        </w:rPr>
        <w:t>Unrealized gain (loss) on defined benefit plan items, net</w:t>
      </w:r>
      <w:r>
        <w:rPr>
          <w:color w:val="231F20"/>
          <w:w w:val="100"/>
          <w:sz w:val="18"/>
        </w:rPr>
        <w:t> </w:t>
      </w:r>
      <w:r>
        <w:rPr>
          <w:color w:val="231F20"/>
          <w:sz w:val="18"/>
        </w:rPr>
        <w:t>of deferred taxes of ($7), ($8), and $15</w:t>
      </w:r>
    </w:p>
    <w:p>
      <w:pPr>
        <w:pStyle w:val="BodyText"/>
        <w:rPr>
          <w:sz w:val="20"/>
        </w:rPr>
      </w:pPr>
      <w:r>
        <w:rPr/>
        <w:br w:type="column"/>
      </w:r>
      <w:r>
        <w:rPr>
          <w:sz w:val="20"/>
        </w:rPr>
      </w:r>
    </w:p>
    <w:p>
      <w:pPr>
        <w:pStyle w:val="BodyText"/>
        <w:rPr>
          <w:sz w:val="20"/>
        </w:rPr>
      </w:pPr>
    </w:p>
    <w:p>
      <w:pPr>
        <w:tabs>
          <w:tab w:pos="1909" w:val="left" w:leader="none"/>
          <w:tab w:pos="3419" w:val="left" w:leader="none"/>
        </w:tabs>
        <w:spacing w:before="127"/>
        <w:ind w:left="309" w:right="0" w:firstLine="0"/>
        <w:jc w:val="center"/>
        <w:rPr>
          <w:sz w:val="18"/>
        </w:rPr>
      </w:pPr>
      <w:r>
        <w:rPr>
          <w:color w:val="231F20"/>
          <w:sz w:val="18"/>
        </w:rPr>
        <w:t>9</w:t>
        <w:tab/>
        <w:t>8</w:t>
        <w:tab/>
        <w:t>31</w:t>
      </w:r>
    </w:p>
    <w:p>
      <w:pPr>
        <w:pStyle w:val="BodyText"/>
        <w:spacing w:before="8"/>
        <w:rPr>
          <w:sz w:val="23"/>
        </w:rPr>
      </w:pPr>
    </w:p>
    <w:p>
      <w:pPr>
        <w:tabs>
          <w:tab w:pos="1759" w:val="left" w:leader="none"/>
          <w:tab w:pos="3419" w:val="left" w:leader="none"/>
        </w:tabs>
        <w:spacing w:before="0"/>
        <w:ind w:left="160" w:right="0" w:firstLine="0"/>
        <w:jc w:val="center"/>
        <w:rPr>
          <w:sz w:val="18"/>
        </w:rPr>
      </w:pPr>
      <w:r>
        <w:rPr>
          <w:color w:val="231F20"/>
          <w:sz w:val="18"/>
        </w:rPr>
        <w:t>(12)</w:t>
        <w:tab/>
        <w:t>(16)</w:t>
        <w:tab/>
        <w:t>24</w:t>
      </w:r>
    </w:p>
    <w:p>
      <w:pPr>
        <w:spacing w:after="0"/>
        <w:jc w:val="center"/>
        <w:rPr>
          <w:sz w:val="18"/>
        </w:rPr>
        <w:sectPr>
          <w:type w:val="continuous"/>
          <w:pgSz w:w="11880" w:h="15480"/>
          <w:pgMar w:top="1260" w:bottom="280" w:left="1280" w:right="1260"/>
          <w:cols w:num="2" w:equalWidth="0">
            <w:col w:w="4385" w:space="995"/>
            <w:col w:w="3960"/>
          </w:cols>
        </w:sectPr>
      </w:pPr>
    </w:p>
    <w:p>
      <w:pPr>
        <w:tabs>
          <w:tab w:pos="5809" w:val="left" w:leader="none"/>
          <w:tab w:pos="7379" w:val="left" w:leader="none"/>
          <w:tab w:pos="9159" w:val="right" w:leader="none"/>
        </w:tabs>
        <w:spacing w:before="41"/>
        <w:ind w:left="340" w:right="0" w:firstLine="0"/>
        <w:jc w:val="left"/>
        <w:rPr>
          <w:sz w:val="18"/>
        </w:rPr>
      </w:pPr>
      <w:r>
        <w:rPr/>
        <w:pict>
          <v:group style="position:absolute;margin-left:69pt;margin-top:.452771pt;width:456.25pt;height:14pt;mso-position-horizontal-relative:page;mso-position-vertical-relative:paragraph;z-index:-391600" coordorigin="1380,9" coordsize="9125,280">
            <v:rect style="position:absolute;left:1380;top:9;width:9120;height:260" filled="true" fillcolor="#d1d3d4" stroked="false">
              <v:fill type="solid"/>
            </v:rect>
            <v:line style="position:absolute" from="5900,284" to="7300,284" stroked="true" strokeweight=".5pt" strokecolor="#231f20">
              <v:stroke dashstyle="solid"/>
            </v:line>
            <v:line style="position:absolute" from="7380,284" to="8900,284" stroked="true" strokeweight=".5pt" strokecolor="#231f20">
              <v:stroke dashstyle="solid"/>
            </v:line>
            <v:line style="position:absolute" from="8980,284" to="10500,284" stroked="true" strokeweight=".5pt" strokecolor="#231f20">
              <v:stroke dashstyle="solid"/>
            </v:line>
            <w10:wrap type="none"/>
          </v:group>
        </w:pict>
      </w:r>
      <w:r>
        <w:rPr>
          <w:color w:val="231F20"/>
          <w:sz w:val="18"/>
        </w:rPr>
        <w:t>Other, net of deferred taxes of $-, $-, and $7</w:t>
        <w:tab/>
        <w:t>(2)</w:t>
        <w:tab/>
        <w:t>—</w:t>
        <w:tab/>
        <w:t>9</w:t>
      </w:r>
    </w:p>
    <w:p>
      <w:pPr>
        <w:tabs>
          <w:tab w:pos="4619" w:val="left" w:leader="none"/>
          <w:tab w:pos="5629" w:val="left" w:leader="none"/>
          <w:tab w:pos="7229" w:val="left" w:leader="none"/>
          <w:tab w:pos="9159" w:val="right" w:leader="none"/>
        </w:tabs>
        <w:spacing w:before="73"/>
        <w:ind w:left="160" w:right="0" w:firstLine="0"/>
        <w:jc w:val="left"/>
        <w:rPr>
          <w:sz w:val="18"/>
        </w:rPr>
      </w:pPr>
      <w:r>
        <w:rPr/>
        <w:pict>
          <v:group style="position:absolute;margin-left:69pt;margin-top:15.552343pt;width:456.25pt;height:16.5pt;mso-position-horizontal-relative:page;mso-position-vertical-relative:paragraph;z-index:-391576" coordorigin="1380,311" coordsize="9125,330">
            <v:rect style="position:absolute;left:1380;top:321;width:9120;height:260" filled="true" fillcolor="#d1d3d4" stroked="false">
              <v:fill type="solid"/>
            </v:rect>
            <v:line style="position:absolute" from="5900,316" to="7300,316" stroked="true" strokeweight=".5pt" strokecolor="#231f20">
              <v:stroke dashstyle="solid"/>
            </v:line>
            <v:line style="position:absolute" from="7380,316" to="8900,316" stroked="true" strokeweight=".5pt" strokecolor="#231f20">
              <v:stroke dashstyle="solid"/>
            </v:line>
            <v:line style="position:absolute" from="8980,316" to="10500,316" stroked="true" strokeweight=".5pt" strokecolor="#231f20">
              <v:stroke dashstyle="solid"/>
            </v:line>
            <v:line style="position:absolute" from="5900,596" to="7300,596" stroked="true" strokeweight=".5pt" strokecolor="#231f20">
              <v:stroke dashstyle="solid"/>
            </v:line>
            <v:line style="position:absolute" from="5900,636" to="7300,636" stroked="true" strokeweight=".5pt" strokecolor="#231f20">
              <v:stroke dashstyle="solid"/>
            </v:line>
            <v:line style="position:absolute" from="7380,596" to="8900,596" stroked="true" strokeweight=".5pt" strokecolor="#231f20">
              <v:stroke dashstyle="solid"/>
            </v:line>
            <v:line style="position:absolute" from="7380,636" to="8900,636" stroked="true" strokeweight=".5pt" strokecolor="#231f20">
              <v:stroke dashstyle="solid"/>
            </v:line>
            <v:line style="position:absolute" from="8980,596" to="10500,596" stroked="true" strokeweight=".5pt" strokecolor="#231f20">
              <v:stroke dashstyle="solid"/>
            </v:line>
            <v:line style="position:absolute" from="8980,636" to="10500,636" stroked="true" strokeweight=".5pt" strokecolor="#231f20">
              <v:stroke dashstyle="solid"/>
            </v:line>
            <w10:wrap type="none"/>
          </v:group>
        </w:pict>
      </w:r>
      <w:r>
        <w:rPr>
          <w:b/>
          <w:color w:val="231F20"/>
          <w:sz w:val="18"/>
        </w:rPr>
        <w:t>OTHER COMPREHENSIVE</w:t>
      </w:r>
      <w:r>
        <w:rPr>
          <w:b/>
          <w:color w:val="231F20"/>
          <w:spacing w:val="-2"/>
          <w:sz w:val="18"/>
        </w:rPr>
        <w:t> </w:t>
      </w:r>
      <w:r>
        <w:rPr>
          <w:b/>
          <w:color w:val="231F20"/>
          <w:sz w:val="18"/>
        </w:rPr>
        <w:t>INCOME (LOSS)</w:t>
        <w:tab/>
      </w:r>
      <w:r>
        <w:rPr>
          <w:color w:val="231F20"/>
          <w:sz w:val="18"/>
        </w:rPr>
        <w:t>$</w:t>
        <w:tab/>
        <w:t>(313)</w:t>
      </w:r>
      <w:r>
        <w:rPr>
          <w:color w:val="231F20"/>
          <w:spacing w:val="35"/>
          <w:sz w:val="18"/>
        </w:rPr>
        <w:t> </w:t>
      </w:r>
      <w:r>
        <w:rPr>
          <w:color w:val="231F20"/>
          <w:sz w:val="18"/>
        </w:rPr>
        <w:t>$</w:t>
        <w:tab/>
        <w:t>(735)</w:t>
      </w:r>
      <w:r>
        <w:rPr>
          <w:color w:val="231F20"/>
          <w:spacing w:val="35"/>
          <w:sz w:val="18"/>
        </w:rPr>
        <w:t> </w:t>
      </w:r>
      <w:r>
        <w:rPr>
          <w:color w:val="231F20"/>
          <w:sz w:val="18"/>
        </w:rPr>
        <w:t>$</w:t>
        <w:tab/>
        <w:t>116</w:t>
      </w:r>
    </w:p>
    <w:p>
      <w:pPr>
        <w:tabs>
          <w:tab w:pos="4619" w:val="left" w:leader="none"/>
          <w:tab w:pos="5554" w:val="left" w:leader="none"/>
          <w:tab w:pos="7289" w:val="left" w:leader="none"/>
          <w:tab w:pos="9159" w:val="right" w:leader="none"/>
        </w:tabs>
        <w:spacing w:before="73"/>
        <w:ind w:left="160" w:right="0" w:firstLine="0"/>
        <w:jc w:val="left"/>
        <w:rPr>
          <w:sz w:val="18"/>
        </w:rPr>
      </w:pPr>
      <w:r>
        <w:rPr>
          <w:b/>
          <w:color w:val="231F20"/>
          <w:sz w:val="18"/>
        </w:rPr>
        <w:t>COMPREHENSIVE</w:t>
      </w:r>
      <w:r>
        <w:rPr>
          <w:b/>
          <w:color w:val="231F20"/>
          <w:spacing w:val="-2"/>
          <w:sz w:val="18"/>
        </w:rPr>
        <w:t> </w:t>
      </w:r>
      <w:r>
        <w:rPr>
          <w:b/>
          <w:color w:val="231F20"/>
          <w:sz w:val="18"/>
        </w:rPr>
        <w:t>INCOME</w:t>
        <w:tab/>
      </w:r>
      <w:r>
        <w:rPr>
          <w:color w:val="231F20"/>
          <w:sz w:val="18"/>
        </w:rPr>
        <w:t>$</w:t>
        <w:tab/>
        <w:t>1,868  </w:t>
      </w:r>
      <w:r>
        <w:rPr>
          <w:color w:val="231F20"/>
          <w:spacing w:val="5"/>
          <w:sz w:val="18"/>
        </w:rPr>
        <w:t> </w:t>
      </w:r>
      <w:r>
        <w:rPr>
          <w:color w:val="231F20"/>
          <w:sz w:val="18"/>
        </w:rPr>
        <w:t>$</w:t>
        <w:tab/>
        <w:t>401  </w:t>
      </w:r>
      <w:r>
        <w:rPr>
          <w:color w:val="231F20"/>
          <w:spacing w:val="5"/>
          <w:sz w:val="18"/>
        </w:rPr>
        <w:t> </w:t>
      </w:r>
      <w:r>
        <w:rPr>
          <w:color w:val="231F20"/>
          <w:sz w:val="18"/>
        </w:rPr>
        <w:t>$</w:t>
        <w:tab/>
        <w:t>870</w:t>
      </w:r>
    </w:p>
    <w:p>
      <w:pPr>
        <w:spacing w:before="253"/>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spacing w:before="72"/>
        <w:ind w:left="94" w:right="95" w:firstLine="0"/>
        <w:jc w:val="center"/>
        <w:rPr>
          <w:b/>
          <w:sz w:val="18"/>
        </w:rPr>
      </w:pPr>
      <w:r>
        <w:rPr>
          <w:b/>
          <w:color w:val="231F20"/>
          <w:sz w:val="18"/>
        </w:rPr>
        <w:t>Southwest Airlines Co.</w:t>
      </w:r>
    </w:p>
    <w:p>
      <w:pPr>
        <w:spacing w:before="13"/>
        <w:ind w:left="95" w:right="95" w:firstLine="0"/>
        <w:jc w:val="center"/>
        <w:rPr>
          <w:b/>
          <w:sz w:val="18"/>
        </w:rPr>
      </w:pPr>
      <w:bookmarkStart w:name="Southwest Airlines Co. Consolidated Stat" w:id="20"/>
      <w:bookmarkEnd w:id="20"/>
      <w:r>
        <w:rPr/>
      </w:r>
      <w:r>
        <w:rPr>
          <w:b/>
          <w:color w:val="231F20"/>
          <w:sz w:val="18"/>
        </w:rPr>
        <w:t>Consolidated Statement of Stockholders’ Equity</w:t>
      </w:r>
    </w:p>
    <w:p>
      <w:pPr>
        <w:spacing w:before="13"/>
        <w:ind w:left="95" w:right="95"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ind w:left="4930" w:right="0" w:firstLine="0"/>
        <w:jc w:val="left"/>
        <w:rPr>
          <w:b/>
          <w:sz w:val="16"/>
        </w:rPr>
      </w:pPr>
      <w:r>
        <w:rPr/>
        <w:pict>
          <v:shape style="position:absolute;margin-left:68.75pt;margin-top:10.96875pt;width:456.5pt;height:380.75pt;mso-position-horizontal-relative:page;mso-position-vertical-relative:paragraph;z-index:41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880"/>
                    <w:gridCol w:w="920"/>
                    <w:gridCol w:w="1231"/>
                    <w:gridCol w:w="760"/>
                    <w:gridCol w:w="830"/>
                  </w:tblGrid>
                  <w:tr>
                    <w:trPr>
                      <w:trHeight w:val="770" w:hRule="exact"/>
                    </w:trPr>
                    <w:tc>
                      <w:tcPr>
                        <w:tcW w:w="4499" w:type="dxa"/>
                      </w:tcPr>
                      <w:p>
                        <w:pPr>
                          <w:pStyle w:val="TableParagraph"/>
                          <w:spacing w:before="0"/>
                          <w:rPr>
                            <w:sz w:val="18"/>
                          </w:rPr>
                        </w:pPr>
                      </w:p>
                      <w:p>
                        <w:pPr>
                          <w:pStyle w:val="TableParagraph"/>
                          <w:spacing w:before="3"/>
                          <w:rPr>
                            <w:sz w:val="17"/>
                          </w:rPr>
                        </w:pPr>
                      </w:p>
                      <w:p>
                        <w:pPr>
                          <w:pStyle w:val="TableParagraph"/>
                          <w:spacing w:line="180" w:lineRule="exact" w:before="0"/>
                          <w:ind w:left="3918" w:right="54" w:hanging="125"/>
                          <w:rPr>
                            <w:b/>
                            <w:sz w:val="16"/>
                          </w:rPr>
                        </w:pPr>
                        <w:r>
                          <w:rPr>
                            <w:b/>
                            <w:color w:val="231F20"/>
                            <w:sz w:val="16"/>
                          </w:rPr>
                          <w:t>Common Stock</w:t>
                        </w:r>
                      </w:p>
                    </w:tc>
                    <w:tc>
                      <w:tcPr>
                        <w:tcW w:w="880" w:type="dxa"/>
                        <w:tcBorders>
                          <w:top w:val="single" w:sz="8" w:space="0" w:color="231F20"/>
                        </w:tcBorders>
                      </w:tcPr>
                      <w:p>
                        <w:pPr>
                          <w:pStyle w:val="TableParagraph"/>
                          <w:spacing w:before="9"/>
                          <w:rPr>
                            <w:sz w:val="18"/>
                          </w:rPr>
                        </w:pPr>
                      </w:p>
                      <w:p>
                        <w:pPr>
                          <w:pStyle w:val="TableParagraph"/>
                          <w:spacing w:line="180" w:lineRule="exact" w:before="0"/>
                          <w:ind w:left="158" w:right="58" w:hanging="18"/>
                          <w:jc w:val="both"/>
                          <w:rPr>
                            <w:b/>
                            <w:sz w:val="16"/>
                          </w:rPr>
                        </w:pPr>
                        <w:r>
                          <w:rPr>
                            <w:b/>
                            <w:color w:val="231F20"/>
                            <w:sz w:val="16"/>
                          </w:rPr>
                          <w:t>Capital in excess of par value</w:t>
                        </w:r>
                      </w:p>
                    </w:tc>
                    <w:tc>
                      <w:tcPr>
                        <w:tcW w:w="920" w:type="dxa"/>
                        <w:tcBorders>
                          <w:top w:val="single" w:sz="8" w:space="0" w:color="231F20"/>
                        </w:tcBorders>
                      </w:tcPr>
                      <w:p>
                        <w:pPr>
                          <w:pStyle w:val="TableParagraph"/>
                          <w:spacing w:before="0"/>
                          <w:rPr>
                            <w:sz w:val="18"/>
                          </w:rPr>
                        </w:pPr>
                      </w:p>
                      <w:p>
                        <w:pPr>
                          <w:pStyle w:val="TableParagraph"/>
                          <w:spacing w:before="5"/>
                          <w:rPr>
                            <w:sz w:val="16"/>
                          </w:rPr>
                        </w:pPr>
                      </w:p>
                      <w:p>
                        <w:pPr>
                          <w:pStyle w:val="TableParagraph"/>
                          <w:spacing w:line="180" w:lineRule="exact" w:before="0"/>
                          <w:ind w:left="187" w:right="113" w:hanging="14"/>
                          <w:rPr>
                            <w:b/>
                            <w:sz w:val="16"/>
                          </w:rPr>
                        </w:pPr>
                        <w:r>
                          <w:rPr>
                            <w:b/>
                            <w:color w:val="231F20"/>
                            <w:sz w:val="16"/>
                          </w:rPr>
                          <w:t>Retained earnings</w:t>
                        </w:r>
                      </w:p>
                    </w:tc>
                    <w:tc>
                      <w:tcPr>
                        <w:tcW w:w="1991" w:type="dxa"/>
                        <w:gridSpan w:val="2"/>
                        <w:tcBorders>
                          <w:top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tcBorders>
                      </w:tcPr>
                      <w:p>
                        <w:pPr>
                          <w:pStyle w:val="TableParagraph"/>
                          <w:spacing w:before="0"/>
                          <w:rPr>
                            <w:sz w:val="18"/>
                          </w:rPr>
                        </w:pPr>
                      </w:p>
                      <w:p>
                        <w:pPr>
                          <w:pStyle w:val="TableParagraph"/>
                          <w:spacing w:before="0"/>
                          <w:rPr>
                            <w:sz w:val="18"/>
                          </w:rPr>
                        </w:pPr>
                      </w:p>
                      <w:p>
                        <w:pPr>
                          <w:pStyle w:val="TableParagraph"/>
                          <w:spacing w:before="156"/>
                          <w:ind w:left="258"/>
                          <w:rPr>
                            <w:b/>
                            <w:sz w:val="16"/>
                          </w:rPr>
                        </w:pPr>
                        <w:r>
                          <w:rPr>
                            <w:b/>
                            <w:color w:val="231F20"/>
                            <w:sz w:val="16"/>
                          </w:rPr>
                          <w:t>Total</w:t>
                        </w:r>
                      </w:p>
                    </w:tc>
                  </w:tr>
                  <w:tr>
                    <w:trPr>
                      <w:trHeight w:val="260" w:hRule="exact"/>
                    </w:trPr>
                    <w:tc>
                      <w:tcPr>
                        <w:tcW w:w="4499" w:type="dxa"/>
                        <w:shd w:val="clear" w:color="auto" w:fill="D1D3D4"/>
                      </w:tcPr>
                      <w:p>
                        <w:pPr>
                          <w:pStyle w:val="TableParagraph"/>
                          <w:tabs>
                            <w:tab w:pos="3658" w:val="left" w:leader="none"/>
                            <w:tab w:pos="4108" w:val="left" w:leader="none"/>
                          </w:tabs>
                          <w:spacing w:before="32"/>
                          <w:ind w:right="58"/>
                          <w:jc w:val="right"/>
                          <w:rPr>
                            <w:sz w:val="18"/>
                          </w:rPr>
                        </w:pPr>
                        <w:r>
                          <w:rPr>
                            <w:color w:val="231F20"/>
                            <w:sz w:val="18"/>
                          </w:rPr>
                          <w:t>Balance at December 31, 2012</w:t>
                          <w:tab/>
                          <w:t>$</w:t>
                          <w:tab/>
                          <w:t>808</w:t>
                        </w:r>
                      </w:p>
                    </w:tc>
                    <w:tc>
                      <w:tcPr>
                        <w:tcW w:w="880" w:type="dxa"/>
                        <w:shd w:val="clear" w:color="auto" w:fill="D1D3D4"/>
                      </w:tcPr>
                      <w:p>
                        <w:pPr>
                          <w:pStyle w:val="TableParagraph"/>
                          <w:tabs>
                            <w:tab w:pos="334" w:val="left" w:leader="none"/>
                          </w:tabs>
                          <w:spacing w:before="32"/>
                          <w:ind w:right="58"/>
                          <w:jc w:val="right"/>
                          <w:rPr>
                            <w:sz w:val="18"/>
                          </w:rPr>
                        </w:pPr>
                        <w:r>
                          <w:rPr>
                            <w:color w:val="231F20"/>
                            <w:sz w:val="18"/>
                          </w:rPr>
                          <w:t>$</w:t>
                          <w:tab/>
                        </w:r>
                        <w:r>
                          <w:rPr>
                            <w:color w:val="231F20"/>
                            <w:spacing w:val="-1"/>
                            <w:sz w:val="18"/>
                          </w:rPr>
                          <w:t>1,210</w:t>
                        </w:r>
                      </w:p>
                    </w:tc>
                    <w:tc>
                      <w:tcPr>
                        <w:tcW w:w="920" w:type="dxa"/>
                        <w:shd w:val="clear" w:color="auto" w:fill="D1D3D4"/>
                      </w:tcPr>
                      <w:p>
                        <w:pPr>
                          <w:pStyle w:val="TableParagraph"/>
                          <w:tabs>
                            <w:tab w:pos="334" w:val="left" w:leader="none"/>
                          </w:tabs>
                          <w:spacing w:before="32"/>
                          <w:ind w:right="97"/>
                          <w:jc w:val="right"/>
                          <w:rPr>
                            <w:sz w:val="18"/>
                          </w:rPr>
                        </w:pPr>
                        <w:r>
                          <w:rPr>
                            <w:color w:val="231F20"/>
                            <w:sz w:val="18"/>
                          </w:rPr>
                          <w:t>$</w:t>
                          <w:tab/>
                        </w:r>
                        <w:r>
                          <w:rPr>
                            <w:color w:val="231F20"/>
                            <w:spacing w:val="-1"/>
                            <w:sz w:val="18"/>
                          </w:rPr>
                          <w:t>5,768</w:t>
                        </w:r>
                      </w:p>
                    </w:tc>
                    <w:tc>
                      <w:tcPr>
                        <w:tcW w:w="1991" w:type="dxa"/>
                        <w:gridSpan w:val="2"/>
                        <w:shd w:val="clear" w:color="auto" w:fill="D1D3D4"/>
                      </w:tcPr>
                      <w:p>
                        <w:pPr>
                          <w:pStyle w:val="TableParagraph"/>
                          <w:tabs>
                            <w:tab w:pos="670" w:val="left" w:leader="none"/>
                            <w:tab w:pos="1550" w:val="left" w:leader="none"/>
                          </w:tabs>
                          <w:spacing w:before="32"/>
                          <w:ind w:left="40"/>
                          <w:rPr>
                            <w:sz w:val="18"/>
                          </w:rPr>
                        </w:pPr>
                        <w:r>
                          <w:rPr>
                            <w:color w:val="231F20"/>
                            <w:sz w:val="18"/>
                          </w:rPr>
                          <w:t>$</w:t>
                          <w:tab/>
                          <w:t>(119)</w:t>
                        </w:r>
                        <w:r>
                          <w:rPr>
                            <w:color w:val="231F20"/>
                            <w:spacing w:val="35"/>
                            <w:sz w:val="18"/>
                          </w:rPr>
                          <w:t> </w:t>
                        </w:r>
                        <w:r>
                          <w:rPr>
                            <w:color w:val="231F20"/>
                            <w:sz w:val="18"/>
                          </w:rPr>
                          <w:t>$</w:t>
                          <w:tab/>
                          <w:t>(675)</w:t>
                        </w:r>
                      </w:p>
                    </w:tc>
                    <w:tc>
                      <w:tcPr>
                        <w:tcW w:w="830" w:type="dxa"/>
                        <w:shd w:val="clear" w:color="auto" w:fill="D1D3D4"/>
                      </w:tcPr>
                      <w:p>
                        <w:pPr>
                          <w:pStyle w:val="TableParagraph"/>
                          <w:tabs>
                            <w:tab w:pos="314" w:val="left" w:leader="none"/>
                          </w:tabs>
                          <w:spacing w:before="32"/>
                          <w:ind w:right="59"/>
                          <w:jc w:val="right"/>
                          <w:rPr>
                            <w:sz w:val="18"/>
                          </w:rPr>
                        </w:pPr>
                        <w:r>
                          <w:rPr>
                            <w:color w:val="231F20"/>
                            <w:sz w:val="18"/>
                          </w:rPr>
                          <w:t>$</w:t>
                          <w:tab/>
                        </w:r>
                        <w:r>
                          <w:rPr>
                            <w:color w:val="231F20"/>
                            <w:spacing w:val="-1"/>
                            <w:sz w:val="18"/>
                          </w:rPr>
                          <w:t>6,992</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Repurchase of common stock</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97"/>
                          <w:jc w:val="right"/>
                          <w:rPr>
                            <w:sz w:val="18"/>
                          </w:rPr>
                        </w:pPr>
                        <w:r>
                          <w:rPr>
                            <w:color w:val="231F20"/>
                            <w:sz w:val="18"/>
                          </w:rPr>
                          <w:t>—</w:t>
                        </w:r>
                      </w:p>
                    </w:tc>
                    <w:tc>
                      <w:tcPr>
                        <w:tcW w:w="1991" w:type="dxa"/>
                        <w:gridSpan w:val="2"/>
                      </w:tcPr>
                      <w:p>
                        <w:pPr>
                          <w:pStyle w:val="TableParagraph"/>
                          <w:tabs>
                            <w:tab w:pos="1550" w:val="left" w:leader="none"/>
                          </w:tabs>
                          <w:spacing w:before="32"/>
                          <w:ind w:left="821"/>
                          <w:rPr>
                            <w:sz w:val="18"/>
                          </w:rPr>
                        </w:pPr>
                        <w:r>
                          <w:rPr>
                            <w:color w:val="231F20"/>
                            <w:sz w:val="18"/>
                          </w:rPr>
                          <w:t>—</w:t>
                          <w:tab/>
                          <w:t>(540)</w:t>
                        </w:r>
                      </w:p>
                    </w:tc>
                    <w:tc>
                      <w:tcPr>
                        <w:tcW w:w="830" w:type="dxa"/>
                      </w:tcPr>
                      <w:p>
                        <w:pPr>
                          <w:pStyle w:val="TableParagraph"/>
                          <w:spacing w:before="32"/>
                          <w:jc w:val="right"/>
                          <w:rPr>
                            <w:sz w:val="18"/>
                          </w:rPr>
                        </w:pPr>
                        <w:r>
                          <w:rPr>
                            <w:color w:val="231F20"/>
                            <w:sz w:val="18"/>
                          </w:rPr>
                          <w:t>(540)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12</w:t>
                        </w:r>
                      </w:p>
                    </w:tc>
                    <w:tc>
                      <w:tcPr>
                        <w:tcW w:w="920" w:type="dxa"/>
                        <w:shd w:val="clear" w:color="auto" w:fill="D1D3D4"/>
                      </w:tcPr>
                      <w:p>
                        <w:pPr>
                          <w:pStyle w:val="TableParagraph"/>
                          <w:spacing w:before="142"/>
                          <w:ind w:right="97"/>
                          <w:jc w:val="right"/>
                          <w:rPr>
                            <w:sz w:val="18"/>
                          </w:rPr>
                        </w:pPr>
                        <w:r>
                          <w:rPr>
                            <w:color w:val="231F20"/>
                            <w:sz w:val="18"/>
                          </w:rPr>
                          <w:t>—</w:t>
                        </w:r>
                      </w:p>
                    </w:tc>
                    <w:tc>
                      <w:tcPr>
                        <w:tcW w:w="1991" w:type="dxa"/>
                        <w:gridSpan w:val="2"/>
                        <w:shd w:val="clear" w:color="auto" w:fill="D1D3D4"/>
                      </w:tcPr>
                      <w:p>
                        <w:pPr>
                          <w:pStyle w:val="TableParagraph"/>
                          <w:tabs>
                            <w:tab w:pos="1701" w:val="left" w:leader="none"/>
                          </w:tabs>
                          <w:spacing w:before="142"/>
                          <w:ind w:left="821"/>
                          <w:rPr>
                            <w:sz w:val="18"/>
                          </w:rPr>
                        </w:pPr>
                        <w:r>
                          <w:rPr>
                            <w:color w:val="231F20"/>
                            <w:sz w:val="18"/>
                          </w:rPr>
                          <w:t>—</w:t>
                          <w:tab/>
                          <w:t>84</w:t>
                        </w:r>
                      </w:p>
                    </w:tc>
                    <w:tc>
                      <w:tcPr>
                        <w:tcW w:w="830" w:type="dxa"/>
                        <w:shd w:val="clear" w:color="auto" w:fill="D1D3D4"/>
                      </w:tcPr>
                      <w:p>
                        <w:pPr>
                          <w:pStyle w:val="TableParagraph"/>
                          <w:spacing w:before="142"/>
                          <w:ind w:right="59"/>
                          <w:jc w:val="right"/>
                          <w:rPr>
                            <w:sz w:val="18"/>
                          </w:rPr>
                        </w:pPr>
                        <w:r>
                          <w:rPr>
                            <w:color w:val="231F20"/>
                            <w:sz w:val="18"/>
                          </w:rPr>
                          <w:t>96</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tcPr>
                      <w:p>
                        <w:pPr>
                          <w:pStyle w:val="TableParagraph"/>
                          <w:spacing w:before="142"/>
                          <w:jc w:val="right"/>
                          <w:rPr>
                            <w:sz w:val="18"/>
                          </w:rPr>
                        </w:pPr>
                        <w:r>
                          <w:rPr>
                            <w:color w:val="231F20"/>
                            <w:sz w:val="18"/>
                          </w:rPr>
                          <w:t>(9)</w:t>
                        </w:r>
                      </w:p>
                    </w:tc>
                    <w:tc>
                      <w:tcPr>
                        <w:tcW w:w="920" w:type="dxa"/>
                      </w:tcPr>
                      <w:p>
                        <w:pPr>
                          <w:pStyle w:val="TableParagraph"/>
                          <w:spacing w:before="142"/>
                          <w:ind w:right="97"/>
                          <w:jc w:val="right"/>
                          <w:rPr>
                            <w:sz w:val="18"/>
                          </w:rPr>
                        </w:pPr>
                        <w:r>
                          <w:rPr>
                            <w:color w:val="231F20"/>
                            <w:sz w:val="18"/>
                          </w:rPr>
                          <w:t>—</w:t>
                        </w:r>
                      </w:p>
                    </w:tc>
                    <w:tc>
                      <w:tcPr>
                        <w:tcW w:w="1991" w:type="dxa"/>
                        <w:gridSpan w:val="2"/>
                      </w:tcPr>
                      <w:p>
                        <w:pPr>
                          <w:pStyle w:val="TableParagraph"/>
                          <w:tabs>
                            <w:tab w:pos="1701" w:val="left" w:leader="none"/>
                          </w:tabs>
                          <w:spacing w:before="142"/>
                          <w:ind w:left="821"/>
                          <w:rPr>
                            <w:sz w:val="18"/>
                          </w:rPr>
                        </w:pPr>
                        <w:r>
                          <w:rPr>
                            <w:color w:val="231F20"/>
                            <w:sz w:val="18"/>
                          </w:rPr>
                          <w:t>—</w:t>
                          <w:tab/>
                          <w:t>—</w:t>
                        </w:r>
                      </w:p>
                    </w:tc>
                    <w:tc>
                      <w:tcPr>
                        <w:tcW w:w="830" w:type="dxa"/>
                      </w:tcPr>
                      <w:p>
                        <w:pPr>
                          <w:pStyle w:val="TableParagraph"/>
                          <w:spacing w:before="142"/>
                          <w:jc w:val="right"/>
                          <w:rPr>
                            <w:sz w:val="18"/>
                          </w:rPr>
                        </w:pPr>
                        <w:r>
                          <w:rPr>
                            <w:color w:val="231F20"/>
                            <w:sz w:val="18"/>
                          </w:rPr>
                          <w:t>(9)</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shd w:val="clear" w:color="auto" w:fill="D1D3D4"/>
                      </w:tcPr>
                      <w:p>
                        <w:pPr>
                          <w:pStyle w:val="TableParagraph"/>
                          <w:spacing w:before="32"/>
                          <w:ind w:right="58"/>
                          <w:jc w:val="right"/>
                          <w:rPr>
                            <w:sz w:val="18"/>
                          </w:rPr>
                        </w:pPr>
                        <w:r>
                          <w:rPr>
                            <w:color w:val="231F20"/>
                            <w:sz w:val="18"/>
                          </w:rPr>
                          <w:t>18</w:t>
                        </w:r>
                      </w:p>
                    </w:tc>
                    <w:tc>
                      <w:tcPr>
                        <w:tcW w:w="920" w:type="dxa"/>
                        <w:shd w:val="clear" w:color="auto" w:fill="D1D3D4"/>
                      </w:tcPr>
                      <w:p>
                        <w:pPr>
                          <w:pStyle w:val="TableParagraph"/>
                          <w:spacing w:before="32"/>
                          <w:ind w:right="97"/>
                          <w:jc w:val="right"/>
                          <w:rPr>
                            <w:sz w:val="18"/>
                          </w:rPr>
                        </w:pPr>
                        <w:r>
                          <w:rPr>
                            <w:color w:val="231F20"/>
                            <w:sz w:val="18"/>
                          </w:rPr>
                          <w:t>—</w:t>
                        </w:r>
                      </w:p>
                    </w:tc>
                    <w:tc>
                      <w:tcPr>
                        <w:tcW w:w="1991" w:type="dxa"/>
                        <w:gridSpan w:val="2"/>
                        <w:shd w:val="clear" w:color="auto" w:fill="D1D3D4"/>
                      </w:tcPr>
                      <w:p>
                        <w:pPr>
                          <w:pStyle w:val="TableParagraph"/>
                          <w:tabs>
                            <w:tab w:pos="1700" w:val="left" w:leader="none"/>
                          </w:tabs>
                          <w:spacing w:before="32"/>
                          <w:ind w:left="821"/>
                          <w:rPr>
                            <w:sz w:val="18"/>
                          </w:rPr>
                        </w:pPr>
                        <w:r>
                          <w:rPr>
                            <w:color w:val="231F20"/>
                            <w:sz w:val="18"/>
                          </w:rPr>
                          <w:t>—</w:t>
                          <w:tab/>
                          <w:t>—</w:t>
                        </w:r>
                      </w:p>
                    </w:tc>
                    <w:tc>
                      <w:tcPr>
                        <w:tcW w:w="830" w:type="dxa"/>
                        <w:shd w:val="clear" w:color="auto" w:fill="D1D3D4"/>
                      </w:tcPr>
                      <w:p>
                        <w:pPr>
                          <w:pStyle w:val="TableParagraph"/>
                          <w:spacing w:before="32"/>
                          <w:ind w:right="58"/>
                          <w:jc w:val="right"/>
                          <w:rPr>
                            <w:sz w:val="18"/>
                          </w:rPr>
                        </w:pPr>
                        <w:r>
                          <w:rPr>
                            <w:color w:val="231F20"/>
                            <w:sz w:val="18"/>
                          </w:rPr>
                          <w:t>18</w:t>
                        </w:r>
                      </w:p>
                    </w:tc>
                  </w:tr>
                  <w:tr>
                    <w:trPr>
                      <w:trHeight w:val="239" w:hRule="exact"/>
                    </w:trPr>
                    <w:tc>
                      <w:tcPr>
                        <w:tcW w:w="4499" w:type="dxa"/>
                      </w:tcPr>
                      <w:p>
                        <w:pPr>
                          <w:pStyle w:val="TableParagraph"/>
                          <w:tabs>
                            <w:tab w:pos="3838" w:val="left" w:leader="none"/>
                          </w:tabs>
                          <w:spacing w:before="32"/>
                          <w:ind w:right="58"/>
                          <w:jc w:val="right"/>
                          <w:rPr>
                            <w:sz w:val="18"/>
                          </w:rPr>
                        </w:pPr>
                        <w:r>
                          <w:rPr>
                            <w:color w:val="231F20"/>
                            <w:sz w:val="18"/>
                          </w:rPr>
                          <w:t>Cash dividends, $.1300</w:t>
                        </w:r>
                        <w:r>
                          <w:rPr>
                            <w:color w:val="231F20"/>
                            <w:spacing w:val="-1"/>
                            <w:sz w:val="18"/>
                          </w:rPr>
                          <w:t> </w:t>
                        </w:r>
                        <w:r>
                          <w:rPr>
                            <w:color w:val="231F20"/>
                            <w:sz w:val="18"/>
                          </w:rPr>
                          <w:t>per share</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38"/>
                          <w:jc w:val="right"/>
                          <w:rPr>
                            <w:sz w:val="18"/>
                          </w:rPr>
                        </w:pPr>
                        <w:r>
                          <w:rPr>
                            <w:color w:val="231F20"/>
                            <w:sz w:val="18"/>
                          </w:rPr>
                          <w:t>(91)</w:t>
                        </w:r>
                      </w:p>
                    </w:tc>
                    <w:tc>
                      <w:tcPr>
                        <w:tcW w:w="1991" w:type="dxa"/>
                        <w:gridSpan w:val="2"/>
                      </w:tcPr>
                      <w:p>
                        <w:pPr>
                          <w:pStyle w:val="TableParagraph"/>
                          <w:tabs>
                            <w:tab w:pos="1700" w:val="left" w:leader="none"/>
                          </w:tabs>
                          <w:spacing w:before="32"/>
                          <w:ind w:left="821"/>
                          <w:rPr>
                            <w:sz w:val="18"/>
                          </w:rPr>
                        </w:pPr>
                        <w:r>
                          <w:rPr>
                            <w:color w:val="231F20"/>
                            <w:sz w:val="18"/>
                          </w:rPr>
                          <w:t>—</w:t>
                          <w:tab/>
                          <w:t>—</w:t>
                        </w:r>
                      </w:p>
                    </w:tc>
                    <w:tc>
                      <w:tcPr>
                        <w:tcW w:w="830" w:type="dxa"/>
                      </w:tcPr>
                      <w:p>
                        <w:pPr>
                          <w:pStyle w:val="TableParagraph"/>
                          <w:spacing w:before="32"/>
                          <w:jc w:val="right"/>
                          <w:rPr>
                            <w:sz w:val="18"/>
                          </w:rPr>
                        </w:pPr>
                        <w:r>
                          <w:rPr>
                            <w:color w:val="231F20"/>
                            <w:sz w:val="18"/>
                          </w:rPr>
                          <w:t>(91)</w:t>
                        </w:r>
                      </w:p>
                    </w:tc>
                  </w:tr>
                  <w:tr>
                    <w:trPr>
                      <w:trHeight w:val="281" w:hRule="exact"/>
                    </w:trPr>
                    <w:tc>
                      <w:tcPr>
                        <w:tcW w:w="9120" w:type="dxa"/>
                        <w:gridSpan w:val="6"/>
                        <w:shd w:val="clear" w:color="auto" w:fill="D1D3D4"/>
                      </w:tcPr>
                      <w:p>
                        <w:pPr>
                          <w:pStyle w:val="TableParagraph"/>
                          <w:tabs>
                            <w:tab w:pos="3718" w:val="left" w:leader="none"/>
                            <w:tab w:pos="4258" w:val="left" w:leader="none"/>
                            <w:tab w:pos="5138" w:val="left" w:leader="none"/>
                            <w:tab w:pos="5928" w:val="left" w:leader="none"/>
                            <w:tab w:pos="7029" w:val="left" w:leader="none"/>
                            <w:tab w:pos="7999" w:val="left" w:leader="none"/>
                            <w:tab w:pos="9059" w:val="right" w:leader="none"/>
                          </w:tabs>
                          <w:spacing w:before="52"/>
                          <w:ind w:left="420"/>
                          <w:rPr>
                            <w:sz w:val="18"/>
                          </w:rPr>
                        </w:pPr>
                        <w:r>
                          <w:rPr>
                            <w:color w:val="231F20"/>
                            <w:sz w:val="18"/>
                          </w:rPr>
                          <w:t>Comprehensive income</w:t>
                          <w:tab/>
                        </w:r>
                        <w:r>
                          <w:rPr>
                            <w:color w:val="231F20"/>
                            <w:sz w:val="18"/>
                            <w:u w:val="single" w:color="231F20"/>
                          </w:rPr>
                          <w:t> </w:t>
                          <w:tab/>
                          <w:t>— </w:t>
                          <w:tab/>
                          <w:t>— </w:t>
                          <w:tab/>
                          <w:t>754 </w:t>
                          <w:tab/>
                          <w:t>116 </w:t>
                          <w:tab/>
                          <w:t>—</w:t>
                        </w:r>
                        <w:r>
                          <w:rPr>
                            <w:color w:val="231F20"/>
                            <w:sz w:val="18"/>
                          </w:rPr>
                          <w:tab/>
                          <w:t>870</w:t>
                        </w:r>
                      </w:p>
                    </w:tc>
                  </w:tr>
                  <w:tr>
                    <w:trPr>
                      <w:trHeight w:val="260" w:hRule="exact"/>
                    </w:trPr>
                    <w:tc>
                      <w:tcPr>
                        <w:tcW w:w="4499" w:type="dxa"/>
                      </w:tcPr>
                      <w:p>
                        <w:pPr>
                          <w:pStyle w:val="TableParagraph"/>
                          <w:tabs>
                            <w:tab w:pos="3658" w:val="left" w:leader="none"/>
                            <w:tab w:pos="4108" w:val="left" w:leader="none"/>
                          </w:tabs>
                          <w:spacing w:before="32"/>
                          <w:ind w:right="58"/>
                          <w:jc w:val="right"/>
                          <w:rPr>
                            <w:sz w:val="18"/>
                          </w:rPr>
                        </w:pPr>
                        <w:r>
                          <w:rPr>
                            <w:color w:val="231F20"/>
                            <w:sz w:val="18"/>
                          </w:rPr>
                          <w:t>Balance at December 31, 2013</w:t>
                          <w:tab/>
                          <w:t>$</w:t>
                          <w:tab/>
                          <w:t>808</w:t>
                        </w:r>
                      </w:p>
                    </w:tc>
                    <w:tc>
                      <w:tcPr>
                        <w:tcW w:w="880" w:type="dxa"/>
                      </w:tcPr>
                      <w:p>
                        <w:pPr>
                          <w:pStyle w:val="TableParagraph"/>
                          <w:tabs>
                            <w:tab w:pos="334" w:val="left" w:leader="none"/>
                          </w:tabs>
                          <w:spacing w:before="32"/>
                          <w:ind w:right="58"/>
                          <w:jc w:val="right"/>
                          <w:rPr>
                            <w:sz w:val="18"/>
                          </w:rPr>
                        </w:pPr>
                        <w:r>
                          <w:rPr>
                            <w:color w:val="231F20"/>
                            <w:sz w:val="18"/>
                          </w:rPr>
                          <w:t>$</w:t>
                          <w:tab/>
                        </w:r>
                        <w:r>
                          <w:rPr>
                            <w:color w:val="231F20"/>
                            <w:spacing w:val="-1"/>
                            <w:sz w:val="18"/>
                          </w:rPr>
                          <w:t>1,231</w:t>
                        </w:r>
                      </w:p>
                    </w:tc>
                    <w:tc>
                      <w:tcPr>
                        <w:tcW w:w="920" w:type="dxa"/>
                      </w:tcPr>
                      <w:p>
                        <w:pPr>
                          <w:pStyle w:val="TableParagraph"/>
                          <w:tabs>
                            <w:tab w:pos="334" w:val="left" w:leader="none"/>
                          </w:tabs>
                          <w:spacing w:before="32"/>
                          <w:ind w:right="97"/>
                          <w:jc w:val="right"/>
                          <w:rPr>
                            <w:sz w:val="18"/>
                          </w:rPr>
                        </w:pPr>
                        <w:r>
                          <w:rPr>
                            <w:color w:val="231F20"/>
                            <w:sz w:val="18"/>
                          </w:rPr>
                          <w:t>$</w:t>
                          <w:tab/>
                        </w:r>
                        <w:r>
                          <w:rPr>
                            <w:color w:val="231F20"/>
                            <w:spacing w:val="-1"/>
                            <w:sz w:val="18"/>
                          </w:rPr>
                          <w:t>6,431</w:t>
                        </w:r>
                      </w:p>
                    </w:tc>
                    <w:tc>
                      <w:tcPr>
                        <w:tcW w:w="1231" w:type="dxa"/>
                      </w:tcPr>
                      <w:p>
                        <w:pPr>
                          <w:pStyle w:val="TableParagraph"/>
                          <w:tabs>
                            <w:tab w:pos="850" w:val="left" w:leader="none"/>
                          </w:tabs>
                          <w:spacing w:before="32"/>
                          <w:ind w:left="40"/>
                          <w:rPr>
                            <w:sz w:val="18"/>
                          </w:rPr>
                        </w:pPr>
                        <w:r>
                          <w:rPr>
                            <w:color w:val="231F20"/>
                            <w:sz w:val="18"/>
                          </w:rPr>
                          <w:t>$</w:t>
                          <w:tab/>
                          <w:t>(3)</w:t>
                        </w:r>
                        <w:r>
                          <w:rPr>
                            <w:color w:val="231F20"/>
                            <w:spacing w:val="35"/>
                            <w:sz w:val="18"/>
                          </w:rPr>
                          <w:t> </w:t>
                        </w:r>
                        <w:r>
                          <w:rPr>
                            <w:color w:val="231F20"/>
                            <w:sz w:val="18"/>
                          </w:rPr>
                          <w:t>$</w:t>
                        </w:r>
                      </w:p>
                    </w:tc>
                    <w:tc>
                      <w:tcPr>
                        <w:tcW w:w="760" w:type="dxa"/>
                      </w:tcPr>
                      <w:p>
                        <w:pPr>
                          <w:pStyle w:val="TableParagraph"/>
                          <w:spacing w:before="32"/>
                          <w:ind w:right="48"/>
                          <w:jc w:val="right"/>
                          <w:rPr>
                            <w:sz w:val="18"/>
                          </w:rPr>
                        </w:pPr>
                        <w:r>
                          <w:rPr>
                            <w:color w:val="231F20"/>
                            <w:sz w:val="18"/>
                          </w:rPr>
                          <w:t>(1,131)</w:t>
                        </w:r>
                      </w:p>
                    </w:tc>
                    <w:tc>
                      <w:tcPr>
                        <w:tcW w:w="830" w:type="dxa"/>
                      </w:tcPr>
                      <w:p>
                        <w:pPr>
                          <w:pStyle w:val="TableParagraph"/>
                          <w:tabs>
                            <w:tab w:pos="314" w:val="left" w:leader="none"/>
                          </w:tabs>
                          <w:spacing w:before="32"/>
                          <w:ind w:right="59"/>
                          <w:jc w:val="right"/>
                          <w:rPr>
                            <w:sz w:val="18"/>
                          </w:rPr>
                        </w:pPr>
                        <w:r>
                          <w:rPr>
                            <w:color w:val="231F20"/>
                            <w:sz w:val="18"/>
                          </w:rPr>
                          <w:t>$</w:t>
                          <w:tab/>
                        </w:r>
                        <w:r>
                          <w:rPr>
                            <w:color w:val="231F20"/>
                            <w:spacing w:val="-1"/>
                            <w:sz w:val="18"/>
                          </w:rPr>
                          <w:t>7,336</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Repurchase of common stock</w:t>
                          <w:tab/>
                          <w:t>—</w:t>
                        </w:r>
                      </w:p>
                    </w:tc>
                    <w:tc>
                      <w:tcPr>
                        <w:tcW w:w="880" w:type="dxa"/>
                        <w:shd w:val="clear" w:color="auto" w:fill="D1D3D4"/>
                      </w:tcPr>
                      <w:p>
                        <w:pPr>
                          <w:pStyle w:val="TableParagraph"/>
                          <w:spacing w:before="32"/>
                          <w:ind w:right="58"/>
                          <w:jc w:val="right"/>
                          <w:rPr>
                            <w:sz w:val="18"/>
                          </w:rPr>
                        </w:pPr>
                        <w:r>
                          <w:rPr>
                            <w:color w:val="231F20"/>
                            <w:sz w:val="18"/>
                          </w:rPr>
                          <w:t>—</w:t>
                        </w:r>
                      </w:p>
                    </w:tc>
                    <w:tc>
                      <w:tcPr>
                        <w:tcW w:w="920" w:type="dxa"/>
                        <w:shd w:val="clear" w:color="auto" w:fill="D1D3D4"/>
                      </w:tcPr>
                      <w:p>
                        <w:pPr>
                          <w:pStyle w:val="TableParagraph"/>
                          <w:spacing w:before="32"/>
                          <w:ind w:right="97"/>
                          <w:jc w:val="right"/>
                          <w:rPr>
                            <w:sz w:val="18"/>
                          </w:rPr>
                        </w:pPr>
                        <w:r>
                          <w:rPr>
                            <w:color w:val="231F20"/>
                            <w:sz w:val="18"/>
                          </w:rPr>
                          <w:t>—</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48"/>
                          <w:jc w:val="right"/>
                          <w:rPr>
                            <w:sz w:val="18"/>
                          </w:rPr>
                        </w:pPr>
                        <w:r>
                          <w:rPr>
                            <w:color w:val="231F20"/>
                            <w:sz w:val="18"/>
                          </w:rPr>
                          <w:t>(955)</w:t>
                        </w:r>
                      </w:p>
                    </w:tc>
                    <w:tc>
                      <w:tcPr>
                        <w:tcW w:w="830" w:type="dxa"/>
                        <w:shd w:val="clear" w:color="auto" w:fill="D1D3D4"/>
                      </w:tcPr>
                      <w:p>
                        <w:pPr>
                          <w:pStyle w:val="TableParagraph"/>
                          <w:spacing w:before="32"/>
                          <w:jc w:val="right"/>
                          <w:rPr>
                            <w:sz w:val="18"/>
                          </w:rPr>
                        </w:pPr>
                        <w:r>
                          <w:rPr>
                            <w:color w:val="231F20"/>
                            <w:sz w:val="18"/>
                          </w:rPr>
                          <w:t>(955)</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tcPr>
                      <w:p>
                        <w:pPr>
                          <w:pStyle w:val="TableParagraph"/>
                          <w:spacing w:before="142"/>
                          <w:ind w:right="59"/>
                          <w:jc w:val="right"/>
                          <w:rPr>
                            <w:sz w:val="18"/>
                          </w:rPr>
                        </w:pPr>
                        <w:r>
                          <w:rPr>
                            <w:color w:val="231F20"/>
                            <w:sz w:val="18"/>
                          </w:rPr>
                          <w:t>40</w:t>
                        </w:r>
                      </w:p>
                    </w:tc>
                    <w:tc>
                      <w:tcPr>
                        <w:tcW w:w="920" w:type="dxa"/>
                      </w:tcPr>
                      <w:p>
                        <w:pPr>
                          <w:pStyle w:val="TableParagraph"/>
                          <w:spacing w:before="142"/>
                          <w:ind w:right="97"/>
                          <w:jc w:val="right"/>
                          <w:rPr>
                            <w:sz w:val="18"/>
                          </w:rPr>
                        </w:pPr>
                        <w:r>
                          <w:rPr>
                            <w:color w:val="231F20"/>
                            <w:sz w:val="18"/>
                          </w:rPr>
                          <w:t>—</w:t>
                        </w:r>
                      </w:p>
                    </w:tc>
                    <w:tc>
                      <w:tcPr>
                        <w:tcW w:w="1231" w:type="dxa"/>
                      </w:tcPr>
                      <w:p>
                        <w:pPr>
                          <w:pStyle w:val="TableParagraph"/>
                          <w:spacing w:before="142"/>
                          <w:ind w:right="229"/>
                          <w:jc w:val="right"/>
                          <w:rPr>
                            <w:sz w:val="18"/>
                          </w:rPr>
                        </w:pPr>
                        <w:r>
                          <w:rPr>
                            <w:color w:val="231F20"/>
                            <w:sz w:val="18"/>
                          </w:rPr>
                          <w:t>—</w:t>
                        </w:r>
                      </w:p>
                    </w:tc>
                    <w:tc>
                      <w:tcPr>
                        <w:tcW w:w="760" w:type="dxa"/>
                      </w:tcPr>
                      <w:p>
                        <w:pPr>
                          <w:pStyle w:val="TableParagraph"/>
                          <w:spacing w:before="142"/>
                          <w:ind w:right="107"/>
                          <w:jc w:val="right"/>
                          <w:rPr>
                            <w:sz w:val="18"/>
                          </w:rPr>
                        </w:pPr>
                        <w:r>
                          <w:rPr>
                            <w:color w:val="231F20"/>
                            <w:sz w:val="18"/>
                          </w:rPr>
                          <w:t>60</w:t>
                        </w:r>
                      </w:p>
                    </w:tc>
                    <w:tc>
                      <w:tcPr>
                        <w:tcW w:w="830" w:type="dxa"/>
                      </w:tcPr>
                      <w:p>
                        <w:pPr>
                          <w:pStyle w:val="TableParagraph"/>
                          <w:spacing w:before="142"/>
                          <w:ind w:right="59"/>
                          <w:jc w:val="right"/>
                          <w:rPr>
                            <w:sz w:val="18"/>
                          </w:rPr>
                        </w:pPr>
                        <w:r>
                          <w:rPr>
                            <w:color w:val="231F20"/>
                            <w:sz w:val="18"/>
                          </w:rPr>
                          <w:t>100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23</w:t>
                        </w:r>
                      </w:p>
                    </w:tc>
                    <w:tc>
                      <w:tcPr>
                        <w:tcW w:w="920" w:type="dxa"/>
                        <w:shd w:val="clear" w:color="auto" w:fill="D1D3D4"/>
                      </w:tcPr>
                      <w:p>
                        <w:pPr>
                          <w:pStyle w:val="TableParagraph"/>
                          <w:spacing w:before="142"/>
                          <w:ind w:right="97"/>
                          <w:jc w:val="right"/>
                          <w:rPr>
                            <w:sz w:val="18"/>
                          </w:rPr>
                        </w:pPr>
                        <w:r>
                          <w:rPr>
                            <w:color w:val="231F20"/>
                            <w:sz w:val="18"/>
                          </w:rPr>
                          <w:t>—</w:t>
                        </w:r>
                      </w:p>
                    </w:tc>
                    <w:tc>
                      <w:tcPr>
                        <w:tcW w:w="1231" w:type="dxa"/>
                        <w:shd w:val="clear" w:color="auto" w:fill="D1D3D4"/>
                      </w:tcPr>
                      <w:p>
                        <w:pPr>
                          <w:pStyle w:val="TableParagraph"/>
                          <w:spacing w:before="142"/>
                          <w:ind w:right="229"/>
                          <w:jc w:val="right"/>
                          <w:rPr>
                            <w:sz w:val="18"/>
                          </w:rPr>
                        </w:pPr>
                        <w:r>
                          <w:rPr>
                            <w:color w:val="231F20"/>
                            <w:sz w:val="18"/>
                          </w:rPr>
                          <w:t>—</w:t>
                        </w:r>
                      </w:p>
                    </w:tc>
                    <w:tc>
                      <w:tcPr>
                        <w:tcW w:w="760" w:type="dxa"/>
                        <w:shd w:val="clear" w:color="auto" w:fill="D1D3D4"/>
                      </w:tcPr>
                      <w:p>
                        <w:pPr>
                          <w:pStyle w:val="TableParagraph"/>
                          <w:spacing w:before="142"/>
                          <w:ind w:right="107"/>
                          <w:jc w:val="right"/>
                          <w:rPr>
                            <w:sz w:val="18"/>
                          </w:rPr>
                        </w:pPr>
                        <w:r>
                          <w:rPr>
                            <w:color w:val="231F20"/>
                            <w:sz w:val="18"/>
                          </w:rPr>
                          <w:t>—</w:t>
                        </w:r>
                      </w:p>
                    </w:tc>
                    <w:tc>
                      <w:tcPr>
                        <w:tcW w:w="830" w:type="dxa"/>
                        <w:shd w:val="clear" w:color="auto" w:fill="D1D3D4"/>
                      </w:tcPr>
                      <w:p>
                        <w:pPr>
                          <w:pStyle w:val="TableParagraph"/>
                          <w:spacing w:before="142"/>
                          <w:ind w:right="59"/>
                          <w:jc w:val="right"/>
                          <w:rPr>
                            <w:sz w:val="18"/>
                          </w:rPr>
                        </w:pPr>
                        <w:r>
                          <w:rPr>
                            <w:color w:val="231F20"/>
                            <w:sz w:val="18"/>
                          </w:rPr>
                          <w:t>23</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tcPr>
                      <w:p>
                        <w:pPr>
                          <w:pStyle w:val="TableParagraph"/>
                          <w:spacing w:before="32"/>
                          <w:ind w:right="58"/>
                          <w:jc w:val="right"/>
                          <w:rPr>
                            <w:sz w:val="18"/>
                          </w:rPr>
                        </w:pPr>
                        <w:r>
                          <w:rPr>
                            <w:color w:val="231F20"/>
                            <w:sz w:val="18"/>
                          </w:rPr>
                          <w:t>21</w:t>
                        </w:r>
                      </w:p>
                    </w:tc>
                    <w:tc>
                      <w:tcPr>
                        <w:tcW w:w="920" w:type="dxa"/>
                      </w:tcPr>
                      <w:p>
                        <w:pPr>
                          <w:pStyle w:val="TableParagraph"/>
                          <w:spacing w:before="32"/>
                          <w:ind w:right="97"/>
                          <w:jc w:val="right"/>
                          <w:rPr>
                            <w:sz w:val="18"/>
                          </w:rPr>
                        </w:pPr>
                        <w:r>
                          <w:rPr>
                            <w:color w:val="231F20"/>
                            <w:sz w:val="18"/>
                          </w:rPr>
                          <w:t>—</w:t>
                        </w:r>
                      </w:p>
                    </w:tc>
                    <w:tc>
                      <w:tcPr>
                        <w:tcW w:w="1231" w:type="dxa"/>
                      </w:tcPr>
                      <w:p>
                        <w:pPr>
                          <w:pStyle w:val="TableParagraph"/>
                          <w:spacing w:before="32"/>
                          <w:ind w:right="228"/>
                          <w:jc w:val="right"/>
                          <w:rPr>
                            <w:sz w:val="18"/>
                          </w:rPr>
                        </w:pPr>
                        <w:r>
                          <w:rPr>
                            <w:color w:val="231F20"/>
                            <w:sz w:val="18"/>
                          </w:rPr>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ind w:right="58"/>
                          <w:jc w:val="right"/>
                          <w:rPr>
                            <w:sz w:val="18"/>
                          </w:rPr>
                        </w:pPr>
                        <w:r>
                          <w:rPr>
                            <w:color w:val="231F20"/>
                            <w:sz w:val="18"/>
                          </w:rPr>
                          <w:t>21</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880" w:type="dxa"/>
                        <w:shd w:val="clear" w:color="auto" w:fill="D1D3D4"/>
                      </w:tcPr>
                      <w:p>
                        <w:pPr>
                          <w:pStyle w:val="TableParagraph"/>
                          <w:spacing w:before="32"/>
                          <w:ind w:right="58"/>
                          <w:jc w:val="right"/>
                          <w:rPr>
                            <w:sz w:val="18"/>
                          </w:rPr>
                        </w:pPr>
                        <w:r>
                          <w:rPr>
                            <w:color w:val="231F20"/>
                            <w:sz w:val="18"/>
                          </w:rPr>
                          <w:t>—</w:t>
                        </w:r>
                      </w:p>
                    </w:tc>
                    <w:tc>
                      <w:tcPr>
                        <w:tcW w:w="920" w:type="dxa"/>
                        <w:shd w:val="clear" w:color="auto" w:fill="D1D3D4"/>
                      </w:tcPr>
                      <w:p>
                        <w:pPr>
                          <w:pStyle w:val="TableParagraph"/>
                          <w:spacing w:before="32"/>
                          <w:ind w:right="38"/>
                          <w:jc w:val="right"/>
                          <w:rPr>
                            <w:sz w:val="18"/>
                          </w:rPr>
                        </w:pPr>
                        <w:r>
                          <w:rPr>
                            <w:color w:val="231F20"/>
                            <w:sz w:val="18"/>
                          </w:rPr>
                          <w:t>(151)</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107"/>
                          <w:jc w:val="right"/>
                          <w:rPr>
                            <w:sz w:val="18"/>
                          </w:rPr>
                        </w:pPr>
                        <w:r>
                          <w:rPr>
                            <w:color w:val="231F20"/>
                            <w:sz w:val="18"/>
                          </w:rPr>
                          <w:t>—</w:t>
                        </w:r>
                      </w:p>
                    </w:tc>
                    <w:tc>
                      <w:tcPr>
                        <w:tcW w:w="830" w:type="dxa"/>
                        <w:shd w:val="clear" w:color="auto" w:fill="D1D3D4"/>
                      </w:tcPr>
                      <w:p>
                        <w:pPr>
                          <w:pStyle w:val="TableParagraph"/>
                          <w:spacing w:before="32"/>
                          <w:jc w:val="right"/>
                          <w:rPr>
                            <w:sz w:val="18"/>
                          </w:rPr>
                        </w:pPr>
                        <w:r>
                          <w:rPr>
                            <w:color w:val="231F20"/>
                            <w:sz w:val="18"/>
                          </w:rPr>
                          <w:t>(151)</w:t>
                        </w:r>
                      </w:p>
                    </w:tc>
                  </w:tr>
                  <w:tr>
                    <w:trPr>
                      <w:trHeight w:val="275" w:hRule="exact"/>
                    </w:trPr>
                    <w:tc>
                      <w:tcPr>
                        <w:tcW w:w="4499" w:type="dxa"/>
                      </w:tcPr>
                      <w:p>
                        <w:pPr>
                          <w:pStyle w:val="TableParagraph"/>
                          <w:tabs>
                            <w:tab w:pos="3838" w:val="left" w:leader="none"/>
                          </w:tabs>
                          <w:spacing w:before="32"/>
                          <w:ind w:right="58"/>
                          <w:jc w:val="right"/>
                          <w:rPr>
                            <w:sz w:val="18"/>
                          </w:rPr>
                        </w:pPr>
                        <w:r>
                          <w:rPr>
                            <w:color w:val="231F20"/>
                            <w:sz w:val="18"/>
                          </w:rPr>
                          <w:t>Comprehensive income</w:t>
                          <w:tab/>
                          <w:t>—</w:t>
                        </w:r>
                      </w:p>
                    </w:tc>
                    <w:tc>
                      <w:tcPr>
                        <w:tcW w:w="880" w:type="dxa"/>
                        <w:tcBorders>
                          <w:bottom w:val="single" w:sz="4" w:space="0" w:color="231F20"/>
                        </w:tcBorders>
                      </w:tcPr>
                      <w:p>
                        <w:pPr>
                          <w:pStyle w:val="TableParagraph"/>
                          <w:spacing w:before="32"/>
                          <w:ind w:right="58"/>
                          <w:jc w:val="right"/>
                          <w:rPr>
                            <w:sz w:val="18"/>
                          </w:rPr>
                        </w:pPr>
                        <w:r>
                          <w:rPr>
                            <w:color w:val="231F20"/>
                            <w:sz w:val="18"/>
                          </w:rPr>
                          <w:t>—</w:t>
                        </w:r>
                      </w:p>
                    </w:tc>
                    <w:tc>
                      <w:tcPr>
                        <w:tcW w:w="920" w:type="dxa"/>
                        <w:tcBorders>
                          <w:bottom w:val="single" w:sz="4" w:space="0" w:color="231F20"/>
                        </w:tcBorders>
                      </w:tcPr>
                      <w:p>
                        <w:pPr>
                          <w:pStyle w:val="TableParagraph"/>
                          <w:spacing w:before="32"/>
                          <w:ind w:right="97"/>
                          <w:jc w:val="right"/>
                          <w:rPr>
                            <w:sz w:val="18"/>
                          </w:rPr>
                        </w:pPr>
                        <w:r>
                          <w:rPr>
                            <w:color w:val="231F20"/>
                            <w:sz w:val="18"/>
                          </w:rPr>
                          <w:t>1,136</w:t>
                        </w:r>
                      </w:p>
                    </w:tc>
                    <w:tc>
                      <w:tcPr>
                        <w:tcW w:w="1231" w:type="dxa"/>
                      </w:tcPr>
                      <w:p>
                        <w:pPr>
                          <w:pStyle w:val="TableParagraph"/>
                          <w:spacing w:before="32"/>
                          <w:ind w:left="671"/>
                          <w:rPr>
                            <w:sz w:val="18"/>
                          </w:rPr>
                        </w:pPr>
                        <w:r>
                          <w:rPr>
                            <w:color w:val="231F20"/>
                            <w:sz w:val="18"/>
                          </w:rPr>
                          <w:t>(735)</w:t>
                        </w:r>
                      </w:p>
                    </w:tc>
                    <w:tc>
                      <w:tcPr>
                        <w:tcW w:w="760" w:type="dxa"/>
                        <w:tcBorders>
                          <w:bottom w:val="single" w:sz="4" w:space="0" w:color="231F20"/>
                        </w:tcBorders>
                      </w:tcPr>
                      <w:p>
                        <w:pPr>
                          <w:pStyle w:val="TableParagraph"/>
                          <w:spacing w:before="32"/>
                          <w:ind w:right="107"/>
                          <w:jc w:val="right"/>
                          <w:rPr>
                            <w:sz w:val="18"/>
                          </w:rPr>
                        </w:pPr>
                        <w:r>
                          <w:rPr>
                            <w:color w:val="231F20"/>
                            <w:sz w:val="18"/>
                          </w:rPr>
                          <w:t>—</w:t>
                        </w:r>
                      </w:p>
                    </w:tc>
                    <w:tc>
                      <w:tcPr>
                        <w:tcW w:w="830" w:type="dxa"/>
                        <w:tcBorders>
                          <w:bottom w:val="single" w:sz="4" w:space="0" w:color="231F20"/>
                        </w:tcBorders>
                      </w:tcPr>
                      <w:p>
                        <w:pPr>
                          <w:pStyle w:val="TableParagraph"/>
                          <w:spacing w:before="32"/>
                          <w:ind w:right="58"/>
                          <w:jc w:val="right"/>
                          <w:rPr>
                            <w:sz w:val="18"/>
                          </w:rPr>
                        </w:pPr>
                        <w:r>
                          <w:rPr>
                            <w:color w:val="231F20"/>
                            <w:sz w:val="18"/>
                          </w:rPr>
                          <w:t>401</w:t>
                        </w:r>
                      </w:p>
                    </w:tc>
                  </w:tr>
                  <w:tr>
                    <w:trPr>
                      <w:trHeight w:val="280" w:hRule="exact"/>
                    </w:trPr>
                    <w:tc>
                      <w:tcPr>
                        <w:tcW w:w="4499" w:type="dxa"/>
                        <w:shd w:val="clear" w:color="auto" w:fill="D1D3D4"/>
                      </w:tcPr>
                      <w:p>
                        <w:pPr>
                          <w:pStyle w:val="TableParagraph"/>
                          <w:tabs>
                            <w:tab w:pos="3658" w:val="left" w:leader="none"/>
                            <w:tab w:pos="4108" w:val="left" w:leader="none"/>
                          </w:tabs>
                          <w:spacing w:before="27"/>
                          <w:ind w:right="58"/>
                          <w:jc w:val="right"/>
                          <w:rPr>
                            <w:sz w:val="18"/>
                          </w:rPr>
                        </w:pPr>
                        <w:r>
                          <w:rPr>
                            <w:color w:val="231F20"/>
                            <w:sz w:val="18"/>
                          </w:rPr>
                          <w:t>Balance at December 31, 2014</w:t>
                          <w:tab/>
                          <w:t>$</w:t>
                          <w:tab/>
                          <w:t>808</w:t>
                        </w:r>
                      </w:p>
                    </w:tc>
                    <w:tc>
                      <w:tcPr>
                        <w:tcW w:w="880" w:type="dxa"/>
                        <w:tcBorders>
                          <w:top w:val="single" w:sz="4" w:space="0" w:color="231F20"/>
                          <w:bottom w:val="single" w:sz="4" w:space="0" w:color="231F20"/>
                        </w:tcBorders>
                        <w:shd w:val="clear" w:color="auto" w:fill="D1D3D4"/>
                      </w:tcPr>
                      <w:p>
                        <w:pPr>
                          <w:pStyle w:val="TableParagraph"/>
                          <w:tabs>
                            <w:tab w:pos="334" w:val="left" w:leader="none"/>
                          </w:tabs>
                          <w:spacing w:before="22"/>
                          <w:ind w:right="58"/>
                          <w:jc w:val="right"/>
                          <w:rPr>
                            <w:sz w:val="18"/>
                          </w:rPr>
                        </w:pPr>
                        <w:r>
                          <w:rPr>
                            <w:color w:val="231F20"/>
                            <w:sz w:val="18"/>
                          </w:rPr>
                          <w:t>$</w:t>
                          <w:tab/>
                        </w:r>
                        <w:r>
                          <w:rPr>
                            <w:color w:val="231F20"/>
                            <w:spacing w:val="-1"/>
                            <w:sz w:val="18"/>
                          </w:rPr>
                          <w:t>1,315</w:t>
                        </w:r>
                      </w:p>
                    </w:tc>
                    <w:tc>
                      <w:tcPr>
                        <w:tcW w:w="920" w:type="dxa"/>
                        <w:tcBorders>
                          <w:top w:val="single" w:sz="4" w:space="0" w:color="231F20"/>
                          <w:bottom w:val="single" w:sz="4" w:space="0" w:color="231F20"/>
                        </w:tcBorders>
                        <w:shd w:val="clear" w:color="auto" w:fill="D1D3D4"/>
                      </w:tcPr>
                      <w:p>
                        <w:pPr>
                          <w:pStyle w:val="TableParagraph"/>
                          <w:tabs>
                            <w:tab w:pos="334" w:val="left" w:leader="none"/>
                          </w:tabs>
                          <w:spacing w:before="22"/>
                          <w:ind w:right="97"/>
                          <w:jc w:val="right"/>
                          <w:rPr>
                            <w:sz w:val="18"/>
                          </w:rPr>
                        </w:pPr>
                        <w:r>
                          <w:rPr>
                            <w:color w:val="231F20"/>
                            <w:sz w:val="18"/>
                          </w:rPr>
                          <w:t>$</w:t>
                          <w:tab/>
                        </w:r>
                        <w:r>
                          <w:rPr>
                            <w:color w:val="231F20"/>
                            <w:spacing w:val="-1"/>
                            <w:sz w:val="18"/>
                          </w:rPr>
                          <w:t>7,416</w:t>
                        </w:r>
                      </w:p>
                    </w:tc>
                    <w:tc>
                      <w:tcPr>
                        <w:tcW w:w="1231" w:type="dxa"/>
                        <w:shd w:val="clear" w:color="auto" w:fill="D1D3D4"/>
                      </w:tcPr>
                      <w:p>
                        <w:pPr>
                          <w:pStyle w:val="TableParagraph"/>
                          <w:tabs>
                            <w:tab w:pos="670" w:val="left" w:leader="none"/>
                          </w:tabs>
                          <w:spacing w:before="27"/>
                          <w:ind w:left="40"/>
                          <w:rPr>
                            <w:sz w:val="18"/>
                          </w:rPr>
                        </w:pPr>
                        <w:r>
                          <w:rPr>
                            <w:color w:val="231F20"/>
                            <w:sz w:val="18"/>
                          </w:rPr>
                          <w:t>$</w:t>
                          <w:tab/>
                          <w:t>(738)</w:t>
                        </w:r>
                        <w:r>
                          <w:rPr>
                            <w:color w:val="231F20"/>
                            <w:spacing w:val="35"/>
                            <w:sz w:val="18"/>
                          </w:rPr>
                          <w:t> </w:t>
                        </w:r>
                        <w:r>
                          <w:rPr>
                            <w:color w:val="231F20"/>
                            <w:sz w:val="18"/>
                          </w:rPr>
                          <w:t>$</w:t>
                        </w:r>
                      </w:p>
                    </w:tc>
                    <w:tc>
                      <w:tcPr>
                        <w:tcW w:w="760" w:type="dxa"/>
                        <w:tcBorders>
                          <w:top w:val="single" w:sz="4" w:space="0" w:color="231F20"/>
                          <w:bottom w:val="single" w:sz="4" w:space="0" w:color="231F20"/>
                        </w:tcBorders>
                        <w:shd w:val="clear" w:color="auto" w:fill="D1D3D4"/>
                      </w:tcPr>
                      <w:p>
                        <w:pPr>
                          <w:pStyle w:val="TableParagraph"/>
                          <w:spacing w:before="22"/>
                          <w:ind w:right="48"/>
                          <w:jc w:val="right"/>
                          <w:rPr>
                            <w:sz w:val="18"/>
                          </w:rPr>
                        </w:pPr>
                        <w:r>
                          <w:rPr>
                            <w:color w:val="231F20"/>
                            <w:sz w:val="18"/>
                          </w:rPr>
                          <w:t>(2,026)</w:t>
                        </w:r>
                      </w:p>
                    </w:tc>
                    <w:tc>
                      <w:tcPr>
                        <w:tcW w:w="830" w:type="dxa"/>
                        <w:tcBorders>
                          <w:top w:val="single" w:sz="4" w:space="0" w:color="231F20"/>
                          <w:bottom w:val="single" w:sz="4" w:space="0" w:color="231F20"/>
                        </w:tcBorders>
                        <w:shd w:val="clear" w:color="auto" w:fill="D1D3D4"/>
                      </w:tcPr>
                      <w:p>
                        <w:pPr>
                          <w:pStyle w:val="TableParagraph"/>
                          <w:tabs>
                            <w:tab w:pos="314" w:val="left" w:leader="none"/>
                          </w:tabs>
                          <w:spacing w:before="22"/>
                          <w:ind w:right="59"/>
                          <w:jc w:val="right"/>
                          <w:rPr>
                            <w:sz w:val="18"/>
                          </w:rPr>
                        </w:pPr>
                        <w:r>
                          <w:rPr>
                            <w:color w:val="231F20"/>
                            <w:sz w:val="18"/>
                          </w:rPr>
                          <w:t>$</w:t>
                          <w:tab/>
                        </w:r>
                        <w:r>
                          <w:rPr>
                            <w:color w:val="231F20"/>
                            <w:spacing w:val="-1"/>
                            <w:sz w:val="18"/>
                          </w:rPr>
                          <w:t>6,775</w:t>
                        </w:r>
                      </w:p>
                    </w:tc>
                  </w:tr>
                  <w:tr>
                    <w:trPr>
                      <w:trHeight w:val="265" w:hRule="exact"/>
                    </w:trPr>
                    <w:tc>
                      <w:tcPr>
                        <w:tcW w:w="4499" w:type="dxa"/>
                      </w:tcPr>
                      <w:p>
                        <w:pPr>
                          <w:pStyle w:val="TableParagraph"/>
                          <w:tabs>
                            <w:tab w:pos="3838" w:val="left" w:leader="none"/>
                          </w:tabs>
                          <w:spacing w:before="37"/>
                          <w:ind w:right="58"/>
                          <w:jc w:val="right"/>
                          <w:rPr>
                            <w:sz w:val="18"/>
                          </w:rPr>
                        </w:pPr>
                        <w:r>
                          <w:rPr>
                            <w:color w:val="231F20"/>
                            <w:sz w:val="18"/>
                          </w:rPr>
                          <w:t>Repurchase of common stock</w:t>
                          <w:tab/>
                          <w:t>—</w:t>
                        </w:r>
                      </w:p>
                    </w:tc>
                    <w:tc>
                      <w:tcPr>
                        <w:tcW w:w="880" w:type="dxa"/>
                        <w:tcBorders>
                          <w:top w:val="single" w:sz="4" w:space="0" w:color="231F20"/>
                        </w:tcBorders>
                      </w:tcPr>
                      <w:p>
                        <w:pPr>
                          <w:pStyle w:val="TableParagraph"/>
                          <w:spacing w:before="32"/>
                          <w:ind w:right="58"/>
                          <w:jc w:val="right"/>
                          <w:rPr>
                            <w:sz w:val="18"/>
                          </w:rPr>
                        </w:pPr>
                        <w:r>
                          <w:rPr>
                            <w:color w:val="231F20"/>
                            <w:sz w:val="18"/>
                          </w:rPr>
                          <w:t>—</w:t>
                        </w:r>
                      </w:p>
                    </w:tc>
                    <w:tc>
                      <w:tcPr>
                        <w:tcW w:w="920" w:type="dxa"/>
                        <w:tcBorders>
                          <w:top w:val="single" w:sz="4" w:space="0" w:color="231F20"/>
                        </w:tcBorders>
                      </w:tcPr>
                      <w:p>
                        <w:pPr>
                          <w:pStyle w:val="TableParagraph"/>
                          <w:spacing w:before="32"/>
                          <w:ind w:right="97"/>
                          <w:jc w:val="right"/>
                          <w:rPr>
                            <w:sz w:val="18"/>
                          </w:rPr>
                        </w:pPr>
                        <w:r>
                          <w:rPr>
                            <w:color w:val="231F20"/>
                            <w:sz w:val="18"/>
                          </w:rPr>
                          <w:t>—</w:t>
                        </w:r>
                      </w:p>
                    </w:tc>
                    <w:tc>
                      <w:tcPr>
                        <w:tcW w:w="1231" w:type="dxa"/>
                      </w:tcPr>
                      <w:p>
                        <w:pPr>
                          <w:pStyle w:val="TableParagraph"/>
                          <w:spacing w:before="37"/>
                          <w:ind w:right="228"/>
                          <w:jc w:val="right"/>
                          <w:rPr>
                            <w:sz w:val="18"/>
                          </w:rPr>
                        </w:pPr>
                        <w:r>
                          <w:rPr>
                            <w:color w:val="231F20"/>
                            <w:sz w:val="18"/>
                          </w:rPr>
                          <w:t>—</w:t>
                        </w:r>
                      </w:p>
                    </w:tc>
                    <w:tc>
                      <w:tcPr>
                        <w:tcW w:w="760" w:type="dxa"/>
                        <w:tcBorders>
                          <w:top w:val="single" w:sz="4" w:space="0" w:color="231F20"/>
                        </w:tcBorders>
                      </w:tcPr>
                      <w:p>
                        <w:pPr>
                          <w:pStyle w:val="TableParagraph"/>
                          <w:spacing w:before="32"/>
                          <w:ind w:right="48"/>
                          <w:jc w:val="right"/>
                          <w:rPr>
                            <w:sz w:val="18"/>
                          </w:rPr>
                        </w:pPr>
                        <w:r>
                          <w:rPr>
                            <w:color w:val="231F20"/>
                            <w:sz w:val="18"/>
                          </w:rPr>
                          <w:t>(1,180)</w:t>
                        </w:r>
                      </w:p>
                    </w:tc>
                    <w:tc>
                      <w:tcPr>
                        <w:tcW w:w="830" w:type="dxa"/>
                        <w:tcBorders>
                          <w:top w:val="single" w:sz="4" w:space="0" w:color="231F20"/>
                        </w:tcBorders>
                      </w:tcPr>
                      <w:p>
                        <w:pPr>
                          <w:pStyle w:val="TableParagraph"/>
                          <w:spacing w:before="32"/>
                          <w:jc w:val="right"/>
                          <w:rPr>
                            <w:sz w:val="18"/>
                          </w:rPr>
                        </w:pPr>
                        <w:r>
                          <w:rPr>
                            <w:color w:val="231F20"/>
                            <w:sz w:val="18"/>
                          </w:rPr>
                          <w:t>(1,180)</w:t>
                        </w:r>
                      </w:p>
                    </w:tc>
                  </w:tr>
                  <w:tr>
                    <w:trPr>
                      <w:trHeight w:val="480" w:hRule="exact"/>
                    </w:trPr>
                    <w:tc>
                      <w:tcPr>
                        <w:tcW w:w="4499" w:type="dxa"/>
                        <w:shd w:val="clear" w:color="auto" w:fill="D1D3D4"/>
                      </w:tcPr>
                      <w:p>
                        <w:pPr>
                          <w:pStyle w:val="TableParagraph"/>
                          <w:tabs>
                            <w:tab w:pos="3838" w:val="left" w:leader="none"/>
                          </w:tabs>
                          <w:spacing w:before="32"/>
                          <w:ind w:right="59"/>
                          <w:jc w:val="right"/>
                          <w:rPr>
                            <w:sz w:val="18"/>
                          </w:rPr>
                        </w:pPr>
                        <w:r>
                          <w:rPr>
                            <w:color w:val="231F20"/>
                            <w:sz w:val="18"/>
                          </w:rPr>
                          <w:t>Issuance of common and treasury stock</w:t>
                          <w:tab/>
                        </w:r>
                        <w:r>
                          <w:rPr>
                            <w:color w:val="231F20"/>
                            <w:position w:val="-10"/>
                            <w:sz w:val="18"/>
                          </w:rPr>
                          <w:t>—</w:t>
                        </w:r>
                      </w:p>
                    </w:tc>
                    <w:tc>
                      <w:tcPr>
                        <w:tcW w:w="880" w:type="dxa"/>
                        <w:shd w:val="clear" w:color="auto" w:fill="D1D3D4"/>
                      </w:tcPr>
                      <w:p>
                        <w:pPr>
                          <w:pStyle w:val="TableParagraph"/>
                          <w:spacing w:before="142"/>
                          <w:ind w:right="59"/>
                          <w:jc w:val="right"/>
                          <w:rPr>
                            <w:sz w:val="18"/>
                          </w:rPr>
                        </w:pPr>
                        <w:r>
                          <w:rPr>
                            <w:color w:val="231F20"/>
                            <w:sz w:val="18"/>
                          </w:rPr>
                          <w:t>6</w:t>
                        </w:r>
                      </w:p>
                    </w:tc>
                    <w:tc>
                      <w:tcPr>
                        <w:tcW w:w="920" w:type="dxa"/>
                        <w:shd w:val="clear" w:color="auto" w:fill="D1D3D4"/>
                      </w:tcPr>
                      <w:p>
                        <w:pPr>
                          <w:pStyle w:val="TableParagraph"/>
                          <w:spacing w:before="142"/>
                          <w:ind w:right="97"/>
                          <w:jc w:val="right"/>
                          <w:rPr>
                            <w:sz w:val="18"/>
                          </w:rPr>
                        </w:pPr>
                        <w:r>
                          <w:rPr>
                            <w:color w:val="231F20"/>
                            <w:sz w:val="18"/>
                          </w:rPr>
                          <w:t>—</w:t>
                        </w:r>
                      </w:p>
                    </w:tc>
                    <w:tc>
                      <w:tcPr>
                        <w:tcW w:w="1231" w:type="dxa"/>
                        <w:shd w:val="clear" w:color="auto" w:fill="D1D3D4"/>
                      </w:tcPr>
                      <w:p>
                        <w:pPr>
                          <w:pStyle w:val="TableParagraph"/>
                          <w:spacing w:before="142"/>
                          <w:ind w:right="229"/>
                          <w:jc w:val="right"/>
                          <w:rPr>
                            <w:sz w:val="18"/>
                          </w:rPr>
                        </w:pPr>
                        <w:r>
                          <w:rPr>
                            <w:color w:val="231F20"/>
                            <w:sz w:val="18"/>
                          </w:rPr>
                          <w:t>—</w:t>
                        </w:r>
                      </w:p>
                    </w:tc>
                    <w:tc>
                      <w:tcPr>
                        <w:tcW w:w="760" w:type="dxa"/>
                        <w:shd w:val="clear" w:color="auto" w:fill="D1D3D4"/>
                      </w:tcPr>
                      <w:p>
                        <w:pPr>
                          <w:pStyle w:val="TableParagraph"/>
                          <w:spacing w:before="142"/>
                          <w:ind w:right="107"/>
                          <w:jc w:val="right"/>
                          <w:rPr>
                            <w:sz w:val="18"/>
                          </w:rPr>
                        </w:pPr>
                        <w:r>
                          <w:rPr>
                            <w:color w:val="231F20"/>
                            <w:sz w:val="18"/>
                          </w:rPr>
                          <w:t>24</w:t>
                        </w:r>
                      </w:p>
                    </w:tc>
                    <w:tc>
                      <w:tcPr>
                        <w:tcW w:w="830" w:type="dxa"/>
                        <w:shd w:val="clear" w:color="auto" w:fill="D1D3D4"/>
                      </w:tcPr>
                      <w:p>
                        <w:pPr>
                          <w:pStyle w:val="TableParagraph"/>
                          <w:spacing w:before="142"/>
                          <w:ind w:right="59"/>
                          <w:jc w:val="right"/>
                          <w:rPr>
                            <w:sz w:val="18"/>
                          </w:rPr>
                        </w:pPr>
                        <w:r>
                          <w:rPr>
                            <w:color w:val="231F20"/>
                            <w:sz w:val="18"/>
                          </w:rPr>
                          <w:t>30</w:t>
                        </w:r>
                      </w:p>
                    </w:tc>
                  </w:tr>
                  <w:tr>
                    <w:trPr>
                      <w:trHeight w:val="480" w:hRule="exact"/>
                    </w:trPr>
                    <w:tc>
                      <w:tcPr>
                        <w:tcW w:w="4499" w:type="dxa"/>
                      </w:tcPr>
                      <w:p>
                        <w:pPr>
                          <w:pStyle w:val="TableParagraph"/>
                          <w:tabs>
                            <w:tab w:pos="3838" w:val="left" w:leader="none"/>
                          </w:tabs>
                          <w:spacing w:before="32"/>
                          <w:ind w:right="59"/>
                          <w:jc w:val="right"/>
                          <w:rPr>
                            <w:sz w:val="18"/>
                          </w:rPr>
                        </w:pPr>
                        <w:r>
                          <w:rPr>
                            <w:color w:val="231F20"/>
                            <w:sz w:val="18"/>
                          </w:rPr>
                          <w:t>Net tax benefit (expense) of options</w:t>
                          <w:tab/>
                        </w:r>
                        <w:r>
                          <w:rPr>
                            <w:color w:val="231F20"/>
                            <w:position w:val="-10"/>
                            <w:sz w:val="18"/>
                          </w:rPr>
                          <w:t>—</w:t>
                        </w:r>
                      </w:p>
                    </w:tc>
                    <w:tc>
                      <w:tcPr>
                        <w:tcW w:w="880" w:type="dxa"/>
                      </w:tcPr>
                      <w:p>
                        <w:pPr>
                          <w:pStyle w:val="TableParagraph"/>
                          <w:spacing w:before="142"/>
                          <w:ind w:right="59"/>
                          <w:jc w:val="right"/>
                          <w:rPr>
                            <w:sz w:val="18"/>
                          </w:rPr>
                        </w:pPr>
                        <w:r>
                          <w:rPr>
                            <w:color w:val="231F20"/>
                            <w:sz w:val="18"/>
                          </w:rPr>
                          <w:t>24</w:t>
                        </w:r>
                      </w:p>
                    </w:tc>
                    <w:tc>
                      <w:tcPr>
                        <w:tcW w:w="920" w:type="dxa"/>
                      </w:tcPr>
                      <w:p>
                        <w:pPr>
                          <w:pStyle w:val="TableParagraph"/>
                          <w:spacing w:before="142"/>
                          <w:ind w:right="97"/>
                          <w:jc w:val="right"/>
                          <w:rPr>
                            <w:sz w:val="18"/>
                          </w:rPr>
                        </w:pPr>
                        <w:r>
                          <w:rPr>
                            <w:color w:val="231F20"/>
                            <w:sz w:val="18"/>
                          </w:rPr>
                          <w:t>—</w:t>
                        </w:r>
                      </w:p>
                    </w:tc>
                    <w:tc>
                      <w:tcPr>
                        <w:tcW w:w="1231" w:type="dxa"/>
                      </w:tcPr>
                      <w:p>
                        <w:pPr>
                          <w:pStyle w:val="TableParagraph"/>
                          <w:spacing w:before="142"/>
                          <w:ind w:right="229"/>
                          <w:jc w:val="right"/>
                          <w:rPr>
                            <w:sz w:val="18"/>
                          </w:rPr>
                        </w:pPr>
                        <w:r>
                          <w:rPr>
                            <w:color w:val="231F20"/>
                            <w:sz w:val="18"/>
                          </w:rPr>
                          <w:t>—</w:t>
                        </w:r>
                      </w:p>
                    </w:tc>
                    <w:tc>
                      <w:tcPr>
                        <w:tcW w:w="760" w:type="dxa"/>
                      </w:tcPr>
                      <w:p>
                        <w:pPr>
                          <w:pStyle w:val="TableParagraph"/>
                          <w:spacing w:before="142"/>
                          <w:ind w:right="107"/>
                          <w:jc w:val="right"/>
                          <w:rPr>
                            <w:sz w:val="18"/>
                          </w:rPr>
                        </w:pPr>
                        <w:r>
                          <w:rPr>
                            <w:color w:val="231F20"/>
                            <w:sz w:val="18"/>
                          </w:rPr>
                          <w:t>—</w:t>
                        </w:r>
                      </w:p>
                    </w:tc>
                    <w:tc>
                      <w:tcPr>
                        <w:tcW w:w="830" w:type="dxa"/>
                      </w:tcPr>
                      <w:p>
                        <w:pPr>
                          <w:pStyle w:val="TableParagraph"/>
                          <w:spacing w:before="142"/>
                          <w:ind w:right="59"/>
                          <w:jc w:val="right"/>
                          <w:rPr>
                            <w:sz w:val="18"/>
                          </w:rPr>
                        </w:pPr>
                        <w:r>
                          <w:rPr>
                            <w:color w:val="231F20"/>
                            <w:sz w:val="18"/>
                          </w:rPr>
                          <w:t>24</w:t>
                        </w:r>
                      </w:p>
                    </w:tc>
                  </w:tr>
                  <w:tr>
                    <w:trPr>
                      <w:trHeight w:val="260"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Share-based compensation</w:t>
                          <w:tab/>
                        </w:r>
                        <w:r>
                          <w:rPr>
                            <w:color w:val="231F20"/>
                            <w:spacing w:val="-1"/>
                            <w:sz w:val="18"/>
                          </w:rPr>
                          <w:t>—</w:t>
                        </w:r>
                      </w:p>
                    </w:tc>
                    <w:tc>
                      <w:tcPr>
                        <w:tcW w:w="880" w:type="dxa"/>
                        <w:shd w:val="clear" w:color="auto" w:fill="D1D3D4"/>
                      </w:tcPr>
                      <w:p>
                        <w:pPr>
                          <w:pStyle w:val="TableParagraph"/>
                          <w:spacing w:before="32"/>
                          <w:ind w:right="58"/>
                          <w:jc w:val="right"/>
                          <w:rPr>
                            <w:sz w:val="18"/>
                          </w:rPr>
                        </w:pPr>
                        <w:r>
                          <w:rPr>
                            <w:color w:val="231F20"/>
                            <w:sz w:val="18"/>
                          </w:rPr>
                          <w:t>29</w:t>
                        </w:r>
                      </w:p>
                    </w:tc>
                    <w:tc>
                      <w:tcPr>
                        <w:tcW w:w="920" w:type="dxa"/>
                        <w:shd w:val="clear" w:color="auto" w:fill="D1D3D4"/>
                      </w:tcPr>
                      <w:p>
                        <w:pPr>
                          <w:pStyle w:val="TableParagraph"/>
                          <w:spacing w:before="32"/>
                          <w:ind w:right="97"/>
                          <w:jc w:val="right"/>
                          <w:rPr>
                            <w:sz w:val="18"/>
                          </w:rPr>
                        </w:pPr>
                        <w:r>
                          <w:rPr>
                            <w:color w:val="231F20"/>
                            <w:sz w:val="18"/>
                          </w:rPr>
                          <w:t>—</w:t>
                        </w:r>
                      </w:p>
                    </w:tc>
                    <w:tc>
                      <w:tcPr>
                        <w:tcW w:w="1231" w:type="dxa"/>
                        <w:shd w:val="clear" w:color="auto" w:fill="D1D3D4"/>
                      </w:tcPr>
                      <w:p>
                        <w:pPr>
                          <w:pStyle w:val="TableParagraph"/>
                          <w:spacing w:before="32"/>
                          <w:ind w:right="228"/>
                          <w:jc w:val="right"/>
                          <w:rPr>
                            <w:sz w:val="18"/>
                          </w:rPr>
                        </w:pPr>
                        <w:r>
                          <w:rPr>
                            <w:color w:val="231F20"/>
                            <w:sz w:val="18"/>
                          </w:rPr>
                          <w:t>—</w:t>
                        </w:r>
                      </w:p>
                    </w:tc>
                    <w:tc>
                      <w:tcPr>
                        <w:tcW w:w="760" w:type="dxa"/>
                        <w:shd w:val="clear" w:color="auto" w:fill="D1D3D4"/>
                      </w:tcPr>
                      <w:p>
                        <w:pPr>
                          <w:pStyle w:val="TableParagraph"/>
                          <w:spacing w:before="32"/>
                          <w:ind w:right="107"/>
                          <w:jc w:val="right"/>
                          <w:rPr>
                            <w:sz w:val="18"/>
                          </w:rPr>
                        </w:pPr>
                        <w:r>
                          <w:rPr>
                            <w:color w:val="231F20"/>
                            <w:sz w:val="18"/>
                          </w:rPr>
                          <w:t>—</w:t>
                        </w:r>
                      </w:p>
                    </w:tc>
                    <w:tc>
                      <w:tcPr>
                        <w:tcW w:w="830" w:type="dxa"/>
                        <w:shd w:val="clear" w:color="auto" w:fill="D1D3D4"/>
                      </w:tcPr>
                      <w:p>
                        <w:pPr>
                          <w:pStyle w:val="TableParagraph"/>
                          <w:spacing w:before="32"/>
                          <w:ind w:right="58"/>
                          <w:jc w:val="right"/>
                          <w:rPr>
                            <w:sz w:val="18"/>
                          </w:rPr>
                        </w:pPr>
                        <w:r>
                          <w:rPr>
                            <w:color w:val="231F20"/>
                            <w:sz w:val="18"/>
                          </w:rPr>
                          <w:t>29</w:t>
                        </w:r>
                      </w:p>
                    </w:tc>
                  </w:tr>
                  <w:tr>
                    <w:trPr>
                      <w:trHeight w:val="260" w:hRule="exact"/>
                    </w:trPr>
                    <w:tc>
                      <w:tcPr>
                        <w:tcW w:w="4499" w:type="dxa"/>
                      </w:tcPr>
                      <w:p>
                        <w:pPr>
                          <w:pStyle w:val="TableParagraph"/>
                          <w:tabs>
                            <w:tab w:pos="3838" w:val="left" w:leader="none"/>
                          </w:tabs>
                          <w:spacing w:before="32"/>
                          <w:ind w:right="58"/>
                          <w:jc w:val="right"/>
                          <w:rPr>
                            <w:sz w:val="18"/>
                          </w:rPr>
                        </w:pPr>
                        <w:r>
                          <w:rPr>
                            <w:color w:val="231F20"/>
                            <w:sz w:val="18"/>
                          </w:rPr>
                          <w:t>Cash dividends, $.2850</w:t>
                        </w:r>
                        <w:r>
                          <w:rPr>
                            <w:color w:val="231F20"/>
                            <w:spacing w:val="-1"/>
                            <w:sz w:val="18"/>
                          </w:rPr>
                          <w:t> </w:t>
                        </w:r>
                        <w:r>
                          <w:rPr>
                            <w:color w:val="231F20"/>
                            <w:sz w:val="18"/>
                          </w:rPr>
                          <w:t>per share</w:t>
                          <w:tab/>
                          <w:t>—</w:t>
                        </w:r>
                      </w:p>
                    </w:tc>
                    <w:tc>
                      <w:tcPr>
                        <w:tcW w:w="880" w:type="dxa"/>
                      </w:tcPr>
                      <w:p>
                        <w:pPr>
                          <w:pStyle w:val="TableParagraph"/>
                          <w:spacing w:before="32"/>
                          <w:ind w:right="58"/>
                          <w:jc w:val="right"/>
                          <w:rPr>
                            <w:sz w:val="18"/>
                          </w:rPr>
                        </w:pPr>
                        <w:r>
                          <w:rPr>
                            <w:color w:val="231F20"/>
                            <w:sz w:val="18"/>
                          </w:rPr>
                          <w:t>—</w:t>
                        </w:r>
                      </w:p>
                    </w:tc>
                    <w:tc>
                      <w:tcPr>
                        <w:tcW w:w="920" w:type="dxa"/>
                      </w:tcPr>
                      <w:p>
                        <w:pPr>
                          <w:pStyle w:val="TableParagraph"/>
                          <w:spacing w:before="32"/>
                          <w:ind w:right="38"/>
                          <w:jc w:val="right"/>
                          <w:rPr>
                            <w:sz w:val="18"/>
                          </w:rPr>
                        </w:pPr>
                        <w:r>
                          <w:rPr>
                            <w:color w:val="231F20"/>
                            <w:sz w:val="18"/>
                          </w:rPr>
                          <w:t>(188)</w:t>
                        </w:r>
                      </w:p>
                    </w:tc>
                    <w:tc>
                      <w:tcPr>
                        <w:tcW w:w="1231" w:type="dxa"/>
                      </w:tcPr>
                      <w:p>
                        <w:pPr>
                          <w:pStyle w:val="TableParagraph"/>
                          <w:spacing w:before="32"/>
                          <w:ind w:right="228"/>
                          <w:jc w:val="right"/>
                          <w:rPr>
                            <w:sz w:val="18"/>
                          </w:rPr>
                        </w:pPr>
                        <w:r>
                          <w:rPr>
                            <w:color w:val="231F20"/>
                            <w:sz w:val="18"/>
                          </w:rPr>
                          <w:t>—</w:t>
                        </w:r>
                      </w:p>
                    </w:tc>
                    <w:tc>
                      <w:tcPr>
                        <w:tcW w:w="760" w:type="dxa"/>
                      </w:tcPr>
                      <w:p>
                        <w:pPr>
                          <w:pStyle w:val="TableParagraph"/>
                          <w:spacing w:before="32"/>
                          <w:ind w:right="107"/>
                          <w:jc w:val="right"/>
                          <w:rPr>
                            <w:sz w:val="18"/>
                          </w:rPr>
                        </w:pPr>
                        <w:r>
                          <w:rPr>
                            <w:color w:val="231F20"/>
                            <w:sz w:val="18"/>
                          </w:rPr>
                          <w:t>—</w:t>
                        </w:r>
                      </w:p>
                    </w:tc>
                    <w:tc>
                      <w:tcPr>
                        <w:tcW w:w="830" w:type="dxa"/>
                      </w:tcPr>
                      <w:p>
                        <w:pPr>
                          <w:pStyle w:val="TableParagraph"/>
                          <w:spacing w:before="32"/>
                          <w:jc w:val="right"/>
                          <w:rPr>
                            <w:sz w:val="18"/>
                          </w:rPr>
                        </w:pPr>
                        <w:r>
                          <w:rPr>
                            <w:color w:val="231F20"/>
                            <w:sz w:val="18"/>
                          </w:rPr>
                          <w:t>(188)</w:t>
                        </w:r>
                      </w:p>
                    </w:tc>
                  </w:tr>
                  <w:tr>
                    <w:trPr>
                      <w:trHeight w:val="275" w:hRule="exact"/>
                    </w:trPr>
                    <w:tc>
                      <w:tcPr>
                        <w:tcW w:w="4499" w:type="dxa"/>
                        <w:shd w:val="clear" w:color="auto" w:fill="D1D3D4"/>
                      </w:tcPr>
                      <w:p>
                        <w:pPr>
                          <w:pStyle w:val="TableParagraph"/>
                          <w:tabs>
                            <w:tab w:pos="3838" w:val="left" w:leader="none"/>
                          </w:tabs>
                          <w:spacing w:before="32"/>
                          <w:ind w:right="58"/>
                          <w:jc w:val="right"/>
                          <w:rPr>
                            <w:sz w:val="18"/>
                          </w:rPr>
                        </w:pPr>
                        <w:r>
                          <w:rPr>
                            <w:color w:val="231F20"/>
                            <w:sz w:val="18"/>
                          </w:rPr>
                          <w:t>Comprehensive income</w:t>
                          <w:tab/>
                          <w:t>—</w:t>
                        </w:r>
                      </w:p>
                    </w:tc>
                    <w:tc>
                      <w:tcPr>
                        <w:tcW w:w="880" w:type="dxa"/>
                        <w:tcBorders>
                          <w:bottom w:val="single" w:sz="4" w:space="0" w:color="231F20"/>
                        </w:tcBorders>
                        <w:shd w:val="clear" w:color="auto" w:fill="D1D3D4"/>
                      </w:tcPr>
                      <w:p>
                        <w:pPr>
                          <w:pStyle w:val="TableParagraph"/>
                          <w:spacing w:before="32"/>
                          <w:ind w:right="58"/>
                          <w:jc w:val="right"/>
                          <w:rPr>
                            <w:sz w:val="18"/>
                          </w:rPr>
                        </w:pPr>
                        <w:r>
                          <w:rPr>
                            <w:color w:val="231F20"/>
                            <w:sz w:val="18"/>
                          </w:rPr>
                          <w:t>—</w:t>
                        </w:r>
                      </w:p>
                    </w:tc>
                    <w:tc>
                      <w:tcPr>
                        <w:tcW w:w="920" w:type="dxa"/>
                        <w:tcBorders>
                          <w:bottom w:val="single" w:sz="4" w:space="0" w:color="231F20"/>
                        </w:tcBorders>
                        <w:shd w:val="clear" w:color="auto" w:fill="D1D3D4"/>
                      </w:tcPr>
                      <w:p>
                        <w:pPr>
                          <w:pStyle w:val="TableParagraph"/>
                          <w:spacing w:before="32"/>
                          <w:ind w:right="97"/>
                          <w:jc w:val="right"/>
                          <w:rPr>
                            <w:sz w:val="18"/>
                          </w:rPr>
                        </w:pPr>
                        <w:r>
                          <w:rPr>
                            <w:color w:val="231F20"/>
                            <w:sz w:val="18"/>
                          </w:rPr>
                          <w:t>2,181</w:t>
                        </w:r>
                      </w:p>
                    </w:tc>
                    <w:tc>
                      <w:tcPr>
                        <w:tcW w:w="1231" w:type="dxa"/>
                        <w:shd w:val="clear" w:color="auto" w:fill="D1D3D4"/>
                      </w:tcPr>
                      <w:p>
                        <w:pPr>
                          <w:pStyle w:val="TableParagraph"/>
                          <w:spacing w:before="32"/>
                          <w:ind w:left="671"/>
                          <w:rPr>
                            <w:sz w:val="18"/>
                          </w:rPr>
                        </w:pPr>
                        <w:r>
                          <w:rPr>
                            <w:color w:val="231F20"/>
                            <w:sz w:val="18"/>
                          </w:rPr>
                          <w:t>(313)</w:t>
                        </w:r>
                      </w:p>
                    </w:tc>
                    <w:tc>
                      <w:tcPr>
                        <w:tcW w:w="760" w:type="dxa"/>
                        <w:tcBorders>
                          <w:bottom w:val="single" w:sz="4" w:space="0" w:color="231F20"/>
                        </w:tcBorders>
                        <w:shd w:val="clear" w:color="auto" w:fill="D1D3D4"/>
                      </w:tcPr>
                      <w:p>
                        <w:pPr>
                          <w:pStyle w:val="TableParagraph"/>
                          <w:spacing w:before="32"/>
                          <w:ind w:right="107"/>
                          <w:jc w:val="right"/>
                          <w:rPr>
                            <w:sz w:val="18"/>
                          </w:rPr>
                        </w:pPr>
                        <w:r>
                          <w:rPr>
                            <w:color w:val="231F20"/>
                            <w:sz w:val="18"/>
                          </w:rPr>
                          <w:t>—</w:t>
                        </w:r>
                      </w:p>
                    </w:tc>
                    <w:tc>
                      <w:tcPr>
                        <w:tcW w:w="830" w:type="dxa"/>
                        <w:tcBorders>
                          <w:bottom w:val="single" w:sz="4" w:space="0" w:color="231F20"/>
                        </w:tcBorders>
                        <w:shd w:val="clear" w:color="auto" w:fill="D1D3D4"/>
                      </w:tcPr>
                      <w:p>
                        <w:pPr>
                          <w:pStyle w:val="TableParagraph"/>
                          <w:spacing w:before="32"/>
                          <w:ind w:left="365"/>
                          <w:rPr>
                            <w:sz w:val="18"/>
                          </w:rPr>
                        </w:pPr>
                        <w:r>
                          <w:rPr>
                            <w:color w:val="231F20"/>
                            <w:sz w:val="18"/>
                          </w:rPr>
                          <w:t>1,868</w:t>
                        </w:r>
                      </w:p>
                    </w:tc>
                  </w:tr>
                </w:tbl>
                <w:p>
                  <w:pPr>
                    <w:pStyle w:val="BodyText"/>
                  </w:pPr>
                </w:p>
              </w:txbxContent>
            </v:textbox>
            <w10:wrap type="none"/>
          </v:shape>
        </w:pict>
      </w:r>
      <w:r>
        <w:rPr>
          <w:b/>
          <w:color w:val="231F20"/>
          <w:sz w:val="16"/>
        </w:rPr>
        <w:t>Year ended December 31, 2015, 2014, and 2013</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line="556" w:lineRule="auto" w:before="128"/>
        <w:ind w:left="540" w:right="6370" w:firstLine="0"/>
        <w:jc w:val="left"/>
        <w:rPr>
          <w:sz w:val="18"/>
        </w:rPr>
      </w:pPr>
      <w:r>
        <w:rPr>
          <w:color w:val="231F20"/>
          <w:sz w:val="18"/>
        </w:rPr>
        <w:t>pursuant to Employee stock plans exercised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556" w:lineRule="auto" w:before="159"/>
        <w:ind w:left="54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928;mso-wrap-distance-left:0;mso-wrap-distance-right:0" from="385.950012pt,16.111958pt" to="437.000012pt,16.111958pt" stroked="true" strokeweight=".5pt" strokecolor="#231f20">
            <v:stroke dashstyle="solid"/>
            <w10:wrap type="topAndBottom"/>
          </v:line>
        </w:pict>
      </w:r>
      <w:r>
        <w:rPr/>
        <w:pict>
          <v:line style="position:absolute;mso-position-horizontal-relative:page;mso-position-vertical-relative:paragraph;z-index:3952;mso-wrap-distance-left:0;mso-wrap-distance-right:0" from="385.950012pt,30.111958pt" to="437.000012pt,30.111958pt" stroked="true" strokeweight=".5pt" strokecolor="#231f20">
            <v:stroke dashstyle="solid"/>
            <w10:wrap type="topAndBottom"/>
          </v:line>
        </w:pict>
      </w:r>
    </w:p>
    <w:p>
      <w:pPr>
        <w:pStyle w:val="BodyText"/>
        <w:spacing w:before="6"/>
        <w:rPr>
          <w:sz w:val="17"/>
        </w:rPr>
      </w:pPr>
    </w:p>
    <w:p>
      <w:pPr>
        <w:pStyle w:val="BodyText"/>
        <w:rPr>
          <w:sz w:val="20"/>
        </w:rPr>
      </w:pPr>
    </w:p>
    <w:p>
      <w:pPr>
        <w:pStyle w:val="BodyText"/>
        <w:spacing w:before="11"/>
        <w:rPr>
          <w:sz w:val="21"/>
        </w:rPr>
      </w:pPr>
    </w:p>
    <w:p>
      <w:pPr>
        <w:spacing w:line="556" w:lineRule="auto" w:before="0"/>
        <w:ind w:left="540" w:right="6370" w:firstLine="0"/>
        <w:jc w:val="left"/>
        <w:rPr>
          <w:sz w:val="18"/>
        </w:rPr>
      </w:pPr>
      <w:r>
        <w:rPr>
          <w:color w:val="231F20"/>
          <w:sz w:val="18"/>
        </w:rPr>
        <w:t>pursuant to Employee stock plans exercised</w:t>
      </w:r>
    </w:p>
    <w:p>
      <w:pPr>
        <w:pStyle w:val="BodyText"/>
        <w:rPr>
          <w:sz w:val="20"/>
        </w:rPr>
      </w:pPr>
    </w:p>
    <w:p>
      <w:pPr>
        <w:pStyle w:val="BodyText"/>
        <w:spacing w:before="2"/>
        <w:rPr>
          <w:sz w:val="24"/>
        </w:rPr>
      </w:pPr>
      <w:r>
        <w:rPr/>
        <w:pict>
          <v:line style="position:absolute;mso-position-horizontal-relative:page;mso-position-vertical-relative:paragraph;z-index:3976;mso-wrap-distance-left:0;mso-wrap-distance-right:0" from="385.950012pt,16.124285pt" to="437.000012pt,16.124285pt" stroked="true" strokeweight=".5pt" strokecolor="#231f20">
            <v:stroke dashstyle="solid"/>
            <w10:wrap type="topAndBottom"/>
          </v:line>
        </w:pict>
      </w:r>
    </w:p>
    <w:p>
      <w:pPr>
        <w:tabs>
          <w:tab w:pos="3838" w:val="left" w:leader="none"/>
          <w:tab w:pos="4288" w:val="left" w:leader="none"/>
          <w:tab w:pos="5033" w:val="left" w:leader="none"/>
          <w:tab w:pos="5913" w:val="left" w:leader="none"/>
          <w:tab w:pos="6954" w:val="left" w:leader="none"/>
          <w:tab w:pos="8774" w:val="left" w:leader="none"/>
        </w:tabs>
        <w:spacing w:before="0" w:after="41"/>
        <w:ind w:left="180" w:right="0" w:firstLine="0"/>
        <w:jc w:val="left"/>
        <w:rPr>
          <w:sz w:val="18"/>
        </w:rPr>
      </w:pPr>
      <w:r>
        <w:rPr>
          <w:color w:val="231F20"/>
          <w:sz w:val="18"/>
        </w:rPr>
        <w:t>Balance at December 31, 2015</w:t>
        <w:tab/>
        <w:t>$</w:t>
        <w:tab/>
        <w:t>808  </w:t>
      </w:r>
      <w:r>
        <w:rPr>
          <w:color w:val="231F20"/>
          <w:spacing w:val="5"/>
          <w:sz w:val="18"/>
        </w:rPr>
        <w:t> </w:t>
      </w:r>
      <w:r>
        <w:rPr>
          <w:color w:val="231F20"/>
          <w:sz w:val="18"/>
        </w:rPr>
        <w:t>$</w:t>
        <w:tab/>
        <w:t>1,374  </w:t>
      </w:r>
      <w:r>
        <w:rPr>
          <w:color w:val="231F20"/>
          <w:spacing w:val="5"/>
          <w:sz w:val="18"/>
        </w:rPr>
        <w:t> </w:t>
      </w:r>
      <w:r>
        <w:rPr>
          <w:color w:val="231F20"/>
          <w:sz w:val="18"/>
        </w:rPr>
        <w:t>$</w:t>
        <w:tab/>
        <w:t>9,409  </w:t>
      </w:r>
      <w:r>
        <w:rPr>
          <w:color w:val="231F20"/>
          <w:spacing w:val="5"/>
          <w:sz w:val="18"/>
        </w:rPr>
        <w:t> </w:t>
      </w:r>
      <w:r>
        <w:rPr>
          <w:color w:val="231F20"/>
          <w:sz w:val="18"/>
        </w:rPr>
        <w:t>$</w:t>
        <w:tab/>
        <w:t>(1,051)  $  </w:t>
      </w:r>
      <w:r>
        <w:rPr>
          <w:color w:val="231F20"/>
          <w:spacing w:val="40"/>
          <w:sz w:val="18"/>
        </w:rPr>
        <w:t> </w:t>
      </w:r>
      <w:r>
        <w:rPr>
          <w:color w:val="231F20"/>
          <w:sz w:val="18"/>
        </w:rPr>
        <w:t>(3,182) </w:t>
      </w:r>
      <w:r>
        <w:rPr>
          <w:color w:val="231F20"/>
          <w:spacing w:val="10"/>
          <w:sz w:val="18"/>
        </w:rPr>
        <w:t> </w:t>
      </w:r>
      <w:r>
        <w:rPr>
          <w:color w:val="231F20"/>
          <w:sz w:val="18"/>
        </w:rPr>
        <w:t>$</w:t>
        <w:tab/>
        <w:t>7,358</w:t>
      </w:r>
    </w:p>
    <w:p>
      <w:pPr>
        <w:spacing w:line="50" w:lineRule="exact"/>
        <w:ind w:left="3834" w:right="0" w:firstLine="0"/>
        <w:rPr>
          <w:sz w:val="5"/>
        </w:rPr>
      </w:pPr>
      <w:r>
        <w:rPr>
          <w:position w:val="0"/>
          <w:sz w:val="5"/>
        </w:rPr>
        <w:pict>
          <v:group style="width:39.5pt;height:2.5pt;mso-position-horizontal-relative:char;mso-position-vertical-relative:line" coordorigin="0,0" coordsize="790,50">
            <v:line style="position:absolute" from="5,5" to="785,5" stroked="true" strokeweight=".5pt" strokecolor="#231f20">
              <v:stroke dashstyle="solid"/>
            </v:line>
            <v:line style="position:absolute" from="5,45" to="785,45" stroked="true" strokeweight=".5pt" strokecolor="#231f20">
              <v:stroke dashstyle="solid"/>
            </v:line>
          </v:group>
        </w:pict>
      </w:r>
      <w:r>
        <w:rPr>
          <w:position w:val="0"/>
          <w:sz w:val="5"/>
        </w:rPr>
      </w:r>
      <w:r>
        <w:rPr>
          <w:spacing w:val="42"/>
          <w:position w:val="0"/>
          <w:sz w:val="5"/>
        </w:rPr>
        <w:t> </w:t>
      </w:r>
      <w:r>
        <w:rPr>
          <w:spacing w:val="42"/>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42"/>
          <w:position w:val="0"/>
          <w:sz w:val="5"/>
        </w:rPr>
      </w:r>
      <w:r>
        <w:rPr>
          <w:spacing w:val="32"/>
          <w:position w:val="0"/>
          <w:sz w:val="5"/>
        </w:rPr>
        <w:t> </w:t>
      </w:r>
      <w:r>
        <w:rPr>
          <w:spacing w:val="32"/>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32"/>
          <w:position w:val="0"/>
          <w:sz w:val="5"/>
        </w:rPr>
      </w:r>
      <w:r>
        <w:rPr>
          <w:spacing w:val="32"/>
          <w:position w:val="0"/>
          <w:sz w:val="5"/>
        </w:rPr>
        <w:t> </w:t>
      </w:r>
      <w:r>
        <w:rPr>
          <w:spacing w:val="32"/>
          <w:position w:val="0"/>
          <w:sz w:val="5"/>
        </w:rPr>
        <w:pict>
          <v:group style="width:51.55pt;height:2.5pt;mso-position-horizontal-relative:char;mso-position-vertical-relative:line" coordorigin="0,0" coordsize="1031,50">
            <v:line style="position:absolute" from="5,5" to="1026,5" stroked="true" strokeweight=".5pt" strokecolor="#231f20">
              <v:stroke dashstyle="solid"/>
            </v:line>
            <v:line style="position:absolute" from="5,45" to="1026,45" stroked="true" strokeweight=".5pt" strokecolor="#231f20">
              <v:stroke dashstyle="solid"/>
            </v:line>
          </v:group>
        </w:pict>
      </w:r>
      <w:r>
        <w:rPr>
          <w:spacing w:val="32"/>
          <w:position w:val="0"/>
          <w:sz w:val="5"/>
        </w:rPr>
      </w:r>
      <w:r>
        <w:rPr>
          <w:spacing w:val="43"/>
          <w:position w:val="0"/>
          <w:sz w:val="5"/>
        </w:rPr>
        <w:t> </w:t>
      </w:r>
      <w:r>
        <w:rPr>
          <w:spacing w:val="43"/>
          <w:position w:val="0"/>
          <w:sz w:val="5"/>
        </w:rPr>
        <w:pict>
          <v:group style="width:40.5pt;height:2.5pt;mso-position-horizontal-relative:char;mso-position-vertical-relative:line" coordorigin="0,0" coordsize="810,50">
            <v:line style="position:absolute" from="5,5" to="805,5" stroked="true" strokeweight=".5pt" strokecolor="#231f20">
              <v:stroke dashstyle="solid"/>
            </v:line>
            <v:line style="position:absolute" from="5,45" to="805,45" stroked="true" strokeweight=".5pt" strokecolor="#231f20">
              <v:stroke dashstyle="solid"/>
            </v:line>
          </v:group>
        </w:pict>
      </w:r>
      <w:r>
        <w:rPr>
          <w:spacing w:val="43"/>
          <w:position w:val="0"/>
          <w:sz w:val="5"/>
        </w:rPr>
      </w:r>
      <w:r>
        <w:rPr>
          <w:spacing w:val="52"/>
          <w:position w:val="0"/>
          <w:sz w:val="5"/>
        </w:rPr>
        <w:t> </w:t>
      </w:r>
      <w:r>
        <w:rPr>
          <w:spacing w:val="52"/>
          <w:position w:val="0"/>
          <w:sz w:val="5"/>
        </w:rPr>
        <w:pict>
          <v:group style="width:39.5pt;height:2.5pt;mso-position-horizontal-relative:char;mso-position-vertical-relative:line" coordorigin="0,0" coordsize="790,50">
            <v:line style="position:absolute" from="5,5" to="785,5" stroked="true" strokeweight=".5pt" strokecolor="#231f20">
              <v:stroke dashstyle="solid"/>
            </v:line>
            <v:line style="position:absolute" from="5,45" to="785,45" stroked="true" strokeweight=".5pt" strokecolor="#231f20">
              <v:stroke dashstyle="solid"/>
            </v:line>
          </v:group>
        </w:pict>
      </w:r>
      <w:r>
        <w:rPr>
          <w:spacing w:val="52"/>
          <w:position w:val="0"/>
          <w:sz w:val="5"/>
        </w:rPr>
      </w:r>
    </w:p>
    <w:p>
      <w:pPr>
        <w:pStyle w:val="BodyText"/>
        <w:spacing w:before="9"/>
        <w:rPr>
          <w:sz w:val="6"/>
        </w:rPr>
      </w:pPr>
    </w:p>
    <w:p>
      <w:pPr>
        <w:spacing w:before="94"/>
        <w:ind w:left="84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60" w:right="1260"/>
        </w:sectPr>
      </w:pPr>
    </w:p>
    <w:p>
      <w:pPr>
        <w:spacing w:before="72"/>
        <w:ind w:left="3178" w:right="0" w:firstLine="0"/>
        <w:jc w:val="center"/>
        <w:rPr>
          <w:b/>
          <w:sz w:val="18"/>
        </w:rPr>
      </w:pPr>
      <w:r>
        <w:rPr>
          <w:b/>
          <w:color w:val="231F20"/>
          <w:sz w:val="18"/>
        </w:rPr>
        <w:t>Southwest Airlines Co.</w:t>
      </w:r>
    </w:p>
    <w:p>
      <w:pPr>
        <w:spacing w:before="13"/>
        <w:ind w:left="3180" w:right="0" w:firstLine="0"/>
        <w:jc w:val="center"/>
        <w:rPr>
          <w:b/>
          <w:sz w:val="18"/>
        </w:rPr>
      </w:pPr>
      <w:bookmarkStart w:name="Southwest Airlines Co. Consolidated Stat" w:id="21"/>
      <w:bookmarkEnd w:id="21"/>
      <w:r>
        <w:rPr/>
      </w:r>
      <w:r>
        <w:rPr>
          <w:b/>
          <w:color w:val="231F20"/>
          <w:sz w:val="18"/>
        </w:rPr>
        <w:t>Consolidated Statement of Cash</w:t>
      </w:r>
      <w:r>
        <w:rPr>
          <w:b/>
          <w:color w:val="231F20"/>
          <w:spacing w:val="-3"/>
          <w:sz w:val="18"/>
        </w:rPr>
        <w:t> </w:t>
      </w:r>
      <w:r>
        <w:rPr>
          <w:b/>
          <w:color w:val="231F20"/>
          <w:sz w:val="18"/>
        </w:rPr>
        <w:t>Flows</w:t>
      </w:r>
    </w:p>
    <w:p>
      <w:pPr>
        <w:spacing w:before="13"/>
        <w:ind w:left="0" w:right="1030" w:firstLine="0"/>
        <w:jc w:val="right"/>
        <w:rPr>
          <w:sz w:val="18"/>
        </w:rPr>
      </w:pPr>
      <w:r>
        <w:rPr>
          <w:color w:val="231F20"/>
          <w:sz w:val="18"/>
        </w:rPr>
        <w:t>(in millions)</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
        <w:rPr>
          <w:sz w:val="17"/>
        </w:rPr>
      </w:pPr>
    </w:p>
    <w:p>
      <w:pPr>
        <w:tabs>
          <w:tab w:pos="1639" w:val="left" w:leader="none"/>
          <w:tab w:pos="2519" w:val="left" w:leader="none"/>
        </w:tabs>
        <w:spacing w:line="302" w:lineRule="auto" w:before="0"/>
        <w:ind w:left="760" w:right="279" w:firstLine="70"/>
        <w:jc w:val="left"/>
        <w:rPr>
          <w:b/>
          <w:sz w:val="18"/>
        </w:rPr>
      </w:pPr>
      <w:r>
        <w:rPr/>
        <w:pict>
          <v:line style="position:absolute;mso-position-horizontal-relative:page;mso-position-vertical-relative:paragraph;z-index:-391264" from="403pt,11.902344pt" to="525pt,11.902344pt" stroked="true" strokeweight="1pt" strokecolor="#231f20">
            <v:stroke dashstyle="solid"/>
            <w10:wrap type="none"/>
          </v:line>
        </w:pict>
      </w:r>
      <w:r>
        <w:rPr/>
        <w:pict>
          <v:line style="position:absolute;mso-position-horizontal-relative:page;mso-position-vertical-relative:paragraph;z-index:-391240" from="403pt,24.902344pt" to="437pt,24.902344pt" stroked="true" strokeweight="1pt" strokecolor="#231f20">
            <v:stroke dashstyle="solid"/>
            <w10:wrap type="none"/>
          </v:line>
        </w:pict>
      </w:r>
      <w:r>
        <w:rPr/>
        <w:pict>
          <v:line style="position:absolute;mso-position-horizontal-relative:page;mso-position-vertical-relative:paragraph;z-index:-391216" from="447pt,24.902344pt" to="481pt,24.902344pt" stroked="true" strokeweight="1pt" strokecolor="#231f20">
            <v:stroke dashstyle="solid"/>
            <w10:wrap type="none"/>
          </v:line>
        </w:pict>
      </w:r>
      <w:r>
        <w:rPr/>
        <w:pict>
          <v:line style="position:absolute;mso-position-horizontal-relative:page;mso-position-vertical-relative:paragraph;z-index:-391192" from="491pt,24.902344pt" to="525pt,24.902344pt" stroked="true" strokeweight="1pt" strokecolor="#231f20">
            <v:stroke dashstyle="solid"/>
            <w10:wrap type="none"/>
          </v:line>
        </w:pict>
      </w:r>
      <w:r>
        <w:rPr>
          <w:b/>
          <w:color w:val="231F20"/>
          <w:sz w:val="18"/>
        </w:rPr>
        <w:t>Year ended December 31, 2015</w:t>
        <w:tab/>
        <w:t>2014</w:t>
        <w:tab/>
        <w:t>2013</w:t>
      </w:r>
    </w:p>
    <w:p>
      <w:pPr>
        <w:spacing w:after="0" w:line="302" w:lineRule="auto"/>
        <w:jc w:val="left"/>
        <w:rPr>
          <w:sz w:val="18"/>
        </w:rPr>
        <w:sectPr>
          <w:pgSz w:w="11880" w:h="15480"/>
          <w:pgMar w:header="0" w:footer="1240" w:top="1240" w:bottom="1420" w:left="1280" w:right="1260"/>
          <w:cols w:num="2" w:equalWidth="0">
            <w:col w:w="6140" w:space="40"/>
            <w:col w:w="3160"/>
          </w:cols>
        </w:sectPr>
      </w:pPr>
    </w:p>
    <w:p>
      <w:pPr>
        <w:pStyle w:val="BodyText"/>
        <w:ind w:left="100"/>
        <w:rPr>
          <w:sz w:val="20"/>
        </w:rPr>
      </w:pPr>
      <w:r>
        <w:rPr>
          <w:sz w:val="20"/>
        </w:rPr>
        <w:pict>
          <v:shape style="width:456pt;height:13.9pt;mso-position-horizontal-relative:char;mso-position-vertical-relative:line" type="#_x0000_t202" filled="true" fillcolor="#d1d3d4" stroked="false">
            <w10:anchorlock/>
            <v:textbox inset="0,0,0,0">
              <w:txbxContent>
                <w:p>
                  <w:pPr>
                    <w:spacing w:before="29"/>
                    <w:ind w:left="60" w:right="0" w:firstLine="0"/>
                    <w:jc w:val="left"/>
                    <w:rPr>
                      <w:b/>
                      <w:sz w:val="17"/>
                    </w:rPr>
                  </w:pPr>
                  <w:r>
                    <w:rPr>
                      <w:b/>
                      <w:color w:val="231F20"/>
                      <w:sz w:val="17"/>
                    </w:rPr>
                    <w:t>CASH  FLOWS  FROM OPERATING ACTIVITIES:</w:t>
                  </w:r>
                </w:p>
              </w:txbxContent>
            </v:textbox>
            <v:fill type="solid"/>
          </v:shape>
        </w:pict>
      </w:r>
      <w:r>
        <w:rPr>
          <w:sz w:val="20"/>
        </w:rPr>
      </w:r>
    </w:p>
    <w:p>
      <w:pPr>
        <w:tabs>
          <w:tab w:pos="6779" w:val="left" w:leader="none"/>
          <w:tab w:pos="7659" w:val="left" w:leader="none"/>
          <w:tab w:pos="8539" w:val="left" w:leader="none"/>
          <w:tab w:pos="8900" w:val="left" w:leader="none"/>
        </w:tabs>
        <w:spacing w:line="181" w:lineRule="exact" w:before="0" w:after="23"/>
        <w:ind w:left="160" w:right="0" w:firstLine="0"/>
        <w:jc w:val="left"/>
        <w:rPr>
          <w:sz w:val="17"/>
        </w:rPr>
      </w:pPr>
      <w:r>
        <w:rPr>
          <w:color w:val="231F20"/>
          <w:sz w:val="17"/>
        </w:rPr>
        <w:t>Net</w:t>
      </w:r>
      <w:r>
        <w:rPr>
          <w:color w:val="231F20"/>
          <w:spacing w:val="6"/>
          <w:sz w:val="17"/>
        </w:rPr>
        <w:t> </w:t>
      </w:r>
      <w:r>
        <w:rPr>
          <w:color w:val="231F20"/>
          <w:sz w:val="17"/>
        </w:rPr>
        <w:t>income</w:t>
        <w:tab/>
        <w:t>$  </w:t>
      </w:r>
      <w:r>
        <w:rPr>
          <w:color w:val="231F20"/>
          <w:spacing w:val="21"/>
          <w:sz w:val="17"/>
        </w:rPr>
        <w:t> </w:t>
      </w:r>
      <w:r>
        <w:rPr>
          <w:color w:val="231F20"/>
          <w:sz w:val="17"/>
        </w:rPr>
        <w:t>2,181</w:t>
        <w:tab/>
        <w:t>$  </w:t>
      </w:r>
      <w:r>
        <w:rPr>
          <w:color w:val="231F20"/>
          <w:spacing w:val="21"/>
          <w:sz w:val="17"/>
        </w:rPr>
        <w:t> </w:t>
      </w:r>
      <w:r>
        <w:rPr>
          <w:color w:val="231F20"/>
          <w:sz w:val="17"/>
        </w:rPr>
        <w:t>1,136</w:t>
        <w:tab/>
        <w:t>$</w:t>
        <w:tab/>
        <w:t>754</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0"/>
        <w:gridCol w:w="100"/>
        <w:gridCol w:w="100"/>
        <w:gridCol w:w="680"/>
        <w:gridCol w:w="100"/>
        <w:gridCol w:w="100"/>
        <w:gridCol w:w="680"/>
      </w:tblGrid>
      <w:tr>
        <w:trPr>
          <w:trHeight w:val="238" w:hRule="exact"/>
        </w:trPr>
        <w:tc>
          <w:tcPr>
            <w:tcW w:w="6680" w:type="dxa"/>
            <w:shd w:val="clear" w:color="auto" w:fill="D1D3D4"/>
          </w:tcPr>
          <w:p>
            <w:pPr>
              <w:pStyle w:val="TableParagraph"/>
              <w:spacing w:before="19"/>
              <w:ind w:left="60"/>
              <w:rPr>
                <w:sz w:val="17"/>
              </w:rPr>
            </w:pPr>
            <w:r>
              <w:rPr>
                <w:color w:val="231F20"/>
                <w:sz w:val="17"/>
              </w:rPr>
              <w:t>Adjustments to reconcile net income to cash provided by operating   activities:</w:t>
            </w:r>
          </w:p>
        </w:tc>
        <w:tc>
          <w:tcPr>
            <w:tcW w:w="2440" w:type="dxa"/>
            <w:gridSpan w:val="7"/>
            <w:shd w:val="clear" w:color="auto" w:fill="D1D3D4"/>
          </w:tcPr>
          <w:p>
            <w:pPr/>
          </w:p>
        </w:tc>
      </w:tr>
      <w:tr>
        <w:trPr>
          <w:trHeight w:val="238" w:hRule="exact"/>
        </w:trPr>
        <w:tc>
          <w:tcPr>
            <w:tcW w:w="6680" w:type="dxa"/>
          </w:tcPr>
          <w:p>
            <w:pPr>
              <w:pStyle w:val="TableParagraph"/>
              <w:spacing w:before="19"/>
              <w:ind w:left="234"/>
              <w:rPr>
                <w:sz w:val="17"/>
              </w:rPr>
            </w:pPr>
            <w:r>
              <w:rPr>
                <w:color w:val="231F20"/>
                <w:sz w:val="17"/>
              </w:rPr>
              <w:t>Depreciation  and amortization</w:t>
            </w:r>
          </w:p>
        </w:tc>
        <w:tc>
          <w:tcPr>
            <w:tcW w:w="680" w:type="dxa"/>
          </w:tcPr>
          <w:p>
            <w:pPr>
              <w:pStyle w:val="TableParagraph"/>
              <w:spacing w:before="19"/>
              <w:ind w:right="56"/>
              <w:jc w:val="right"/>
              <w:rPr>
                <w:sz w:val="17"/>
              </w:rPr>
            </w:pPr>
            <w:r>
              <w:rPr>
                <w:color w:val="231F20"/>
                <w:sz w:val="17"/>
              </w:rPr>
              <w:t>1,015</w:t>
            </w:r>
          </w:p>
        </w:tc>
        <w:tc>
          <w:tcPr>
            <w:tcW w:w="880" w:type="dxa"/>
            <w:gridSpan w:val="3"/>
          </w:tcPr>
          <w:p>
            <w:pPr>
              <w:pStyle w:val="TableParagraph"/>
              <w:spacing w:before="19"/>
              <w:ind w:left="561"/>
              <w:rPr>
                <w:sz w:val="17"/>
              </w:rPr>
            </w:pPr>
            <w:r>
              <w:rPr>
                <w:color w:val="231F20"/>
                <w:sz w:val="17"/>
              </w:rPr>
              <w:t>938</w:t>
            </w:r>
          </w:p>
        </w:tc>
        <w:tc>
          <w:tcPr>
            <w:tcW w:w="880" w:type="dxa"/>
            <w:gridSpan w:val="3"/>
          </w:tcPr>
          <w:p>
            <w:pPr>
              <w:pStyle w:val="TableParagraph"/>
              <w:spacing w:before="19"/>
              <w:ind w:left="561"/>
              <w:rPr>
                <w:sz w:val="17"/>
              </w:rPr>
            </w:pPr>
            <w:r>
              <w:rPr>
                <w:color w:val="231F20"/>
                <w:sz w:val="17"/>
              </w:rPr>
              <w:t>867</w:t>
            </w:r>
          </w:p>
        </w:tc>
      </w:tr>
      <w:tr>
        <w:trPr>
          <w:trHeight w:val="238" w:hRule="exact"/>
        </w:trPr>
        <w:tc>
          <w:tcPr>
            <w:tcW w:w="6680" w:type="dxa"/>
            <w:shd w:val="clear" w:color="auto" w:fill="D1D3D4"/>
          </w:tcPr>
          <w:p>
            <w:pPr>
              <w:pStyle w:val="TableParagraph"/>
              <w:spacing w:before="19"/>
              <w:ind w:left="234"/>
              <w:rPr>
                <w:sz w:val="17"/>
              </w:rPr>
            </w:pPr>
            <w:r>
              <w:rPr>
                <w:color w:val="231F20"/>
                <w:sz w:val="17"/>
              </w:rPr>
              <w:t>Unrealized (gain) loss on fuel derivative  instruments</w:t>
            </w:r>
          </w:p>
        </w:tc>
        <w:tc>
          <w:tcPr>
            <w:tcW w:w="680" w:type="dxa"/>
            <w:shd w:val="clear" w:color="auto" w:fill="D1D3D4"/>
          </w:tcPr>
          <w:p>
            <w:pPr>
              <w:pStyle w:val="TableParagraph"/>
              <w:spacing w:before="19"/>
              <w:ind w:right="55"/>
              <w:jc w:val="right"/>
              <w:rPr>
                <w:sz w:val="17"/>
              </w:rPr>
            </w:pPr>
            <w:r>
              <w:rPr>
                <w:color w:val="231F20"/>
                <w:sz w:val="17"/>
              </w:rPr>
              <w:t>113</w:t>
            </w:r>
          </w:p>
        </w:tc>
        <w:tc>
          <w:tcPr>
            <w:tcW w:w="880" w:type="dxa"/>
            <w:gridSpan w:val="3"/>
            <w:shd w:val="clear" w:color="auto" w:fill="D1D3D4"/>
          </w:tcPr>
          <w:p>
            <w:pPr>
              <w:pStyle w:val="TableParagraph"/>
              <w:spacing w:before="19"/>
              <w:ind w:left="561"/>
              <w:rPr>
                <w:sz w:val="17"/>
              </w:rPr>
            </w:pPr>
            <w:r>
              <w:rPr>
                <w:color w:val="231F20"/>
                <w:sz w:val="17"/>
              </w:rPr>
              <w:t>279</w:t>
            </w:r>
          </w:p>
        </w:tc>
        <w:tc>
          <w:tcPr>
            <w:tcW w:w="880" w:type="dxa"/>
            <w:gridSpan w:val="3"/>
            <w:shd w:val="clear" w:color="auto" w:fill="D1D3D4"/>
          </w:tcPr>
          <w:p>
            <w:pPr>
              <w:pStyle w:val="TableParagraph"/>
              <w:spacing w:before="19"/>
              <w:jc w:val="right"/>
              <w:rPr>
                <w:sz w:val="17"/>
              </w:rPr>
            </w:pPr>
            <w:r>
              <w:rPr>
                <w:color w:val="231F20"/>
                <w:sz w:val="17"/>
              </w:rPr>
              <w:t>(5)</w:t>
            </w:r>
          </w:p>
        </w:tc>
      </w:tr>
      <w:tr>
        <w:trPr>
          <w:trHeight w:val="238" w:hRule="exact"/>
        </w:trPr>
        <w:tc>
          <w:tcPr>
            <w:tcW w:w="6680" w:type="dxa"/>
          </w:tcPr>
          <w:p>
            <w:pPr>
              <w:pStyle w:val="TableParagraph"/>
              <w:spacing w:before="19"/>
              <w:ind w:left="234"/>
              <w:rPr>
                <w:sz w:val="17"/>
              </w:rPr>
            </w:pPr>
            <w:r>
              <w:rPr>
                <w:color w:val="231F20"/>
                <w:sz w:val="17"/>
              </w:rPr>
              <w:t>Deferred income taxes</w:t>
            </w:r>
          </w:p>
        </w:tc>
        <w:tc>
          <w:tcPr>
            <w:tcW w:w="680" w:type="dxa"/>
          </w:tcPr>
          <w:p>
            <w:pPr>
              <w:pStyle w:val="TableParagraph"/>
              <w:spacing w:before="19"/>
              <w:jc w:val="right"/>
              <w:rPr>
                <w:sz w:val="17"/>
              </w:rPr>
            </w:pPr>
            <w:r>
              <w:rPr>
                <w:color w:val="231F20"/>
                <w:sz w:val="17"/>
              </w:rPr>
              <w:t>(109)</w:t>
            </w:r>
          </w:p>
        </w:tc>
        <w:tc>
          <w:tcPr>
            <w:tcW w:w="880" w:type="dxa"/>
            <w:gridSpan w:val="3"/>
          </w:tcPr>
          <w:p>
            <w:pPr>
              <w:pStyle w:val="TableParagraph"/>
              <w:spacing w:before="19"/>
              <w:ind w:left="561"/>
              <w:rPr>
                <w:sz w:val="17"/>
              </w:rPr>
            </w:pPr>
            <w:r>
              <w:rPr>
                <w:color w:val="231F20"/>
                <w:sz w:val="17"/>
              </w:rPr>
              <w:t>501</w:t>
            </w:r>
          </w:p>
        </w:tc>
        <w:tc>
          <w:tcPr>
            <w:tcW w:w="880" w:type="dxa"/>
            <w:gridSpan w:val="3"/>
          </w:tcPr>
          <w:p>
            <w:pPr>
              <w:pStyle w:val="TableParagraph"/>
              <w:spacing w:before="19"/>
              <w:ind w:right="55"/>
              <w:jc w:val="right"/>
              <w:rPr>
                <w:sz w:val="17"/>
              </w:rPr>
            </w:pPr>
            <w:r>
              <w:rPr>
                <w:color w:val="231F20"/>
                <w:sz w:val="17"/>
              </w:rPr>
              <w:t>50</w:t>
            </w:r>
          </w:p>
        </w:tc>
      </w:tr>
      <w:tr>
        <w:trPr>
          <w:trHeight w:val="238" w:hRule="exact"/>
        </w:trPr>
        <w:tc>
          <w:tcPr>
            <w:tcW w:w="6680" w:type="dxa"/>
            <w:shd w:val="clear" w:color="auto" w:fill="D1D3D4"/>
          </w:tcPr>
          <w:p>
            <w:pPr>
              <w:pStyle w:val="TableParagraph"/>
              <w:spacing w:before="19"/>
              <w:ind w:left="60"/>
              <w:rPr>
                <w:sz w:val="17"/>
              </w:rPr>
            </w:pPr>
            <w:r>
              <w:rPr>
                <w:color w:val="231F20"/>
                <w:sz w:val="17"/>
              </w:rPr>
              <w:t>Changes in certain assets and  liabilities:</w:t>
            </w:r>
          </w:p>
        </w:tc>
        <w:tc>
          <w:tcPr>
            <w:tcW w:w="680" w:type="dxa"/>
            <w:shd w:val="clear" w:color="auto" w:fill="D1D3D4"/>
          </w:tcPr>
          <w:p>
            <w:pPr/>
          </w:p>
        </w:tc>
        <w:tc>
          <w:tcPr>
            <w:tcW w:w="880" w:type="dxa"/>
            <w:gridSpan w:val="3"/>
            <w:shd w:val="clear" w:color="auto" w:fill="D1D3D4"/>
          </w:tcPr>
          <w:p>
            <w:pPr/>
          </w:p>
        </w:tc>
        <w:tc>
          <w:tcPr>
            <w:tcW w:w="880" w:type="dxa"/>
            <w:gridSpan w:val="3"/>
            <w:shd w:val="clear" w:color="auto" w:fill="D1D3D4"/>
          </w:tcPr>
          <w:p>
            <w:pPr/>
          </w:p>
        </w:tc>
      </w:tr>
      <w:tr>
        <w:trPr>
          <w:trHeight w:val="238" w:hRule="exact"/>
        </w:trPr>
        <w:tc>
          <w:tcPr>
            <w:tcW w:w="6680" w:type="dxa"/>
          </w:tcPr>
          <w:p>
            <w:pPr>
              <w:pStyle w:val="TableParagraph"/>
              <w:spacing w:before="19"/>
              <w:ind w:left="234"/>
              <w:rPr>
                <w:sz w:val="17"/>
              </w:rPr>
            </w:pPr>
            <w:r>
              <w:rPr>
                <w:color w:val="231F20"/>
                <w:sz w:val="17"/>
              </w:rPr>
              <w:t>Accounts and other  receivables</w:t>
            </w:r>
          </w:p>
        </w:tc>
        <w:tc>
          <w:tcPr>
            <w:tcW w:w="680" w:type="dxa"/>
          </w:tcPr>
          <w:p>
            <w:pPr>
              <w:pStyle w:val="TableParagraph"/>
              <w:spacing w:before="19"/>
              <w:jc w:val="right"/>
              <w:rPr>
                <w:sz w:val="17"/>
              </w:rPr>
            </w:pPr>
            <w:r>
              <w:rPr>
                <w:color w:val="231F20"/>
                <w:sz w:val="17"/>
              </w:rPr>
              <w:t>(88)</w:t>
            </w:r>
          </w:p>
        </w:tc>
        <w:tc>
          <w:tcPr>
            <w:tcW w:w="200" w:type="dxa"/>
            <w:gridSpan w:val="2"/>
          </w:tcPr>
          <w:p>
            <w:pPr/>
          </w:p>
        </w:tc>
        <w:tc>
          <w:tcPr>
            <w:tcW w:w="680" w:type="dxa"/>
          </w:tcPr>
          <w:p>
            <w:pPr>
              <w:pStyle w:val="TableParagraph"/>
              <w:spacing w:before="19"/>
              <w:ind w:right="55"/>
              <w:jc w:val="right"/>
              <w:rPr>
                <w:sz w:val="17"/>
              </w:rPr>
            </w:pPr>
            <w:r>
              <w:rPr>
                <w:color w:val="231F20"/>
                <w:sz w:val="17"/>
              </w:rPr>
              <w:t>54</w:t>
            </w:r>
          </w:p>
        </w:tc>
        <w:tc>
          <w:tcPr>
            <w:tcW w:w="200" w:type="dxa"/>
            <w:gridSpan w:val="2"/>
          </w:tcPr>
          <w:p>
            <w:pPr/>
          </w:p>
        </w:tc>
        <w:tc>
          <w:tcPr>
            <w:tcW w:w="680" w:type="dxa"/>
          </w:tcPr>
          <w:p>
            <w:pPr>
              <w:pStyle w:val="TableParagraph"/>
              <w:spacing w:before="19"/>
              <w:jc w:val="right"/>
              <w:rPr>
                <w:sz w:val="17"/>
              </w:rPr>
            </w:pPr>
            <w:r>
              <w:rPr>
                <w:color w:val="231F20"/>
                <w:sz w:val="17"/>
              </w:rPr>
              <w:t>(17)</w:t>
            </w:r>
          </w:p>
        </w:tc>
      </w:tr>
      <w:tr>
        <w:trPr>
          <w:trHeight w:val="238" w:hRule="exact"/>
        </w:trPr>
        <w:tc>
          <w:tcPr>
            <w:tcW w:w="6680" w:type="dxa"/>
            <w:shd w:val="clear" w:color="auto" w:fill="D1D3D4"/>
          </w:tcPr>
          <w:p>
            <w:pPr>
              <w:pStyle w:val="TableParagraph"/>
              <w:spacing w:before="19"/>
              <w:ind w:left="234"/>
              <w:rPr>
                <w:sz w:val="17"/>
              </w:rPr>
            </w:pPr>
            <w:r>
              <w:rPr>
                <w:color w:val="231F20"/>
                <w:sz w:val="17"/>
              </w:rPr>
              <w:t>Other assets</w:t>
            </w:r>
          </w:p>
        </w:tc>
        <w:tc>
          <w:tcPr>
            <w:tcW w:w="680" w:type="dxa"/>
            <w:shd w:val="clear" w:color="auto" w:fill="D1D3D4"/>
          </w:tcPr>
          <w:p>
            <w:pPr>
              <w:pStyle w:val="TableParagraph"/>
              <w:spacing w:before="19"/>
              <w:ind w:right="57"/>
              <w:jc w:val="right"/>
              <w:rPr>
                <w:sz w:val="17"/>
              </w:rPr>
            </w:pPr>
            <w:r>
              <w:rPr>
                <w:color w:val="231F20"/>
                <w:sz w:val="17"/>
              </w:rPr>
              <w:t>103</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142</w:t>
            </w:r>
          </w:p>
        </w:tc>
        <w:tc>
          <w:tcPr>
            <w:tcW w:w="200" w:type="dxa"/>
            <w:gridSpan w:val="2"/>
            <w:shd w:val="clear" w:color="auto" w:fill="D1D3D4"/>
          </w:tcPr>
          <w:p>
            <w:pPr/>
          </w:p>
        </w:tc>
        <w:tc>
          <w:tcPr>
            <w:tcW w:w="680" w:type="dxa"/>
            <w:shd w:val="clear" w:color="auto" w:fill="D1D3D4"/>
          </w:tcPr>
          <w:p>
            <w:pPr>
              <w:pStyle w:val="TableParagraph"/>
              <w:spacing w:before="19"/>
              <w:jc w:val="right"/>
              <w:rPr>
                <w:sz w:val="17"/>
              </w:rPr>
            </w:pPr>
            <w:r>
              <w:rPr>
                <w:color w:val="231F20"/>
                <w:sz w:val="17"/>
              </w:rPr>
              <w:t>(46)</w:t>
            </w:r>
          </w:p>
        </w:tc>
      </w:tr>
      <w:tr>
        <w:trPr>
          <w:trHeight w:val="238" w:hRule="exact"/>
        </w:trPr>
        <w:tc>
          <w:tcPr>
            <w:tcW w:w="6680" w:type="dxa"/>
          </w:tcPr>
          <w:p>
            <w:pPr>
              <w:pStyle w:val="TableParagraph"/>
              <w:spacing w:before="19"/>
              <w:ind w:left="233"/>
              <w:rPr>
                <w:sz w:val="17"/>
              </w:rPr>
            </w:pPr>
            <w:r>
              <w:rPr>
                <w:color w:val="231F20"/>
                <w:sz w:val="17"/>
              </w:rPr>
              <w:t>Accounts payable and accrued  liabilities</w:t>
            </w:r>
          </w:p>
        </w:tc>
        <w:tc>
          <w:tcPr>
            <w:tcW w:w="680" w:type="dxa"/>
          </w:tcPr>
          <w:p>
            <w:pPr>
              <w:pStyle w:val="TableParagraph"/>
              <w:spacing w:before="19"/>
              <w:ind w:right="55"/>
              <w:jc w:val="right"/>
              <w:rPr>
                <w:sz w:val="17"/>
              </w:rPr>
            </w:pPr>
            <w:r>
              <w:rPr>
                <w:color w:val="231F20"/>
                <w:sz w:val="17"/>
              </w:rPr>
              <w:t>961</w:t>
            </w:r>
          </w:p>
        </w:tc>
        <w:tc>
          <w:tcPr>
            <w:tcW w:w="200" w:type="dxa"/>
            <w:gridSpan w:val="2"/>
          </w:tcPr>
          <w:p>
            <w:pPr/>
          </w:p>
        </w:tc>
        <w:tc>
          <w:tcPr>
            <w:tcW w:w="680" w:type="dxa"/>
          </w:tcPr>
          <w:p>
            <w:pPr>
              <w:pStyle w:val="TableParagraph"/>
              <w:spacing w:before="19"/>
              <w:ind w:right="55"/>
              <w:jc w:val="right"/>
              <w:rPr>
                <w:sz w:val="17"/>
              </w:rPr>
            </w:pPr>
            <w:r>
              <w:rPr>
                <w:color w:val="231F20"/>
                <w:sz w:val="17"/>
              </w:rPr>
              <w:t>36</w:t>
            </w:r>
          </w:p>
        </w:tc>
        <w:tc>
          <w:tcPr>
            <w:tcW w:w="200" w:type="dxa"/>
            <w:gridSpan w:val="2"/>
          </w:tcPr>
          <w:p>
            <w:pPr/>
          </w:p>
        </w:tc>
        <w:tc>
          <w:tcPr>
            <w:tcW w:w="680" w:type="dxa"/>
          </w:tcPr>
          <w:p>
            <w:pPr>
              <w:pStyle w:val="TableParagraph"/>
              <w:spacing w:before="19"/>
              <w:ind w:right="55"/>
              <w:jc w:val="right"/>
              <w:rPr>
                <w:sz w:val="17"/>
              </w:rPr>
            </w:pPr>
            <w:r>
              <w:rPr>
                <w:color w:val="231F20"/>
                <w:sz w:val="17"/>
              </w:rPr>
              <w:t>343</w:t>
            </w:r>
          </w:p>
        </w:tc>
      </w:tr>
      <w:tr>
        <w:trPr>
          <w:trHeight w:val="238" w:hRule="exact"/>
        </w:trPr>
        <w:tc>
          <w:tcPr>
            <w:tcW w:w="6680" w:type="dxa"/>
            <w:shd w:val="clear" w:color="auto" w:fill="D1D3D4"/>
          </w:tcPr>
          <w:p>
            <w:pPr>
              <w:pStyle w:val="TableParagraph"/>
              <w:spacing w:before="19"/>
              <w:ind w:left="233"/>
              <w:rPr>
                <w:sz w:val="17"/>
              </w:rPr>
            </w:pPr>
            <w:r>
              <w:rPr>
                <w:color w:val="231F20"/>
                <w:sz w:val="17"/>
              </w:rPr>
              <w:t>Air traffic liability</w:t>
            </w:r>
          </w:p>
        </w:tc>
        <w:tc>
          <w:tcPr>
            <w:tcW w:w="680" w:type="dxa"/>
            <w:shd w:val="clear" w:color="auto" w:fill="D1D3D4"/>
          </w:tcPr>
          <w:p>
            <w:pPr>
              <w:pStyle w:val="TableParagraph"/>
              <w:spacing w:before="19"/>
              <w:ind w:right="57"/>
              <w:jc w:val="right"/>
              <w:rPr>
                <w:sz w:val="17"/>
              </w:rPr>
            </w:pPr>
            <w:r>
              <w:rPr>
                <w:color w:val="231F20"/>
                <w:sz w:val="17"/>
              </w:rPr>
              <w:t>94</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326</w:t>
            </w:r>
          </w:p>
        </w:tc>
        <w:tc>
          <w:tcPr>
            <w:tcW w:w="200" w:type="dxa"/>
            <w:gridSpan w:val="2"/>
            <w:shd w:val="clear" w:color="auto" w:fill="D1D3D4"/>
          </w:tcPr>
          <w:p>
            <w:pPr/>
          </w:p>
        </w:tc>
        <w:tc>
          <w:tcPr>
            <w:tcW w:w="680" w:type="dxa"/>
            <w:shd w:val="clear" w:color="auto" w:fill="D1D3D4"/>
          </w:tcPr>
          <w:p>
            <w:pPr>
              <w:pStyle w:val="TableParagraph"/>
              <w:spacing w:before="19"/>
              <w:ind w:right="57"/>
              <w:jc w:val="right"/>
              <w:rPr>
                <w:sz w:val="17"/>
              </w:rPr>
            </w:pPr>
            <w:r>
              <w:rPr>
                <w:color w:val="231F20"/>
                <w:sz w:val="17"/>
              </w:rPr>
              <w:t>400</w:t>
            </w:r>
          </w:p>
        </w:tc>
      </w:tr>
      <w:tr>
        <w:trPr>
          <w:trHeight w:val="238" w:hRule="exact"/>
        </w:trPr>
        <w:tc>
          <w:tcPr>
            <w:tcW w:w="6680" w:type="dxa"/>
          </w:tcPr>
          <w:p>
            <w:pPr>
              <w:pStyle w:val="TableParagraph"/>
              <w:spacing w:before="19"/>
              <w:ind w:left="60"/>
              <w:rPr>
                <w:sz w:val="17"/>
              </w:rPr>
            </w:pPr>
            <w:r>
              <w:rPr>
                <w:color w:val="231F20"/>
                <w:sz w:val="17"/>
              </w:rPr>
              <w:t>Cash collateral received from (provided to) derivative   counterparties</w:t>
            </w:r>
          </w:p>
        </w:tc>
        <w:tc>
          <w:tcPr>
            <w:tcW w:w="680" w:type="dxa"/>
          </w:tcPr>
          <w:p>
            <w:pPr>
              <w:pStyle w:val="TableParagraph"/>
              <w:spacing w:before="19"/>
              <w:jc w:val="right"/>
              <w:rPr>
                <w:sz w:val="17"/>
              </w:rPr>
            </w:pPr>
            <w:r>
              <w:rPr>
                <w:color w:val="231F20"/>
                <w:sz w:val="17"/>
              </w:rPr>
              <w:t>(570)</w:t>
            </w:r>
          </w:p>
        </w:tc>
        <w:tc>
          <w:tcPr>
            <w:tcW w:w="200" w:type="dxa"/>
            <w:gridSpan w:val="2"/>
          </w:tcPr>
          <w:p>
            <w:pPr/>
          </w:p>
        </w:tc>
        <w:tc>
          <w:tcPr>
            <w:tcW w:w="680" w:type="dxa"/>
          </w:tcPr>
          <w:p>
            <w:pPr>
              <w:pStyle w:val="TableParagraph"/>
              <w:spacing w:before="19"/>
              <w:jc w:val="right"/>
              <w:rPr>
                <w:sz w:val="17"/>
              </w:rPr>
            </w:pPr>
            <w:r>
              <w:rPr>
                <w:color w:val="231F20"/>
                <w:sz w:val="17"/>
              </w:rPr>
              <w:t>(233)</w:t>
            </w:r>
          </w:p>
        </w:tc>
        <w:tc>
          <w:tcPr>
            <w:tcW w:w="200" w:type="dxa"/>
            <w:gridSpan w:val="2"/>
          </w:tcPr>
          <w:p>
            <w:pPr/>
          </w:p>
        </w:tc>
        <w:tc>
          <w:tcPr>
            <w:tcW w:w="680" w:type="dxa"/>
          </w:tcPr>
          <w:p>
            <w:pPr>
              <w:pStyle w:val="TableParagraph"/>
              <w:spacing w:before="19"/>
              <w:ind w:right="55"/>
              <w:jc w:val="right"/>
              <w:rPr>
                <w:sz w:val="17"/>
              </w:rPr>
            </w:pPr>
            <w:r>
              <w:rPr>
                <w:color w:val="231F20"/>
                <w:sz w:val="17"/>
              </w:rPr>
              <w:t>57</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(462)</w:t>
            </w:r>
          </w:p>
        </w:tc>
        <w:tc>
          <w:tcPr>
            <w:tcW w:w="200" w:type="dxa"/>
            <w:gridSpan w:val="2"/>
            <w:shd w:val="clear" w:color="auto" w:fill="D1D3D4"/>
          </w:tcPr>
          <w:p>
            <w:pP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(277)</w:t>
            </w:r>
          </w:p>
        </w:tc>
        <w:tc>
          <w:tcPr>
            <w:tcW w:w="200" w:type="dxa"/>
            <w:gridSpan w:val="2"/>
            <w:shd w:val="clear" w:color="auto" w:fill="D1D3D4"/>
          </w:tcPr>
          <w:p>
            <w:pPr/>
          </w:p>
        </w:tc>
        <w:tc>
          <w:tcPr>
            <w:tcW w:w="680" w:type="dxa"/>
            <w:tcBorders>
              <w:bottom w:val="single" w:sz="4" w:space="0" w:color="231F20"/>
            </w:tcBorders>
            <w:shd w:val="clear" w:color="auto" w:fill="D1D3D4"/>
          </w:tcPr>
          <w:p>
            <w:pPr>
              <w:pStyle w:val="TableParagraph"/>
              <w:spacing w:before="19"/>
              <w:ind w:right="55"/>
              <w:jc w:val="right"/>
              <w:rPr>
                <w:sz w:val="17"/>
              </w:rPr>
            </w:pPr>
            <w:r>
              <w:rPr>
                <w:color w:val="231F20"/>
                <w:sz w:val="17"/>
              </w:rPr>
              <w:t>74</w:t>
            </w:r>
          </w:p>
        </w:tc>
      </w:tr>
      <w:tr>
        <w:trPr>
          <w:trHeight w:val="353" w:hRule="exact"/>
        </w:trPr>
        <w:tc>
          <w:tcPr>
            <w:tcW w:w="6680" w:type="dxa"/>
          </w:tcPr>
          <w:p>
            <w:pPr>
              <w:pStyle w:val="TableParagraph"/>
              <w:spacing w:before="39"/>
              <w:ind w:left="408"/>
              <w:rPr>
                <w:sz w:val="17"/>
              </w:rPr>
            </w:pPr>
            <w:r>
              <w:rPr>
                <w:color w:val="231F20"/>
                <w:sz w:val="17"/>
              </w:rPr>
              <w:t>Net cash provided by operating  activities</w:t>
            </w:r>
          </w:p>
        </w:tc>
        <w:tc>
          <w:tcPr>
            <w:tcW w:w="680" w:type="dxa"/>
            <w:tcBorders>
              <w:top w:val="single" w:sz="4" w:space="0" w:color="231F20"/>
            </w:tcBorders>
          </w:tcPr>
          <w:p>
            <w:pPr>
              <w:pStyle w:val="TableParagraph"/>
              <w:spacing w:before="19"/>
              <w:ind w:right="56"/>
              <w:jc w:val="right"/>
              <w:rPr>
                <w:sz w:val="17"/>
              </w:rPr>
            </w:pPr>
            <w:r>
              <w:rPr>
                <w:color w:val="231F20"/>
                <w:sz w:val="17"/>
              </w:rPr>
              <w:t>3,238</w:t>
            </w:r>
          </w:p>
        </w:tc>
        <w:tc>
          <w:tcPr>
            <w:tcW w:w="200" w:type="dxa"/>
            <w:gridSpan w:val="2"/>
          </w:tcPr>
          <w:p>
            <w:pPr/>
          </w:p>
        </w:tc>
        <w:tc>
          <w:tcPr>
            <w:tcW w:w="680" w:type="dxa"/>
            <w:tcBorders>
              <w:top w:val="single" w:sz="4" w:space="0" w:color="231F20"/>
            </w:tcBorders>
          </w:tcPr>
          <w:p>
            <w:pPr>
              <w:pStyle w:val="TableParagraph"/>
              <w:spacing w:before="19"/>
              <w:ind w:right="56"/>
              <w:jc w:val="right"/>
              <w:rPr>
                <w:sz w:val="17"/>
              </w:rPr>
            </w:pPr>
            <w:r>
              <w:rPr>
                <w:color w:val="231F20"/>
                <w:sz w:val="17"/>
              </w:rPr>
              <w:t>2,902</w:t>
            </w:r>
          </w:p>
        </w:tc>
        <w:tc>
          <w:tcPr>
            <w:tcW w:w="200" w:type="dxa"/>
            <w:gridSpan w:val="2"/>
          </w:tcPr>
          <w:p>
            <w:pPr/>
          </w:p>
        </w:tc>
        <w:tc>
          <w:tcPr>
            <w:tcW w:w="680" w:type="dxa"/>
            <w:tcBorders>
              <w:top w:val="single" w:sz="4" w:space="0" w:color="231F20"/>
            </w:tcBorders>
          </w:tcPr>
          <w:p>
            <w:pPr>
              <w:pStyle w:val="TableParagraph"/>
              <w:spacing w:before="19"/>
              <w:ind w:right="56"/>
              <w:jc w:val="right"/>
              <w:rPr>
                <w:sz w:val="17"/>
              </w:rPr>
            </w:pPr>
            <w:r>
              <w:rPr>
                <w:color w:val="231F20"/>
                <w:sz w:val="17"/>
              </w:rPr>
              <w:t>2,477</w:t>
            </w:r>
          </w:p>
        </w:tc>
      </w:tr>
      <w:tr>
        <w:trPr>
          <w:trHeight w:val="220" w:hRule="exact"/>
        </w:trPr>
        <w:tc>
          <w:tcPr>
            <w:tcW w:w="668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78" w:hRule="exact"/>
        </w:trPr>
        <w:tc>
          <w:tcPr>
            <w:tcW w:w="6680" w:type="dxa"/>
          </w:tcPr>
          <w:p>
            <w:pPr>
              <w:pStyle w:val="TableParagraph"/>
              <w:spacing w:before="29"/>
              <w:ind w:left="60"/>
              <w:rPr>
                <w:b/>
                <w:sz w:val="17"/>
              </w:rPr>
            </w:pPr>
            <w:r>
              <w:rPr>
                <w:b/>
                <w:color w:val="231F20"/>
                <w:sz w:val="17"/>
              </w:rPr>
              <w:t>CASH  FLOWS  FROM INVESTING ACTIVITIES:</w:t>
            </w: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38" w:hRule="exact"/>
        </w:trPr>
        <w:tc>
          <w:tcPr>
            <w:tcW w:w="6680" w:type="dxa"/>
            <w:shd w:val="clear" w:color="auto" w:fill="D1D3D4"/>
          </w:tcPr>
          <w:p>
            <w:pPr>
              <w:pStyle w:val="TableParagraph"/>
              <w:spacing w:before="19"/>
              <w:ind w:left="60"/>
              <w:rPr>
                <w:sz w:val="17"/>
              </w:rPr>
            </w:pPr>
            <w:r>
              <w:rPr>
                <w:color w:val="231F20"/>
                <w:sz w:val="17"/>
              </w:rPr>
              <w:t>Capital expenditures</w:t>
            </w:r>
          </w:p>
        </w:tc>
        <w:tc>
          <w:tcPr>
            <w:tcW w:w="780" w:type="dxa"/>
            <w:gridSpan w:val="2"/>
            <w:shd w:val="clear" w:color="auto" w:fill="D1D3D4"/>
          </w:tcPr>
          <w:p>
            <w:pPr>
              <w:pStyle w:val="TableParagraph"/>
              <w:spacing w:before="19"/>
              <w:ind w:left="172"/>
              <w:rPr>
                <w:sz w:val="17"/>
              </w:rPr>
            </w:pPr>
            <w:r>
              <w:rPr>
                <w:color w:val="231F20"/>
                <w:sz w:val="17"/>
              </w:rPr>
              <w:t>(2,041)</w:t>
            </w:r>
          </w:p>
        </w:tc>
        <w:tc>
          <w:tcPr>
            <w:tcW w:w="100" w:type="dxa"/>
            <w:shd w:val="clear" w:color="auto" w:fill="D1D3D4"/>
          </w:tcPr>
          <w:p>
            <w:pPr/>
          </w:p>
        </w:tc>
        <w:tc>
          <w:tcPr>
            <w:tcW w:w="780" w:type="dxa"/>
            <w:gridSpan w:val="2"/>
            <w:shd w:val="clear" w:color="auto" w:fill="D1D3D4"/>
          </w:tcPr>
          <w:p>
            <w:pPr>
              <w:pStyle w:val="TableParagraph"/>
              <w:spacing w:before="19"/>
              <w:ind w:left="172"/>
              <w:rPr>
                <w:sz w:val="17"/>
              </w:rPr>
            </w:pPr>
            <w:r>
              <w:rPr>
                <w:color w:val="231F20"/>
                <w:sz w:val="17"/>
              </w:rPr>
              <w:t>(1,748)</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(1,433)</w:t>
            </w:r>
          </w:p>
        </w:tc>
      </w:tr>
      <w:tr>
        <w:trPr>
          <w:trHeight w:val="238" w:hRule="exact"/>
        </w:trPr>
        <w:tc>
          <w:tcPr>
            <w:tcW w:w="6680" w:type="dxa"/>
          </w:tcPr>
          <w:p>
            <w:pPr>
              <w:pStyle w:val="TableParagraph"/>
              <w:spacing w:before="19"/>
              <w:ind w:left="60"/>
              <w:rPr>
                <w:sz w:val="17"/>
              </w:rPr>
            </w:pPr>
            <w:r>
              <w:rPr>
                <w:color w:val="231F20"/>
                <w:sz w:val="17"/>
              </w:rPr>
              <w:t>Assets constructed for  others</w:t>
            </w:r>
          </w:p>
        </w:tc>
        <w:tc>
          <w:tcPr>
            <w:tcW w:w="780" w:type="dxa"/>
            <w:gridSpan w:val="2"/>
          </w:tcPr>
          <w:p>
            <w:pPr>
              <w:pStyle w:val="TableParagraph"/>
              <w:spacing w:before="19"/>
              <w:ind w:left="303"/>
              <w:rPr>
                <w:sz w:val="17"/>
              </w:rPr>
            </w:pPr>
            <w:r>
              <w:rPr>
                <w:color w:val="231F20"/>
                <w:sz w:val="17"/>
              </w:rPr>
              <w:t>(102)</w:t>
            </w:r>
          </w:p>
        </w:tc>
        <w:tc>
          <w:tcPr>
            <w:tcW w:w="100" w:type="dxa"/>
          </w:tcPr>
          <w:p>
            <w:pPr/>
          </w:p>
        </w:tc>
        <w:tc>
          <w:tcPr>
            <w:tcW w:w="780" w:type="dxa"/>
            <w:gridSpan w:val="2"/>
          </w:tcPr>
          <w:p>
            <w:pPr>
              <w:pStyle w:val="TableParagraph"/>
              <w:spacing w:before="19"/>
              <w:ind w:left="390"/>
              <w:rPr>
                <w:sz w:val="17"/>
              </w:rPr>
            </w:pPr>
            <w:r>
              <w:rPr>
                <w:color w:val="231F20"/>
                <w:sz w:val="17"/>
              </w:rPr>
              <w:t>(80)</w:t>
            </w:r>
          </w:p>
        </w:tc>
        <w:tc>
          <w:tcPr>
            <w:tcW w:w="100" w:type="dxa"/>
          </w:tcPr>
          <w:p>
            <w:pPr/>
          </w:p>
        </w:tc>
        <w:tc>
          <w:tcPr>
            <w:tcW w:w="680" w:type="dxa"/>
          </w:tcPr>
          <w:p>
            <w:pPr>
              <w:pStyle w:val="TableParagraph"/>
              <w:spacing w:before="19"/>
              <w:jc w:val="right"/>
              <w:rPr>
                <w:sz w:val="17"/>
              </w:rPr>
            </w:pPr>
            <w:r>
              <w:rPr>
                <w:color w:val="231F20"/>
                <w:sz w:val="17"/>
              </w:rPr>
              <w:t>(14)</w:t>
            </w:r>
          </w:p>
        </w:tc>
      </w:tr>
      <w:tr>
        <w:trPr>
          <w:trHeight w:val="238" w:hRule="exact"/>
        </w:trPr>
        <w:tc>
          <w:tcPr>
            <w:tcW w:w="6680" w:type="dxa"/>
            <w:shd w:val="clear" w:color="auto" w:fill="D1D3D4"/>
          </w:tcPr>
          <w:p>
            <w:pPr>
              <w:pStyle w:val="TableParagraph"/>
              <w:spacing w:before="19"/>
              <w:ind w:left="60"/>
              <w:rPr>
                <w:sz w:val="17"/>
              </w:rPr>
            </w:pPr>
            <w:r>
              <w:rPr>
                <w:color w:val="231F20"/>
                <w:sz w:val="17"/>
              </w:rPr>
              <w:t>Purchases of short-term  investments</w:t>
            </w:r>
          </w:p>
        </w:tc>
        <w:tc>
          <w:tcPr>
            <w:tcW w:w="780" w:type="dxa"/>
            <w:gridSpan w:val="2"/>
            <w:shd w:val="clear" w:color="auto" w:fill="D1D3D4"/>
          </w:tcPr>
          <w:p>
            <w:pPr>
              <w:pStyle w:val="TableParagraph"/>
              <w:spacing w:before="19"/>
              <w:ind w:left="172"/>
              <w:rPr>
                <w:sz w:val="17"/>
              </w:rPr>
            </w:pPr>
            <w:r>
              <w:rPr>
                <w:color w:val="231F20"/>
                <w:sz w:val="17"/>
              </w:rPr>
              <w:t>(1,986)</w:t>
            </w:r>
          </w:p>
        </w:tc>
        <w:tc>
          <w:tcPr>
            <w:tcW w:w="100" w:type="dxa"/>
            <w:shd w:val="clear" w:color="auto" w:fill="D1D3D4"/>
          </w:tcPr>
          <w:p>
            <w:pPr/>
          </w:p>
        </w:tc>
        <w:tc>
          <w:tcPr>
            <w:tcW w:w="780" w:type="dxa"/>
            <w:gridSpan w:val="2"/>
            <w:shd w:val="clear" w:color="auto" w:fill="D1D3D4"/>
          </w:tcPr>
          <w:p>
            <w:pPr>
              <w:pStyle w:val="TableParagraph"/>
              <w:spacing w:before="19"/>
              <w:ind w:left="172"/>
              <w:rPr>
                <w:sz w:val="17"/>
              </w:rPr>
            </w:pPr>
            <w:r>
              <w:rPr>
                <w:color w:val="231F20"/>
                <w:sz w:val="17"/>
              </w:rPr>
              <w:t>(3,080)</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(3,135)</w:t>
            </w:r>
          </w:p>
        </w:tc>
      </w:tr>
      <w:tr>
        <w:trPr>
          <w:trHeight w:val="238" w:hRule="exact"/>
        </w:trPr>
        <w:tc>
          <w:tcPr>
            <w:tcW w:w="6680" w:type="dxa"/>
          </w:tcPr>
          <w:p>
            <w:pPr>
              <w:pStyle w:val="TableParagraph"/>
              <w:spacing w:before="19"/>
              <w:ind w:left="60"/>
              <w:rPr>
                <w:sz w:val="17"/>
              </w:rPr>
            </w:pPr>
            <w:r>
              <w:rPr>
                <w:color w:val="231F20"/>
                <w:sz w:val="17"/>
              </w:rPr>
              <w:t>Proceeds from sales of short-term and other   investments</w:t>
            </w:r>
          </w:p>
        </w:tc>
        <w:tc>
          <w:tcPr>
            <w:tcW w:w="780" w:type="dxa"/>
            <w:gridSpan w:val="2"/>
          </w:tcPr>
          <w:p>
            <w:pPr>
              <w:pStyle w:val="TableParagraph"/>
              <w:spacing w:before="19"/>
              <w:ind w:left="230"/>
              <w:rPr>
                <w:sz w:val="17"/>
              </w:rPr>
            </w:pPr>
            <w:r>
              <w:rPr>
                <w:color w:val="231F20"/>
                <w:sz w:val="17"/>
              </w:rPr>
              <w:t>2,223</w:t>
            </w:r>
          </w:p>
        </w:tc>
        <w:tc>
          <w:tcPr>
            <w:tcW w:w="100" w:type="dxa"/>
          </w:tcPr>
          <w:p>
            <w:pPr/>
          </w:p>
        </w:tc>
        <w:tc>
          <w:tcPr>
            <w:tcW w:w="780" w:type="dxa"/>
            <w:gridSpan w:val="2"/>
          </w:tcPr>
          <w:p>
            <w:pPr>
              <w:pStyle w:val="TableParagraph"/>
              <w:spacing w:before="19"/>
              <w:ind w:left="230"/>
              <w:rPr>
                <w:sz w:val="17"/>
              </w:rPr>
            </w:pPr>
            <w:r>
              <w:rPr>
                <w:color w:val="231F20"/>
                <w:sz w:val="17"/>
              </w:rPr>
              <w:t>3,185</w:t>
            </w:r>
          </w:p>
        </w:tc>
        <w:tc>
          <w:tcPr>
            <w:tcW w:w="100" w:type="dxa"/>
          </w:tcPr>
          <w:p>
            <w:pPr/>
          </w:p>
        </w:tc>
        <w:tc>
          <w:tcPr>
            <w:tcW w:w="680" w:type="dxa"/>
          </w:tcPr>
          <w:p>
            <w:pPr>
              <w:pStyle w:val="TableParagraph"/>
              <w:spacing w:before="19"/>
              <w:ind w:right="56"/>
              <w:jc w:val="right"/>
              <w:rPr>
                <w:sz w:val="17"/>
              </w:rPr>
            </w:pPr>
            <w:r>
              <w:rPr>
                <w:color w:val="231F20"/>
                <w:sz w:val="17"/>
              </w:rPr>
              <w:t>3,198</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780" w:type="dxa"/>
            <w:gridSpan w:val="2"/>
            <w:tcBorders>
              <w:bottom w:val="single" w:sz="4" w:space="0" w:color="231F20"/>
            </w:tcBorders>
            <w:shd w:val="clear" w:color="auto" w:fill="D1D3D4"/>
          </w:tcPr>
          <w:p>
            <w:pPr>
              <w:pStyle w:val="TableParagraph"/>
              <w:spacing w:before="19"/>
              <w:ind w:left="477"/>
              <w:rPr>
                <w:sz w:val="17"/>
              </w:rPr>
            </w:pPr>
            <w:r>
              <w:rPr>
                <w:color w:val="231F20"/>
                <w:sz w:val="17"/>
              </w:rPr>
              <w:t>(7)</w:t>
            </w:r>
          </w:p>
        </w:tc>
        <w:tc>
          <w:tcPr>
            <w:tcW w:w="100" w:type="dxa"/>
            <w:shd w:val="clear" w:color="auto" w:fill="D1D3D4"/>
          </w:tcPr>
          <w:p>
            <w:pPr/>
          </w:p>
        </w:tc>
        <w:tc>
          <w:tcPr>
            <w:tcW w:w="780" w:type="dxa"/>
            <w:gridSpan w:val="2"/>
            <w:tcBorders>
              <w:bottom w:val="single" w:sz="4" w:space="0" w:color="231F20"/>
            </w:tcBorders>
            <w:shd w:val="clear" w:color="auto" w:fill="D1D3D4"/>
          </w:tcPr>
          <w:p>
            <w:pPr>
              <w:pStyle w:val="TableParagraph"/>
              <w:spacing w:before="19"/>
              <w:ind w:left="477"/>
              <w:rPr>
                <w:sz w:val="17"/>
              </w:rPr>
            </w:pPr>
            <w:r>
              <w:rPr>
                <w:color w:val="231F20"/>
                <w:sz w:val="17"/>
              </w:rPr>
              <w:t>(4)</w:t>
            </w:r>
          </w:p>
        </w:tc>
        <w:tc>
          <w:tcPr>
            <w:tcW w:w="100" w:type="dxa"/>
            <w:shd w:val="clear" w:color="auto" w:fill="D1D3D4"/>
          </w:tcPr>
          <w:p>
            <w:pPr/>
          </w:p>
        </w:tc>
        <w:tc>
          <w:tcPr>
            <w:tcW w:w="680" w:type="dxa"/>
            <w:tcBorders>
              <w:bottom w:val="single" w:sz="4" w:space="0" w:color="231F20"/>
            </w:tcBorders>
            <w:shd w:val="clear" w:color="auto" w:fill="D1D3D4"/>
          </w:tcPr>
          <w:p>
            <w:pPr>
              <w:pStyle w:val="TableParagraph"/>
              <w:spacing w:before="19"/>
              <w:ind w:right="57"/>
              <w:jc w:val="right"/>
              <w:rPr>
                <w:sz w:val="17"/>
              </w:rPr>
            </w:pPr>
            <w:r>
              <w:rPr>
                <w:color w:val="231F20"/>
                <w:w w:val="102"/>
                <w:sz w:val="17"/>
              </w:rPr>
              <w:t>—</w:t>
            </w:r>
          </w:p>
        </w:tc>
      </w:tr>
      <w:tr>
        <w:trPr>
          <w:trHeight w:val="571" w:hRule="exact"/>
        </w:trPr>
        <w:tc>
          <w:tcPr>
            <w:tcW w:w="6680" w:type="dxa"/>
          </w:tcPr>
          <w:p>
            <w:pPr>
              <w:pStyle w:val="TableParagraph"/>
              <w:spacing w:before="39"/>
              <w:ind w:left="408"/>
              <w:rPr>
                <w:sz w:val="17"/>
              </w:rPr>
            </w:pPr>
            <w:r>
              <w:rPr>
                <w:color w:val="231F20"/>
                <w:sz w:val="17"/>
              </w:rPr>
              <w:t>Net cash used in investing  activities</w:t>
            </w:r>
          </w:p>
          <w:p>
            <w:pPr>
              <w:pStyle w:val="TableParagraph"/>
              <w:spacing w:before="132"/>
              <w:ind w:left="60"/>
              <w:rPr>
                <w:b/>
                <w:sz w:val="17"/>
              </w:rPr>
            </w:pPr>
            <w:r>
              <w:rPr>
                <w:b/>
                <w:color w:val="231F20"/>
                <w:sz w:val="17"/>
              </w:rPr>
              <w:t>CASH  FLOWS  FROM FINANCING ACTIVITIES:</w:t>
            </w:r>
          </w:p>
        </w:tc>
        <w:tc>
          <w:tcPr>
            <w:tcW w:w="780" w:type="dxa"/>
            <w:gridSpan w:val="2"/>
            <w:tcBorders>
              <w:top w:val="single" w:sz="4" w:space="0" w:color="231F20"/>
            </w:tcBorders>
          </w:tcPr>
          <w:p>
            <w:pPr>
              <w:pStyle w:val="TableParagraph"/>
              <w:spacing w:before="19"/>
              <w:ind w:left="172"/>
              <w:rPr>
                <w:sz w:val="17"/>
              </w:rPr>
            </w:pPr>
            <w:r>
              <w:rPr>
                <w:color w:val="231F20"/>
                <w:sz w:val="17"/>
              </w:rPr>
              <w:t>(1,913)</w:t>
            </w:r>
          </w:p>
        </w:tc>
        <w:tc>
          <w:tcPr>
            <w:tcW w:w="100" w:type="dxa"/>
          </w:tcPr>
          <w:p>
            <w:pPr/>
          </w:p>
        </w:tc>
        <w:tc>
          <w:tcPr>
            <w:tcW w:w="780" w:type="dxa"/>
            <w:gridSpan w:val="2"/>
            <w:tcBorders>
              <w:top w:val="single" w:sz="4" w:space="0" w:color="231F20"/>
            </w:tcBorders>
          </w:tcPr>
          <w:p>
            <w:pPr>
              <w:pStyle w:val="TableParagraph"/>
              <w:spacing w:before="19"/>
              <w:ind w:left="172"/>
              <w:rPr>
                <w:sz w:val="17"/>
              </w:rPr>
            </w:pPr>
            <w:r>
              <w:rPr>
                <w:color w:val="231F20"/>
                <w:sz w:val="17"/>
              </w:rPr>
              <w:t>(1,727)</w:t>
            </w:r>
          </w:p>
        </w:tc>
        <w:tc>
          <w:tcPr>
            <w:tcW w:w="100" w:type="dxa"/>
          </w:tcPr>
          <w:p>
            <w:pPr/>
          </w:p>
        </w:tc>
        <w:tc>
          <w:tcPr>
            <w:tcW w:w="680" w:type="dxa"/>
            <w:tcBorders>
              <w:top w:val="single" w:sz="4" w:space="0" w:color="231F20"/>
            </w:tcBorders>
          </w:tcPr>
          <w:p>
            <w:pPr>
              <w:pStyle w:val="TableParagraph"/>
              <w:spacing w:before="19"/>
              <w:jc w:val="right"/>
              <w:rPr>
                <w:sz w:val="17"/>
              </w:rPr>
            </w:pPr>
            <w:r>
              <w:rPr>
                <w:color w:val="231F20"/>
                <w:sz w:val="17"/>
              </w:rPr>
              <w:t>(1,384)</w:t>
            </w:r>
          </w:p>
        </w:tc>
      </w:tr>
      <w:tr>
        <w:trPr>
          <w:trHeight w:val="238" w:hRule="exact"/>
        </w:trPr>
        <w:tc>
          <w:tcPr>
            <w:tcW w:w="6680" w:type="dxa"/>
            <w:shd w:val="clear" w:color="auto" w:fill="D1D3D4"/>
          </w:tcPr>
          <w:p>
            <w:pPr>
              <w:pStyle w:val="TableParagraph"/>
              <w:spacing w:before="19"/>
              <w:ind w:left="60"/>
              <w:rPr>
                <w:sz w:val="17"/>
              </w:rPr>
            </w:pPr>
            <w:r>
              <w:rPr>
                <w:color w:val="231F20"/>
                <w:sz w:val="17"/>
              </w:rPr>
              <w:t>Proceeds from issuance of long-term  debt</w:t>
            </w:r>
          </w:p>
        </w:tc>
        <w:tc>
          <w:tcPr>
            <w:tcW w:w="780" w:type="dxa"/>
            <w:gridSpan w:val="2"/>
            <w:shd w:val="clear" w:color="auto" w:fill="D1D3D4"/>
          </w:tcPr>
          <w:p>
            <w:pPr>
              <w:pStyle w:val="TableParagraph"/>
              <w:spacing w:before="19"/>
              <w:ind w:left="361"/>
              <w:rPr>
                <w:sz w:val="17"/>
              </w:rPr>
            </w:pPr>
            <w:r>
              <w:rPr>
                <w:color w:val="231F20"/>
                <w:sz w:val="17"/>
              </w:rPr>
              <w:t>500</w:t>
            </w:r>
          </w:p>
        </w:tc>
        <w:tc>
          <w:tcPr>
            <w:tcW w:w="100" w:type="dxa"/>
            <w:shd w:val="clear" w:color="auto" w:fill="D1D3D4"/>
          </w:tcPr>
          <w:p>
            <w:pPr/>
          </w:p>
        </w:tc>
        <w:tc>
          <w:tcPr>
            <w:tcW w:w="780" w:type="dxa"/>
            <w:gridSpan w:val="2"/>
            <w:shd w:val="clear" w:color="auto" w:fill="D1D3D4"/>
          </w:tcPr>
          <w:p>
            <w:pPr>
              <w:pStyle w:val="TableParagraph"/>
              <w:spacing w:before="19"/>
              <w:ind w:left="361"/>
              <w:rPr>
                <w:sz w:val="17"/>
              </w:rPr>
            </w:pPr>
            <w:r>
              <w:rPr>
                <w:color w:val="231F20"/>
                <w:sz w:val="17"/>
              </w:rPr>
              <w:t>300</w:t>
            </w:r>
          </w:p>
        </w:tc>
        <w:tc>
          <w:tcPr>
            <w:tcW w:w="100" w:type="dxa"/>
            <w:shd w:val="clear" w:color="auto" w:fill="D1D3D4"/>
          </w:tcPr>
          <w:p>
            <w:pPr/>
          </w:p>
        </w:tc>
        <w:tc>
          <w:tcPr>
            <w:tcW w:w="680" w:type="dxa"/>
            <w:shd w:val="clear" w:color="auto" w:fill="D1D3D4"/>
          </w:tcPr>
          <w:p>
            <w:pPr>
              <w:pStyle w:val="TableParagraph"/>
              <w:spacing w:before="19"/>
              <w:ind w:right="55"/>
              <w:jc w:val="right"/>
              <w:rPr>
                <w:sz w:val="17"/>
              </w:rPr>
            </w:pPr>
            <w:r>
              <w:rPr>
                <w:color w:val="231F20"/>
                <w:w w:val="102"/>
                <w:sz w:val="17"/>
              </w:rPr>
              <w:t>—</w:t>
            </w:r>
          </w:p>
        </w:tc>
      </w:tr>
      <w:tr>
        <w:trPr>
          <w:trHeight w:val="238" w:hRule="exact"/>
        </w:trPr>
        <w:tc>
          <w:tcPr>
            <w:tcW w:w="6680" w:type="dxa"/>
          </w:tcPr>
          <w:p>
            <w:pPr>
              <w:pStyle w:val="TableParagraph"/>
              <w:spacing w:before="19"/>
              <w:ind w:left="60"/>
              <w:rPr>
                <w:sz w:val="17"/>
              </w:rPr>
            </w:pPr>
            <w:r>
              <w:rPr>
                <w:color w:val="231F20"/>
                <w:sz w:val="17"/>
              </w:rPr>
              <w:t>Proceeds from Employee stock  plans</w:t>
            </w:r>
          </w:p>
        </w:tc>
        <w:tc>
          <w:tcPr>
            <w:tcW w:w="780" w:type="dxa"/>
            <w:gridSpan w:val="2"/>
          </w:tcPr>
          <w:p>
            <w:pPr>
              <w:pStyle w:val="TableParagraph"/>
              <w:spacing w:before="19"/>
              <w:ind w:left="448"/>
              <w:rPr>
                <w:sz w:val="17"/>
              </w:rPr>
            </w:pPr>
            <w:r>
              <w:rPr>
                <w:color w:val="231F20"/>
                <w:sz w:val="17"/>
              </w:rPr>
              <w:t>46</w:t>
            </w:r>
          </w:p>
        </w:tc>
        <w:tc>
          <w:tcPr>
            <w:tcW w:w="100" w:type="dxa"/>
          </w:tcPr>
          <w:p>
            <w:pPr/>
          </w:p>
        </w:tc>
        <w:tc>
          <w:tcPr>
            <w:tcW w:w="780" w:type="dxa"/>
            <w:gridSpan w:val="2"/>
          </w:tcPr>
          <w:p>
            <w:pPr>
              <w:pStyle w:val="TableParagraph"/>
              <w:spacing w:before="19"/>
              <w:ind w:left="361"/>
              <w:rPr>
                <w:sz w:val="17"/>
              </w:rPr>
            </w:pPr>
            <w:r>
              <w:rPr>
                <w:color w:val="231F20"/>
                <w:sz w:val="17"/>
              </w:rPr>
              <w:t>110</w:t>
            </w:r>
          </w:p>
        </w:tc>
        <w:tc>
          <w:tcPr>
            <w:tcW w:w="100" w:type="dxa"/>
          </w:tcPr>
          <w:p>
            <w:pPr/>
          </w:p>
        </w:tc>
        <w:tc>
          <w:tcPr>
            <w:tcW w:w="680" w:type="dxa"/>
          </w:tcPr>
          <w:p>
            <w:pPr>
              <w:pStyle w:val="TableParagraph"/>
              <w:spacing w:before="19"/>
              <w:ind w:right="55"/>
              <w:jc w:val="right"/>
              <w:rPr>
                <w:sz w:val="17"/>
              </w:rPr>
            </w:pPr>
            <w:r>
              <w:rPr>
                <w:color w:val="231F20"/>
                <w:sz w:val="17"/>
              </w:rPr>
              <w:t>96</w:t>
            </w:r>
          </w:p>
        </w:tc>
      </w:tr>
      <w:tr>
        <w:trPr>
          <w:trHeight w:val="238" w:hRule="exact"/>
        </w:trPr>
        <w:tc>
          <w:tcPr>
            <w:tcW w:w="6680" w:type="dxa"/>
            <w:shd w:val="clear" w:color="auto" w:fill="D1D3D4"/>
          </w:tcPr>
          <w:p>
            <w:pPr>
              <w:pStyle w:val="TableParagraph"/>
              <w:spacing w:before="19"/>
              <w:ind w:left="60"/>
              <w:rPr>
                <w:sz w:val="17"/>
              </w:rPr>
            </w:pPr>
            <w:r>
              <w:rPr>
                <w:color w:val="231F20"/>
                <w:sz w:val="17"/>
              </w:rPr>
              <w:t>Reimbursement for assets constructed for  others</w:t>
            </w:r>
          </w:p>
        </w:tc>
        <w:tc>
          <w:tcPr>
            <w:tcW w:w="780" w:type="dxa"/>
            <w:gridSpan w:val="2"/>
            <w:shd w:val="clear" w:color="auto" w:fill="D1D3D4"/>
          </w:tcPr>
          <w:p>
            <w:pPr>
              <w:pStyle w:val="TableParagraph"/>
              <w:spacing w:before="19"/>
              <w:ind w:left="448"/>
              <w:rPr>
                <w:sz w:val="17"/>
              </w:rPr>
            </w:pPr>
            <w:r>
              <w:rPr>
                <w:color w:val="231F20"/>
                <w:sz w:val="17"/>
              </w:rPr>
              <w:t>24</w:t>
            </w:r>
          </w:p>
        </w:tc>
        <w:tc>
          <w:tcPr>
            <w:tcW w:w="100" w:type="dxa"/>
            <w:shd w:val="clear" w:color="auto" w:fill="D1D3D4"/>
          </w:tcPr>
          <w:p>
            <w:pPr/>
          </w:p>
        </w:tc>
        <w:tc>
          <w:tcPr>
            <w:tcW w:w="780" w:type="dxa"/>
            <w:gridSpan w:val="2"/>
            <w:shd w:val="clear" w:color="auto" w:fill="D1D3D4"/>
          </w:tcPr>
          <w:p>
            <w:pPr>
              <w:pStyle w:val="TableParagraph"/>
              <w:spacing w:before="19"/>
              <w:ind w:left="448"/>
              <w:rPr>
                <w:sz w:val="17"/>
              </w:rPr>
            </w:pPr>
            <w:r>
              <w:rPr>
                <w:color w:val="231F20"/>
                <w:sz w:val="17"/>
              </w:rPr>
              <w:t>27</w:t>
            </w:r>
          </w:p>
        </w:tc>
        <w:tc>
          <w:tcPr>
            <w:tcW w:w="100" w:type="dxa"/>
            <w:shd w:val="clear" w:color="auto" w:fill="D1D3D4"/>
          </w:tcPr>
          <w:p>
            <w:pPr/>
          </w:p>
        </w:tc>
        <w:tc>
          <w:tcPr>
            <w:tcW w:w="680" w:type="dxa"/>
            <w:shd w:val="clear" w:color="auto" w:fill="D1D3D4"/>
          </w:tcPr>
          <w:p>
            <w:pPr>
              <w:pStyle w:val="TableParagraph"/>
              <w:spacing w:before="19"/>
              <w:ind w:right="55"/>
              <w:jc w:val="right"/>
              <w:rPr>
                <w:sz w:val="17"/>
              </w:rPr>
            </w:pPr>
            <w:r>
              <w:rPr>
                <w:color w:val="231F20"/>
                <w:w w:val="102"/>
                <w:sz w:val="17"/>
              </w:rPr>
              <w:t>—</w:t>
            </w:r>
          </w:p>
        </w:tc>
      </w:tr>
      <w:tr>
        <w:trPr>
          <w:trHeight w:val="238" w:hRule="exact"/>
        </w:trPr>
        <w:tc>
          <w:tcPr>
            <w:tcW w:w="6680" w:type="dxa"/>
          </w:tcPr>
          <w:p>
            <w:pPr>
              <w:pStyle w:val="TableParagraph"/>
              <w:spacing w:before="19"/>
              <w:ind w:left="60"/>
              <w:rPr>
                <w:sz w:val="17"/>
              </w:rPr>
            </w:pPr>
            <w:r>
              <w:rPr>
                <w:color w:val="231F20"/>
                <w:sz w:val="17"/>
              </w:rPr>
              <w:t>Proceeds from termination of interest rate derivative   instrument</w:t>
            </w:r>
          </w:p>
        </w:tc>
        <w:tc>
          <w:tcPr>
            <w:tcW w:w="780" w:type="dxa"/>
            <w:gridSpan w:val="2"/>
          </w:tcPr>
          <w:p>
            <w:pPr>
              <w:pStyle w:val="TableParagraph"/>
              <w:spacing w:before="19"/>
              <w:ind w:left="448"/>
              <w:rPr>
                <w:sz w:val="17"/>
              </w:rPr>
            </w:pPr>
            <w:r>
              <w:rPr>
                <w:color w:val="231F20"/>
                <w:sz w:val="17"/>
              </w:rPr>
              <w:t>12</w:t>
            </w:r>
          </w:p>
        </w:tc>
        <w:tc>
          <w:tcPr>
            <w:tcW w:w="100" w:type="dxa"/>
          </w:tcPr>
          <w:p>
            <w:pPr/>
          </w:p>
        </w:tc>
        <w:tc>
          <w:tcPr>
            <w:tcW w:w="780" w:type="dxa"/>
            <w:gridSpan w:val="2"/>
          </w:tcPr>
          <w:p>
            <w:pPr>
              <w:pStyle w:val="TableParagraph"/>
              <w:spacing w:before="19"/>
              <w:ind w:left="448"/>
              <w:rPr>
                <w:sz w:val="17"/>
              </w:rPr>
            </w:pPr>
            <w:r>
              <w:rPr>
                <w:color w:val="231F20"/>
                <w:w w:val="102"/>
                <w:sz w:val="17"/>
              </w:rPr>
              <w:t>—</w:t>
            </w:r>
          </w:p>
        </w:tc>
        <w:tc>
          <w:tcPr>
            <w:tcW w:w="100" w:type="dxa"/>
          </w:tcPr>
          <w:p>
            <w:pPr/>
          </w:p>
        </w:tc>
        <w:tc>
          <w:tcPr>
            <w:tcW w:w="680" w:type="dxa"/>
          </w:tcPr>
          <w:p>
            <w:pPr>
              <w:pStyle w:val="TableParagraph"/>
              <w:spacing w:before="19"/>
              <w:ind w:right="55"/>
              <w:jc w:val="right"/>
              <w:rPr>
                <w:sz w:val="17"/>
              </w:rPr>
            </w:pPr>
            <w:r>
              <w:rPr>
                <w:color w:val="231F20"/>
                <w:w w:val="102"/>
                <w:sz w:val="17"/>
              </w:rPr>
              <w:t>—</w:t>
            </w:r>
          </w:p>
        </w:tc>
      </w:tr>
      <w:tr>
        <w:trPr>
          <w:trHeight w:val="238" w:hRule="exact"/>
        </w:trPr>
        <w:tc>
          <w:tcPr>
            <w:tcW w:w="6680" w:type="dxa"/>
            <w:shd w:val="clear" w:color="auto" w:fill="D1D3D4"/>
          </w:tcPr>
          <w:p>
            <w:pPr>
              <w:pStyle w:val="TableParagraph"/>
              <w:spacing w:before="19"/>
              <w:ind w:left="60"/>
              <w:rPr>
                <w:sz w:val="17"/>
              </w:rPr>
            </w:pPr>
            <w:r>
              <w:rPr>
                <w:color w:val="231F20"/>
                <w:sz w:val="17"/>
              </w:rPr>
              <w:t>Payments of long-term debt and capital lease   obligations</w:t>
            </w:r>
          </w:p>
        </w:tc>
        <w:tc>
          <w:tcPr>
            <w:tcW w:w="780" w:type="dxa"/>
            <w:gridSpan w:val="2"/>
            <w:shd w:val="clear" w:color="auto" w:fill="D1D3D4"/>
          </w:tcPr>
          <w:p>
            <w:pPr>
              <w:pStyle w:val="TableParagraph"/>
              <w:spacing w:before="19"/>
              <w:ind w:left="303"/>
              <w:rPr>
                <w:sz w:val="17"/>
              </w:rPr>
            </w:pPr>
            <w:r>
              <w:rPr>
                <w:color w:val="231F20"/>
                <w:sz w:val="17"/>
              </w:rPr>
              <w:t>(213)</w:t>
            </w:r>
          </w:p>
        </w:tc>
        <w:tc>
          <w:tcPr>
            <w:tcW w:w="100" w:type="dxa"/>
            <w:shd w:val="clear" w:color="auto" w:fill="D1D3D4"/>
          </w:tcPr>
          <w:p>
            <w:pPr/>
          </w:p>
        </w:tc>
        <w:tc>
          <w:tcPr>
            <w:tcW w:w="780" w:type="dxa"/>
            <w:gridSpan w:val="2"/>
            <w:shd w:val="clear" w:color="auto" w:fill="D1D3D4"/>
          </w:tcPr>
          <w:p>
            <w:pPr>
              <w:pStyle w:val="TableParagraph"/>
              <w:spacing w:before="19"/>
              <w:ind w:left="303"/>
              <w:rPr>
                <w:sz w:val="17"/>
              </w:rPr>
            </w:pPr>
            <w:r>
              <w:rPr>
                <w:color w:val="231F20"/>
                <w:sz w:val="17"/>
              </w:rPr>
              <w:t>(561)</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(313)</w:t>
            </w:r>
          </w:p>
        </w:tc>
      </w:tr>
      <w:tr>
        <w:trPr>
          <w:trHeight w:val="238" w:hRule="exact"/>
        </w:trPr>
        <w:tc>
          <w:tcPr>
            <w:tcW w:w="6680" w:type="dxa"/>
          </w:tcPr>
          <w:p>
            <w:pPr>
              <w:pStyle w:val="TableParagraph"/>
              <w:spacing w:before="19"/>
              <w:ind w:left="60"/>
              <w:rPr>
                <w:sz w:val="17"/>
              </w:rPr>
            </w:pPr>
            <w:r>
              <w:rPr>
                <w:color w:val="231F20"/>
                <w:sz w:val="17"/>
              </w:rPr>
              <w:t>Payments of cash  dividends</w:t>
            </w:r>
          </w:p>
        </w:tc>
        <w:tc>
          <w:tcPr>
            <w:tcW w:w="780" w:type="dxa"/>
            <w:gridSpan w:val="2"/>
          </w:tcPr>
          <w:p>
            <w:pPr>
              <w:pStyle w:val="TableParagraph"/>
              <w:spacing w:before="19"/>
              <w:ind w:left="303"/>
              <w:rPr>
                <w:sz w:val="17"/>
              </w:rPr>
            </w:pPr>
            <w:r>
              <w:rPr>
                <w:color w:val="231F20"/>
                <w:sz w:val="17"/>
              </w:rPr>
              <w:t>(180)</w:t>
            </w:r>
          </w:p>
        </w:tc>
        <w:tc>
          <w:tcPr>
            <w:tcW w:w="100" w:type="dxa"/>
          </w:tcPr>
          <w:p>
            <w:pPr/>
          </w:p>
        </w:tc>
        <w:tc>
          <w:tcPr>
            <w:tcW w:w="780" w:type="dxa"/>
            <w:gridSpan w:val="2"/>
          </w:tcPr>
          <w:p>
            <w:pPr>
              <w:pStyle w:val="TableParagraph"/>
              <w:spacing w:before="19"/>
              <w:ind w:left="303"/>
              <w:rPr>
                <w:sz w:val="17"/>
              </w:rPr>
            </w:pPr>
            <w:r>
              <w:rPr>
                <w:color w:val="231F20"/>
                <w:sz w:val="17"/>
              </w:rPr>
              <w:t>(139)</w:t>
            </w:r>
          </w:p>
        </w:tc>
        <w:tc>
          <w:tcPr>
            <w:tcW w:w="100" w:type="dxa"/>
          </w:tcPr>
          <w:p>
            <w:pPr/>
          </w:p>
        </w:tc>
        <w:tc>
          <w:tcPr>
            <w:tcW w:w="680" w:type="dxa"/>
          </w:tcPr>
          <w:p>
            <w:pPr>
              <w:pStyle w:val="TableParagraph"/>
              <w:spacing w:before="19"/>
              <w:jc w:val="right"/>
              <w:rPr>
                <w:sz w:val="17"/>
              </w:rPr>
            </w:pPr>
            <w:r>
              <w:rPr>
                <w:color w:val="231F20"/>
                <w:sz w:val="17"/>
              </w:rPr>
              <w:t>(71)</w:t>
            </w:r>
          </w:p>
        </w:tc>
      </w:tr>
      <w:tr>
        <w:trPr>
          <w:trHeight w:val="238" w:hRule="exact"/>
        </w:trPr>
        <w:tc>
          <w:tcPr>
            <w:tcW w:w="6680" w:type="dxa"/>
            <w:shd w:val="clear" w:color="auto" w:fill="D1D3D4"/>
          </w:tcPr>
          <w:p>
            <w:pPr>
              <w:pStyle w:val="TableParagraph"/>
              <w:spacing w:before="19"/>
              <w:ind w:left="60"/>
              <w:rPr>
                <w:sz w:val="17"/>
              </w:rPr>
            </w:pPr>
            <w:r>
              <w:rPr>
                <w:color w:val="231F20"/>
                <w:sz w:val="17"/>
              </w:rPr>
              <w:t>Repayment of construction  obligation</w:t>
            </w:r>
          </w:p>
        </w:tc>
        <w:tc>
          <w:tcPr>
            <w:tcW w:w="780" w:type="dxa"/>
            <w:gridSpan w:val="2"/>
            <w:shd w:val="clear" w:color="auto" w:fill="D1D3D4"/>
          </w:tcPr>
          <w:p>
            <w:pPr>
              <w:pStyle w:val="TableParagraph"/>
              <w:spacing w:before="19"/>
              <w:ind w:left="390"/>
              <w:rPr>
                <w:sz w:val="17"/>
              </w:rPr>
            </w:pPr>
            <w:r>
              <w:rPr>
                <w:color w:val="231F20"/>
                <w:sz w:val="17"/>
              </w:rPr>
              <w:t>(10)</w:t>
            </w:r>
          </w:p>
        </w:tc>
        <w:tc>
          <w:tcPr>
            <w:tcW w:w="100" w:type="dxa"/>
            <w:shd w:val="clear" w:color="auto" w:fill="D1D3D4"/>
          </w:tcPr>
          <w:p>
            <w:pPr/>
          </w:p>
        </w:tc>
        <w:tc>
          <w:tcPr>
            <w:tcW w:w="780" w:type="dxa"/>
            <w:gridSpan w:val="2"/>
            <w:shd w:val="clear" w:color="auto" w:fill="D1D3D4"/>
          </w:tcPr>
          <w:p>
            <w:pPr>
              <w:pStyle w:val="TableParagraph"/>
              <w:spacing w:before="19"/>
              <w:ind w:left="390"/>
              <w:rPr>
                <w:sz w:val="17"/>
              </w:rPr>
            </w:pPr>
            <w:r>
              <w:rPr>
                <w:color w:val="231F20"/>
                <w:sz w:val="17"/>
              </w:rPr>
              <w:t>(11)</w:t>
            </w:r>
          </w:p>
        </w:tc>
        <w:tc>
          <w:tcPr>
            <w:tcW w:w="100" w:type="dxa"/>
            <w:shd w:val="clear" w:color="auto" w:fill="D1D3D4"/>
          </w:tcPr>
          <w:p>
            <w:pPr/>
          </w:p>
        </w:tc>
        <w:tc>
          <w:tcPr>
            <w:tcW w:w="680" w:type="dxa"/>
            <w:shd w:val="clear" w:color="auto" w:fill="D1D3D4"/>
          </w:tcPr>
          <w:p>
            <w:pPr>
              <w:pStyle w:val="TableParagraph"/>
              <w:spacing w:before="19"/>
              <w:jc w:val="right"/>
              <w:rPr>
                <w:sz w:val="17"/>
              </w:rPr>
            </w:pPr>
            <w:r>
              <w:rPr>
                <w:color w:val="231F20"/>
                <w:sz w:val="17"/>
              </w:rPr>
              <w:t>(5)</w:t>
            </w:r>
          </w:p>
        </w:tc>
      </w:tr>
      <w:tr>
        <w:trPr>
          <w:trHeight w:val="238" w:hRule="exact"/>
        </w:trPr>
        <w:tc>
          <w:tcPr>
            <w:tcW w:w="6680" w:type="dxa"/>
          </w:tcPr>
          <w:p>
            <w:pPr>
              <w:pStyle w:val="TableParagraph"/>
              <w:spacing w:before="19"/>
              <w:ind w:left="60"/>
              <w:rPr>
                <w:sz w:val="17"/>
              </w:rPr>
            </w:pPr>
            <w:r>
              <w:rPr>
                <w:color w:val="231F20"/>
                <w:sz w:val="17"/>
              </w:rPr>
              <w:t>Repurchase of common  stock</w:t>
            </w:r>
          </w:p>
        </w:tc>
        <w:tc>
          <w:tcPr>
            <w:tcW w:w="780" w:type="dxa"/>
            <w:gridSpan w:val="2"/>
          </w:tcPr>
          <w:p>
            <w:pPr>
              <w:pStyle w:val="TableParagraph"/>
              <w:spacing w:before="19"/>
              <w:ind w:left="172"/>
              <w:rPr>
                <w:sz w:val="17"/>
              </w:rPr>
            </w:pPr>
            <w:r>
              <w:rPr>
                <w:color w:val="231F20"/>
                <w:sz w:val="17"/>
              </w:rPr>
              <w:t>(1,180)</w:t>
            </w:r>
          </w:p>
        </w:tc>
        <w:tc>
          <w:tcPr>
            <w:tcW w:w="100" w:type="dxa"/>
          </w:tcPr>
          <w:p>
            <w:pPr/>
          </w:p>
        </w:tc>
        <w:tc>
          <w:tcPr>
            <w:tcW w:w="780" w:type="dxa"/>
            <w:gridSpan w:val="2"/>
          </w:tcPr>
          <w:p>
            <w:pPr>
              <w:pStyle w:val="TableParagraph"/>
              <w:spacing w:before="19"/>
              <w:ind w:left="303"/>
              <w:rPr>
                <w:sz w:val="17"/>
              </w:rPr>
            </w:pPr>
            <w:r>
              <w:rPr>
                <w:color w:val="231F20"/>
                <w:sz w:val="17"/>
              </w:rPr>
              <w:t>(955)</w:t>
            </w:r>
          </w:p>
        </w:tc>
        <w:tc>
          <w:tcPr>
            <w:tcW w:w="100" w:type="dxa"/>
          </w:tcPr>
          <w:p>
            <w:pPr/>
          </w:p>
        </w:tc>
        <w:tc>
          <w:tcPr>
            <w:tcW w:w="680" w:type="dxa"/>
          </w:tcPr>
          <w:p>
            <w:pPr>
              <w:pStyle w:val="TableParagraph"/>
              <w:spacing w:before="19"/>
              <w:jc w:val="right"/>
              <w:rPr>
                <w:sz w:val="17"/>
              </w:rPr>
            </w:pPr>
            <w:r>
              <w:rPr>
                <w:color w:val="231F20"/>
                <w:sz w:val="17"/>
              </w:rPr>
              <w:t>(540)</w:t>
            </w:r>
          </w:p>
        </w:tc>
      </w:tr>
      <w:tr>
        <w:trPr>
          <w:trHeight w:val="253" w:hRule="exact"/>
        </w:trPr>
        <w:tc>
          <w:tcPr>
            <w:tcW w:w="6680" w:type="dxa"/>
            <w:shd w:val="clear" w:color="auto" w:fill="D1D3D4"/>
          </w:tcPr>
          <w:p>
            <w:pPr>
              <w:pStyle w:val="TableParagraph"/>
              <w:spacing w:before="19"/>
              <w:ind w:left="60"/>
              <w:rPr>
                <w:sz w:val="17"/>
              </w:rPr>
            </w:pPr>
            <w:r>
              <w:rPr>
                <w:color w:val="231F20"/>
                <w:sz w:val="17"/>
              </w:rPr>
              <w:t>Other, net</w:t>
            </w:r>
          </w:p>
        </w:tc>
        <w:tc>
          <w:tcPr>
            <w:tcW w:w="780" w:type="dxa"/>
            <w:gridSpan w:val="2"/>
            <w:tcBorders>
              <w:bottom w:val="single" w:sz="4" w:space="0" w:color="231F20"/>
            </w:tcBorders>
            <w:shd w:val="clear" w:color="auto" w:fill="D1D3D4"/>
          </w:tcPr>
          <w:p>
            <w:pPr>
              <w:pStyle w:val="TableParagraph"/>
              <w:spacing w:before="19"/>
              <w:ind w:left="390"/>
              <w:rPr>
                <w:sz w:val="17"/>
              </w:rPr>
            </w:pPr>
            <w:r>
              <w:rPr>
                <w:color w:val="231F20"/>
                <w:sz w:val="17"/>
              </w:rPr>
              <w:t>(23)</w:t>
            </w:r>
          </w:p>
        </w:tc>
        <w:tc>
          <w:tcPr>
            <w:tcW w:w="100" w:type="dxa"/>
            <w:shd w:val="clear" w:color="auto" w:fill="D1D3D4"/>
          </w:tcPr>
          <w:p>
            <w:pPr/>
          </w:p>
        </w:tc>
        <w:tc>
          <w:tcPr>
            <w:tcW w:w="780" w:type="dxa"/>
            <w:gridSpan w:val="2"/>
            <w:tcBorders>
              <w:bottom w:val="single" w:sz="4" w:space="0" w:color="231F20"/>
            </w:tcBorders>
            <w:shd w:val="clear" w:color="auto" w:fill="D1D3D4"/>
          </w:tcPr>
          <w:p>
            <w:pPr>
              <w:pStyle w:val="TableParagraph"/>
              <w:spacing w:before="19"/>
              <w:ind w:left="390"/>
              <w:rPr>
                <w:sz w:val="17"/>
              </w:rPr>
            </w:pPr>
            <w:r>
              <w:rPr>
                <w:color w:val="231F20"/>
                <w:sz w:val="17"/>
              </w:rPr>
              <w:t>(19)</w:t>
            </w:r>
          </w:p>
        </w:tc>
        <w:tc>
          <w:tcPr>
            <w:tcW w:w="100" w:type="dxa"/>
            <w:shd w:val="clear" w:color="auto" w:fill="D1D3D4"/>
          </w:tcPr>
          <w:p>
            <w:pPr/>
          </w:p>
        </w:tc>
        <w:tc>
          <w:tcPr>
            <w:tcW w:w="680" w:type="dxa"/>
            <w:tcBorders>
              <w:bottom w:val="single" w:sz="4" w:space="0" w:color="231F20"/>
            </w:tcBorders>
            <w:shd w:val="clear" w:color="auto" w:fill="D1D3D4"/>
          </w:tcPr>
          <w:p>
            <w:pPr>
              <w:pStyle w:val="TableParagraph"/>
              <w:spacing w:before="19"/>
              <w:jc w:val="right"/>
              <w:rPr>
                <w:sz w:val="17"/>
              </w:rPr>
            </w:pPr>
            <w:r>
              <w:rPr>
                <w:color w:val="231F20"/>
                <w:sz w:val="17"/>
              </w:rPr>
              <w:t>(18)</w:t>
            </w:r>
          </w:p>
        </w:tc>
      </w:tr>
      <w:tr>
        <w:trPr>
          <w:trHeight w:val="349" w:hRule="exact"/>
        </w:trPr>
        <w:tc>
          <w:tcPr>
            <w:tcW w:w="6680" w:type="dxa"/>
          </w:tcPr>
          <w:p>
            <w:pPr>
              <w:pStyle w:val="TableParagraph"/>
              <w:spacing w:before="39"/>
              <w:ind w:left="408"/>
              <w:rPr>
                <w:sz w:val="17"/>
              </w:rPr>
            </w:pPr>
            <w:r>
              <w:rPr>
                <w:color w:val="231F20"/>
                <w:sz w:val="17"/>
              </w:rPr>
              <w:t>Net cash used in financing  activities</w:t>
            </w:r>
          </w:p>
        </w:tc>
        <w:tc>
          <w:tcPr>
            <w:tcW w:w="780" w:type="dxa"/>
            <w:gridSpan w:val="2"/>
            <w:tcBorders>
              <w:top w:val="single" w:sz="4" w:space="0" w:color="231F20"/>
            </w:tcBorders>
          </w:tcPr>
          <w:p>
            <w:pPr>
              <w:pStyle w:val="TableParagraph"/>
              <w:spacing w:before="19"/>
              <w:ind w:left="172"/>
              <w:rPr>
                <w:sz w:val="17"/>
              </w:rPr>
            </w:pPr>
            <w:r>
              <w:rPr>
                <w:color w:val="231F20"/>
                <w:sz w:val="17"/>
              </w:rPr>
              <w:t>(1,024)</w:t>
            </w:r>
          </w:p>
        </w:tc>
        <w:tc>
          <w:tcPr>
            <w:tcW w:w="100" w:type="dxa"/>
          </w:tcPr>
          <w:p>
            <w:pPr/>
          </w:p>
        </w:tc>
        <w:tc>
          <w:tcPr>
            <w:tcW w:w="780" w:type="dxa"/>
            <w:gridSpan w:val="2"/>
            <w:tcBorders>
              <w:top w:val="single" w:sz="4" w:space="0" w:color="231F20"/>
            </w:tcBorders>
          </w:tcPr>
          <w:p>
            <w:pPr>
              <w:pStyle w:val="TableParagraph"/>
              <w:spacing w:before="19"/>
              <w:ind w:left="172"/>
              <w:rPr>
                <w:sz w:val="17"/>
              </w:rPr>
            </w:pPr>
            <w:r>
              <w:rPr>
                <w:color w:val="231F20"/>
                <w:sz w:val="17"/>
              </w:rPr>
              <w:t>(1,248)</w:t>
            </w:r>
          </w:p>
        </w:tc>
        <w:tc>
          <w:tcPr>
            <w:tcW w:w="100" w:type="dxa"/>
          </w:tcPr>
          <w:p>
            <w:pPr/>
          </w:p>
        </w:tc>
        <w:tc>
          <w:tcPr>
            <w:tcW w:w="680" w:type="dxa"/>
            <w:tcBorders>
              <w:top w:val="single" w:sz="4" w:space="0" w:color="231F20"/>
            </w:tcBorders>
          </w:tcPr>
          <w:p>
            <w:pPr>
              <w:pStyle w:val="TableParagraph"/>
              <w:spacing w:before="19"/>
              <w:jc w:val="right"/>
              <w:rPr>
                <w:sz w:val="17"/>
              </w:rPr>
            </w:pPr>
            <w:r>
              <w:rPr>
                <w:color w:val="231F20"/>
                <w:sz w:val="17"/>
              </w:rPr>
              <w:t>(851)</w:t>
            </w: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NET CHANGE IN CASH AND CASH   EQUIVALENTS</w:t>
            </w:r>
          </w:p>
        </w:tc>
        <w:tc>
          <w:tcPr>
            <w:tcW w:w="780" w:type="dxa"/>
            <w:gridSpan w:val="2"/>
            <w:shd w:val="clear" w:color="auto" w:fill="D1D3D4"/>
          </w:tcPr>
          <w:p>
            <w:pPr>
              <w:pStyle w:val="TableParagraph"/>
              <w:spacing w:line="195" w:lineRule="exact" w:before="0"/>
              <w:ind w:left="361"/>
              <w:rPr>
                <w:sz w:val="17"/>
              </w:rPr>
            </w:pPr>
            <w:r>
              <w:rPr>
                <w:color w:val="231F20"/>
                <w:sz w:val="17"/>
              </w:rPr>
              <w:t>301</w:t>
            </w:r>
          </w:p>
        </w:tc>
        <w:tc>
          <w:tcPr>
            <w:tcW w:w="100" w:type="dxa"/>
            <w:shd w:val="clear" w:color="auto" w:fill="D1D3D4"/>
          </w:tcPr>
          <w:p>
            <w:pPr/>
          </w:p>
        </w:tc>
        <w:tc>
          <w:tcPr>
            <w:tcW w:w="780" w:type="dxa"/>
            <w:gridSpan w:val="2"/>
            <w:shd w:val="clear" w:color="auto" w:fill="D1D3D4"/>
          </w:tcPr>
          <w:p>
            <w:pPr>
              <w:pStyle w:val="TableParagraph"/>
              <w:spacing w:line="195" w:lineRule="exact" w:before="0"/>
              <w:ind w:left="390"/>
              <w:rPr>
                <w:sz w:val="17"/>
              </w:rPr>
            </w:pPr>
            <w:r>
              <w:rPr>
                <w:color w:val="231F20"/>
                <w:sz w:val="17"/>
              </w:rPr>
              <w:t>(73)</w:t>
            </w:r>
          </w:p>
        </w:tc>
        <w:tc>
          <w:tcPr>
            <w:tcW w:w="100" w:type="dxa"/>
            <w:shd w:val="clear" w:color="auto" w:fill="D1D3D4"/>
          </w:tcPr>
          <w:p>
            <w:pPr/>
          </w:p>
        </w:tc>
        <w:tc>
          <w:tcPr>
            <w:tcW w:w="680" w:type="dxa"/>
            <w:shd w:val="clear" w:color="auto" w:fill="D1D3D4"/>
          </w:tcPr>
          <w:p>
            <w:pPr>
              <w:pStyle w:val="TableParagraph"/>
              <w:spacing w:line="195" w:lineRule="exact" w:before="0"/>
              <w:ind w:right="57"/>
              <w:jc w:val="right"/>
              <w:rPr>
                <w:sz w:val="17"/>
              </w:rPr>
            </w:pPr>
            <w:r>
              <w:rPr>
                <w:color w:val="231F20"/>
                <w:sz w:val="17"/>
              </w:rPr>
              <w:t>242</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AND CASH EQUIVALENTS AT BEGINNING OF   PERIOD</w:t>
            </w:r>
          </w:p>
        </w:tc>
        <w:tc>
          <w:tcPr>
            <w:tcW w:w="780" w:type="dxa"/>
            <w:gridSpan w:val="2"/>
            <w:shd w:val="clear" w:color="auto" w:fill="D1D3D4"/>
          </w:tcPr>
          <w:p>
            <w:pPr>
              <w:pStyle w:val="TableParagraph"/>
              <w:spacing w:line="195" w:lineRule="exact" w:before="0"/>
              <w:ind w:left="229"/>
              <w:rPr>
                <w:sz w:val="17"/>
              </w:rPr>
            </w:pPr>
            <w:r>
              <w:rPr>
                <w:color w:val="231F20"/>
                <w:sz w:val="17"/>
              </w:rPr>
              <w:t>1,282</w:t>
            </w:r>
          </w:p>
        </w:tc>
        <w:tc>
          <w:tcPr>
            <w:tcW w:w="100" w:type="dxa"/>
            <w:shd w:val="clear" w:color="auto" w:fill="D1D3D4"/>
          </w:tcPr>
          <w:p>
            <w:pPr/>
          </w:p>
        </w:tc>
        <w:tc>
          <w:tcPr>
            <w:tcW w:w="780" w:type="dxa"/>
            <w:gridSpan w:val="2"/>
            <w:shd w:val="clear" w:color="auto" w:fill="D1D3D4"/>
          </w:tcPr>
          <w:p>
            <w:pPr>
              <w:pStyle w:val="TableParagraph"/>
              <w:spacing w:line="195" w:lineRule="exact" w:before="0"/>
              <w:ind w:left="230"/>
              <w:rPr>
                <w:sz w:val="17"/>
              </w:rPr>
            </w:pPr>
            <w:r>
              <w:rPr>
                <w:color w:val="231F20"/>
                <w:sz w:val="17"/>
              </w:rPr>
              <w:t>1,355</w:t>
            </w:r>
          </w:p>
        </w:tc>
        <w:tc>
          <w:tcPr>
            <w:tcW w:w="100" w:type="dxa"/>
            <w:shd w:val="clear" w:color="auto" w:fill="D1D3D4"/>
          </w:tcPr>
          <w:p>
            <w:pPr/>
          </w:p>
        </w:tc>
        <w:tc>
          <w:tcPr>
            <w:tcW w:w="680" w:type="dxa"/>
            <w:shd w:val="clear" w:color="auto" w:fill="D1D3D4"/>
          </w:tcPr>
          <w:p>
            <w:pPr>
              <w:pStyle w:val="TableParagraph"/>
              <w:spacing w:line="195" w:lineRule="exact" w:before="0"/>
              <w:ind w:right="56"/>
              <w:jc w:val="right"/>
              <w:rPr>
                <w:sz w:val="17"/>
              </w:rPr>
            </w:pPr>
            <w:r>
              <w:rPr>
                <w:color w:val="231F20"/>
                <w:sz w:val="17"/>
              </w:rPr>
              <w:t>1,113</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AND CASH EQUIVALENTS AT END OF   PERIOD</w:t>
            </w:r>
          </w:p>
        </w:tc>
        <w:tc>
          <w:tcPr>
            <w:tcW w:w="780" w:type="dxa"/>
            <w:gridSpan w:val="2"/>
            <w:shd w:val="clear" w:color="auto" w:fill="D1D3D4"/>
          </w:tcPr>
          <w:p>
            <w:pPr>
              <w:pStyle w:val="TableParagraph"/>
              <w:spacing w:line="195" w:lineRule="exact" w:before="0"/>
              <w:rPr>
                <w:sz w:val="17"/>
              </w:rPr>
            </w:pPr>
            <w:r>
              <w:rPr>
                <w:color w:val="231F20"/>
                <w:sz w:val="17"/>
              </w:rPr>
              <w:t>$   1,583</w:t>
            </w:r>
          </w:p>
        </w:tc>
        <w:tc>
          <w:tcPr>
            <w:tcW w:w="100" w:type="dxa"/>
            <w:shd w:val="clear" w:color="auto" w:fill="D1D3D4"/>
          </w:tcPr>
          <w:p>
            <w:pPr/>
          </w:p>
        </w:tc>
        <w:tc>
          <w:tcPr>
            <w:tcW w:w="780" w:type="dxa"/>
            <w:gridSpan w:val="2"/>
            <w:shd w:val="clear" w:color="auto" w:fill="D1D3D4"/>
          </w:tcPr>
          <w:p>
            <w:pPr>
              <w:pStyle w:val="TableParagraph"/>
              <w:spacing w:line="195" w:lineRule="exact" w:before="0"/>
              <w:rPr>
                <w:sz w:val="17"/>
              </w:rPr>
            </w:pPr>
            <w:r>
              <w:rPr>
                <w:color w:val="231F20"/>
                <w:sz w:val="17"/>
              </w:rPr>
              <w:t>$   1,282</w:t>
            </w:r>
          </w:p>
        </w:tc>
        <w:tc>
          <w:tcPr>
            <w:tcW w:w="100" w:type="dxa"/>
            <w:shd w:val="clear" w:color="auto" w:fill="D1D3D4"/>
          </w:tcPr>
          <w:p>
            <w:pPr/>
          </w:p>
        </w:tc>
        <w:tc>
          <w:tcPr>
            <w:tcW w:w="680" w:type="dxa"/>
            <w:shd w:val="clear" w:color="auto" w:fill="D1D3D4"/>
          </w:tcPr>
          <w:p>
            <w:pPr>
              <w:pStyle w:val="TableParagraph"/>
              <w:spacing w:line="195" w:lineRule="exact" w:before="0"/>
              <w:ind w:right="56"/>
              <w:jc w:val="right"/>
              <w:rPr>
                <w:sz w:val="17"/>
              </w:rPr>
            </w:pPr>
            <w:r>
              <w:rPr>
                <w:color w:val="231F20"/>
                <w:sz w:val="17"/>
              </w:rPr>
              <w:t>$   1,355</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CASH  PAYMENTS FOR:</w:t>
            </w: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38" w:hRule="exact"/>
        </w:trPr>
        <w:tc>
          <w:tcPr>
            <w:tcW w:w="6680" w:type="dxa"/>
          </w:tcPr>
          <w:p>
            <w:pPr>
              <w:pStyle w:val="TableParagraph"/>
              <w:spacing w:before="19"/>
              <w:ind w:left="60"/>
              <w:rPr>
                <w:sz w:val="17"/>
              </w:rPr>
            </w:pPr>
            <w:r>
              <w:rPr>
                <w:color w:val="231F20"/>
                <w:sz w:val="17"/>
              </w:rPr>
              <w:t>Interest</w:t>
            </w:r>
          </w:p>
        </w:tc>
        <w:tc>
          <w:tcPr>
            <w:tcW w:w="780" w:type="dxa"/>
            <w:gridSpan w:val="2"/>
          </w:tcPr>
          <w:p>
            <w:pPr>
              <w:pStyle w:val="TableParagraph"/>
              <w:tabs>
                <w:tab w:pos="360" w:val="left" w:leader="none"/>
              </w:tabs>
              <w:spacing w:before="19"/>
              <w:rPr>
                <w:sz w:val="17"/>
              </w:rPr>
            </w:pPr>
            <w:r>
              <w:rPr>
                <w:color w:val="231F20"/>
                <w:sz w:val="17"/>
              </w:rPr>
              <w:t>$</w:t>
              <w:tab/>
              <w:t>105</w:t>
            </w:r>
          </w:p>
        </w:tc>
        <w:tc>
          <w:tcPr>
            <w:tcW w:w="100" w:type="dxa"/>
          </w:tcPr>
          <w:p>
            <w:pPr/>
          </w:p>
        </w:tc>
        <w:tc>
          <w:tcPr>
            <w:tcW w:w="780" w:type="dxa"/>
            <w:gridSpan w:val="2"/>
          </w:tcPr>
          <w:p>
            <w:pPr>
              <w:pStyle w:val="TableParagraph"/>
              <w:tabs>
                <w:tab w:pos="360" w:val="left" w:leader="none"/>
              </w:tabs>
              <w:spacing w:before="19"/>
              <w:rPr>
                <w:sz w:val="17"/>
              </w:rPr>
            </w:pPr>
            <w:r>
              <w:rPr>
                <w:color w:val="231F20"/>
                <w:sz w:val="17"/>
              </w:rPr>
              <w:t>$</w:t>
              <w:tab/>
              <w:t>128</w:t>
            </w:r>
          </w:p>
        </w:tc>
        <w:tc>
          <w:tcPr>
            <w:tcW w:w="100" w:type="dxa"/>
          </w:tcPr>
          <w:p>
            <w:pPr/>
          </w:p>
        </w:tc>
        <w:tc>
          <w:tcPr>
            <w:tcW w:w="680" w:type="dxa"/>
          </w:tcPr>
          <w:p>
            <w:pPr>
              <w:pStyle w:val="TableParagraph"/>
              <w:tabs>
                <w:tab w:pos="360" w:val="left" w:leader="none"/>
              </w:tabs>
              <w:spacing w:before="19"/>
              <w:ind w:right="57"/>
              <w:jc w:val="right"/>
              <w:rPr>
                <w:sz w:val="17"/>
              </w:rPr>
            </w:pPr>
            <w:r>
              <w:rPr>
                <w:color w:val="231F20"/>
                <w:sz w:val="17"/>
              </w:rPr>
              <w:t>$</w:t>
              <w:tab/>
              <w:t>133</w:t>
            </w:r>
          </w:p>
        </w:tc>
      </w:tr>
      <w:tr>
        <w:trPr>
          <w:trHeight w:val="238" w:hRule="exact"/>
        </w:trPr>
        <w:tc>
          <w:tcPr>
            <w:tcW w:w="6680" w:type="dxa"/>
            <w:shd w:val="clear" w:color="auto" w:fill="D1D3D4"/>
          </w:tcPr>
          <w:p>
            <w:pPr>
              <w:pStyle w:val="TableParagraph"/>
              <w:spacing w:before="19"/>
              <w:ind w:left="60"/>
              <w:rPr>
                <w:sz w:val="17"/>
              </w:rPr>
            </w:pPr>
            <w:r>
              <w:rPr>
                <w:color w:val="231F20"/>
                <w:sz w:val="17"/>
              </w:rPr>
              <w:t>Income taxes</w:t>
            </w:r>
          </w:p>
        </w:tc>
        <w:tc>
          <w:tcPr>
            <w:tcW w:w="780" w:type="dxa"/>
            <w:gridSpan w:val="2"/>
            <w:shd w:val="clear" w:color="auto" w:fill="D1D3D4"/>
          </w:tcPr>
          <w:p>
            <w:pPr>
              <w:pStyle w:val="TableParagraph"/>
              <w:spacing w:before="19"/>
              <w:rPr>
                <w:sz w:val="17"/>
              </w:rPr>
            </w:pPr>
            <w:r>
              <w:rPr>
                <w:color w:val="231F20"/>
                <w:sz w:val="17"/>
              </w:rPr>
              <w:t>$   1,440</w:t>
            </w:r>
          </w:p>
        </w:tc>
        <w:tc>
          <w:tcPr>
            <w:tcW w:w="100" w:type="dxa"/>
            <w:shd w:val="clear" w:color="auto" w:fill="D1D3D4"/>
          </w:tcPr>
          <w:p>
            <w:pPr/>
          </w:p>
        </w:tc>
        <w:tc>
          <w:tcPr>
            <w:tcW w:w="780" w:type="dxa"/>
            <w:gridSpan w:val="2"/>
            <w:shd w:val="clear" w:color="auto" w:fill="D1D3D4"/>
          </w:tcPr>
          <w:p>
            <w:pPr>
              <w:pStyle w:val="TableParagraph"/>
              <w:tabs>
                <w:tab w:pos="360" w:val="left" w:leader="none"/>
              </w:tabs>
              <w:spacing w:before="19"/>
              <w:rPr>
                <w:sz w:val="17"/>
              </w:rPr>
            </w:pPr>
            <w:r>
              <w:rPr>
                <w:color w:val="231F20"/>
                <w:sz w:val="17"/>
              </w:rPr>
              <w:t>$</w:t>
              <w:tab/>
              <w:t>155</w:t>
            </w:r>
          </w:p>
        </w:tc>
        <w:tc>
          <w:tcPr>
            <w:tcW w:w="100" w:type="dxa"/>
            <w:shd w:val="clear" w:color="auto" w:fill="D1D3D4"/>
          </w:tcPr>
          <w:p>
            <w:pPr/>
          </w:p>
        </w:tc>
        <w:tc>
          <w:tcPr>
            <w:tcW w:w="680" w:type="dxa"/>
            <w:shd w:val="clear" w:color="auto" w:fill="D1D3D4"/>
          </w:tcPr>
          <w:p>
            <w:pPr>
              <w:pStyle w:val="TableParagraph"/>
              <w:tabs>
                <w:tab w:pos="360" w:val="left" w:leader="none"/>
              </w:tabs>
              <w:spacing w:before="19"/>
              <w:ind w:right="57"/>
              <w:jc w:val="right"/>
              <w:rPr>
                <w:sz w:val="17"/>
              </w:rPr>
            </w:pPr>
            <w:r>
              <w:rPr>
                <w:color w:val="231F20"/>
                <w:sz w:val="17"/>
              </w:rPr>
              <w:t>$</w:t>
              <w:tab/>
              <w:t>346</w:t>
            </w:r>
          </w:p>
        </w:tc>
      </w:tr>
      <w:tr>
        <w:trPr>
          <w:trHeight w:val="106" w:hRule="exact"/>
        </w:trPr>
        <w:tc>
          <w:tcPr>
            <w:tcW w:w="6680" w:type="dxa"/>
          </w:tcPr>
          <w:p>
            <w:pPr/>
          </w:p>
        </w:tc>
        <w:tc>
          <w:tcPr>
            <w:tcW w:w="780" w:type="dxa"/>
            <w:gridSpan w:val="2"/>
          </w:tcPr>
          <w:p>
            <w:pPr/>
          </w:p>
        </w:tc>
        <w:tc>
          <w:tcPr>
            <w:tcW w:w="100" w:type="dxa"/>
          </w:tcPr>
          <w:p>
            <w:pPr/>
          </w:p>
        </w:tc>
        <w:tc>
          <w:tcPr>
            <w:tcW w:w="780" w:type="dxa"/>
            <w:gridSpan w:val="2"/>
          </w:tcPr>
          <w:p>
            <w:pPr/>
          </w:p>
        </w:tc>
        <w:tc>
          <w:tcPr>
            <w:tcW w:w="100" w:type="dxa"/>
          </w:tcPr>
          <w:p>
            <w:pPr/>
          </w:p>
        </w:tc>
        <w:tc>
          <w:tcPr>
            <w:tcW w:w="680" w:type="dxa"/>
          </w:tcPr>
          <w:p>
            <w:pPr/>
          </w:p>
        </w:tc>
      </w:tr>
      <w:tr>
        <w:trPr>
          <w:trHeight w:val="222" w:hRule="exact"/>
        </w:trPr>
        <w:tc>
          <w:tcPr>
            <w:tcW w:w="6680" w:type="dxa"/>
            <w:shd w:val="clear" w:color="auto" w:fill="D1D3D4"/>
          </w:tcPr>
          <w:p>
            <w:pPr>
              <w:pStyle w:val="TableParagraph"/>
              <w:spacing w:line="195" w:lineRule="exact" w:before="0"/>
              <w:ind w:left="60"/>
              <w:rPr>
                <w:b/>
                <w:sz w:val="17"/>
              </w:rPr>
            </w:pPr>
            <w:r>
              <w:rPr>
                <w:b/>
                <w:color w:val="231F20"/>
                <w:sz w:val="17"/>
              </w:rPr>
              <w:t>SUPPLEMENTAL  DISCLOSURE  OF  NONCASH TRANSACTIONS:</w:t>
            </w:r>
          </w:p>
        </w:tc>
        <w:tc>
          <w:tcPr>
            <w:tcW w:w="780" w:type="dxa"/>
            <w:gridSpan w:val="2"/>
            <w:shd w:val="clear" w:color="auto" w:fill="D1D3D4"/>
          </w:tcPr>
          <w:p>
            <w:pPr/>
          </w:p>
        </w:tc>
        <w:tc>
          <w:tcPr>
            <w:tcW w:w="100" w:type="dxa"/>
            <w:shd w:val="clear" w:color="auto" w:fill="D1D3D4"/>
          </w:tcPr>
          <w:p>
            <w:pPr/>
          </w:p>
        </w:tc>
        <w:tc>
          <w:tcPr>
            <w:tcW w:w="780" w:type="dxa"/>
            <w:gridSpan w:val="2"/>
            <w:shd w:val="clear" w:color="auto" w:fill="D1D3D4"/>
          </w:tcPr>
          <w:p>
            <w:pPr/>
          </w:p>
        </w:tc>
        <w:tc>
          <w:tcPr>
            <w:tcW w:w="100" w:type="dxa"/>
            <w:shd w:val="clear" w:color="auto" w:fill="D1D3D4"/>
          </w:tcPr>
          <w:p>
            <w:pPr/>
          </w:p>
        </w:tc>
        <w:tc>
          <w:tcPr>
            <w:tcW w:w="680" w:type="dxa"/>
            <w:shd w:val="clear" w:color="auto" w:fill="D1D3D4"/>
          </w:tcPr>
          <w:p>
            <w:pPr/>
          </w:p>
        </w:tc>
      </w:tr>
      <w:tr>
        <w:trPr>
          <w:trHeight w:val="238" w:hRule="exact"/>
        </w:trPr>
        <w:tc>
          <w:tcPr>
            <w:tcW w:w="6680" w:type="dxa"/>
          </w:tcPr>
          <w:p>
            <w:pPr>
              <w:pStyle w:val="TableParagraph"/>
              <w:spacing w:before="19"/>
              <w:ind w:left="60"/>
              <w:rPr>
                <w:sz w:val="17"/>
              </w:rPr>
            </w:pPr>
            <w:r>
              <w:rPr>
                <w:color w:val="231F20"/>
                <w:sz w:val="17"/>
              </w:rPr>
              <w:t>Flight equipment under capital  leases</w:t>
            </w:r>
          </w:p>
        </w:tc>
        <w:tc>
          <w:tcPr>
            <w:tcW w:w="780" w:type="dxa"/>
            <w:gridSpan w:val="2"/>
          </w:tcPr>
          <w:p>
            <w:pPr>
              <w:pStyle w:val="TableParagraph"/>
              <w:tabs>
                <w:tab w:pos="360" w:val="left" w:leader="none"/>
              </w:tabs>
              <w:spacing w:before="19"/>
              <w:rPr>
                <w:sz w:val="17"/>
              </w:rPr>
            </w:pPr>
            <w:r>
              <w:rPr>
                <w:color w:val="231F20"/>
                <w:sz w:val="17"/>
              </w:rPr>
              <w:t>$</w:t>
              <w:tab/>
              <w:t>193</w:t>
            </w:r>
          </w:p>
        </w:tc>
        <w:tc>
          <w:tcPr>
            <w:tcW w:w="100" w:type="dxa"/>
          </w:tcPr>
          <w:p>
            <w:pPr/>
          </w:p>
        </w:tc>
        <w:tc>
          <w:tcPr>
            <w:tcW w:w="780" w:type="dxa"/>
            <w:gridSpan w:val="2"/>
          </w:tcPr>
          <w:p>
            <w:pPr>
              <w:pStyle w:val="TableParagraph"/>
              <w:tabs>
                <w:tab w:pos="360" w:val="left" w:leader="none"/>
              </w:tabs>
              <w:spacing w:before="19"/>
              <w:rPr>
                <w:sz w:val="17"/>
              </w:rPr>
            </w:pPr>
            <w:r>
              <w:rPr>
                <w:color w:val="231F20"/>
                <w:sz w:val="17"/>
              </w:rPr>
              <w:t>$</w:t>
              <w:tab/>
              <w:t>153</w:t>
            </w:r>
          </w:p>
        </w:tc>
        <w:tc>
          <w:tcPr>
            <w:tcW w:w="100" w:type="dxa"/>
          </w:tcPr>
          <w:p>
            <w:pPr/>
          </w:p>
        </w:tc>
        <w:tc>
          <w:tcPr>
            <w:tcW w:w="680" w:type="dxa"/>
          </w:tcPr>
          <w:p>
            <w:pPr>
              <w:pStyle w:val="TableParagraph"/>
              <w:tabs>
                <w:tab w:pos="447" w:val="left" w:leader="none"/>
              </w:tabs>
              <w:spacing w:before="19"/>
              <w:ind w:right="55"/>
              <w:jc w:val="right"/>
              <w:rPr>
                <w:sz w:val="17"/>
              </w:rPr>
            </w:pPr>
            <w:r>
              <w:rPr>
                <w:color w:val="231F20"/>
                <w:sz w:val="17"/>
              </w:rPr>
              <w:t>$</w:t>
              <w:tab/>
              <w:t>26</w:t>
            </w:r>
          </w:p>
        </w:tc>
      </w:tr>
      <w:tr>
        <w:trPr>
          <w:trHeight w:val="238" w:hRule="exact"/>
        </w:trPr>
        <w:tc>
          <w:tcPr>
            <w:tcW w:w="6680" w:type="dxa"/>
            <w:shd w:val="clear" w:color="auto" w:fill="D1D3D4"/>
          </w:tcPr>
          <w:p>
            <w:pPr>
              <w:pStyle w:val="TableParagraph"/>
              <w:spacing w:before="19"/>
              <w:ind w:left="60"/>
              <w:rPr>
                <w:sz w:val="17"/>
              </w:rPr>
            </w:pPr>
            <w:r>
              <w:rPr>
                <w:color w:val="231F20"/>
                <w:sz w:val="17"/>
              </w:rPr>
              <w:t>Assets constructed for  others</w:t>
            </w:r>
          </w:p>
        </w:tc>
        <w:tc>
          <w:tcPr>
            <w:tcW w:w="780" w:type="dxa"/>
            <w:gridSpan w:val="2"/>
            <w:shd w:val="clear" w:color="auto" w:fill="D1D3D4"/>
          </w:tcPr>
          <w:p>
            <w:pPr>
              <w:pStyle w:val="TableParagraph"/>
              <w:tabs>
                <w:tab w:pos="360" w:val="left" w:leader="none"/>
              </w:tabs>
              <w:spacing w:before="19"/>
              <w:rPr>
                <w:sz w:val="17"/>
              </w:rPr>
            </w:pPr>
            <w:r>
              <w:rPr>
                <w:color w:val="231F20"/>
                <w:sz w:val="17"/>
              </w:rPr>
              <w:t>$</w:t>
              <w:tab/>
              <w:t>192</w:t>
            </w:r>
          </w:p>
        </w:tc>
        <w:tc>
          <w:tcPr>
            <w:tcW w:w="100" w:type="dxa"/>
            <w:shd w:val="clear" w:color="auto" w:fill="D1D3D4"/>
          </w:tcPr>
          <w:p>
            <w:pPr/>
          </w:p>
        </w:tc>
        <w:tc>
          <w:tcPr>
            <w:tcW w:w="780" w:type="dxa"/>
            <w:gridSpan w:val="2"/>
            <w:shd w:val="clear" w:color="auto" w:fill="D1D3D4"/>
          </w:tcPr>
          <w:p>
            <w:pPr>
              <w:pStyle w:val="TableParagraph"/>
              <w:tabs>
                <w:tab w:pos="447" w:val="left" w:leader="none"/>
              </w:tabs>
              <w:spacing w:before="19"/>
              <w:rPr>
                <w:sz w:val="17"/>
              </w:rPr>
            </w:pPr>
            <w:r>
              <w:rPr>
                <w:color w:val="231F20"/>
                <w:sz w:val="17"/>
              </w:rPr>
              <w:t>$</w:t>
              <w:tab/>
              <w:t>88</w:t>
            </w:r>
          </w:p>
        </w:tc>
        <w:tc>
          <w:tcPr>
            <w:tcW w:w="100" w:type="dxa"/>
            <w:shd w:val="clear" w:color="auto" w:fill="D1D3D4"/>
          </w:tcPr>
          <w:p>
            <w:pPr/>
          </w:p>
        </w:tc>
        <w:tc>
          <w:tcPr>
            <w:tcW w:w="680" w:type="dxa"/>
            <w:shd w:val="clear" w:color="auto" w:fill="D1D3D4"/>
          </w:tcPr>
          <w:p>
            <w:pPr>
              <w:pStyle w:val="TableParagraph"/>
              <w:tabs>
                <w:tab w:pos="360" w:val="left" w:leader="none"/>
              </w:tabs>
              <w:spacing w:before="19"/>
              <w:ind w:right="55"/>
              <w:jc w:val="right"/>
              <w:rPr>
                <w:sz w:val="17"/>
              </w:rPr>
            </w:pPr>
            <w:r>
              <w:rPr>
                <w:color w:val="231F20"/>
                <w:sz w:val="17"/>
              </w:rPr>
              <w:t>$</w:t>
              <w:tab/>
              <w:t>105</w:t>
            </w:r>
          </w:p>
        </w:tc>
      </w:tr>
    </w:tbl>
    <w:p>
      <w:pPr>
        <w:pStyle w:val="BodyText"/>
        <w:spacing w:before="6"/>
        <w:rPr>
          <w:sz w:val="14"/>
        </w:rPr>
      </w:pPr>
    </w:p>
    <w:p>
      <w:pPr>
        <w:spacing w:before="1"/>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pStyle w:val="Heading1"/>
        <w:spacing w:before="74"/>
        <w:ind w:left="94" w:right="95"/>
        <w:jc w:val="center"/>
      </w:pPr>
      <w:bookmarkStart w:name="Notes to Consolidated Financial Statemen" w:id="22"/>
      <w:bookmarkEnd w:id="22"/>
      <w:r>
        <w:rPr>
          <w:b w:val="0"/>
        </w:rPr>
      </w:r>
      <w:r>
        <w:rPr>
          <w:color w:val="231F20"/>
        </w:rPr>
        <w:t>Southwest Airlines Co.</w:t>
      </w:r>
    </w:p>
    <w:p>
      <w:pPr>
        <w:spacing w:before="6"/>
        <w:ind w:left="95" w:right="95" w:firstLine="0"/>
        <w:jc w:val="center"/>
        <w:rPr>
          <w:b/>
          <w:sz w:val="22"/>
        </w:rPr>
      </w:pPr>
      <w:r>
        <w:rPr>
          <w:b/>
          <w:color w:val="231F20"/>
          <w:sz w:val="22"/>
        </w:rPr>
        <w:t>Notes to Consolidated Financial Statements</w:t>
      </w:r>
    </w:p>
    <w:p>
      <w:pPr>
        <w:pStyle w:val="BodyText"/>
        <w:spacing w:before="10"/>
        <w:rPr>
          <w:b/>
          <w:sz w:val="19"/>
        </w:rPr>
      </w:pPr>
    </w:p>
    <w:p>
      <w:pPr>
        <w:pStyle w:val="ListParagraph"/>
        <w:numPr>
          <w:ilvl w:val="0"/>
          <w:numId w:val="11"/>
        </w:numPr>
        <w:tabs>
          <w:tab w:pos="340" w:val="left" w:leader="none"/>
        </w:tabs>
        <w:spacing w:line="240" w:lineRule="auto" w:before="0" w:after="0"/>
        <w:ind w:left="340" w:right="0" w:hanging="220"/>
        <w:jc w:val="both"/>
        <w:rPr>
          <w:b/>
          <w:sz w:val="22"/>
        </w:rPr>
      </w:pPr>
      <w:r>
        <w:rPr>
          <w:b/>
          <w:color w:val="231F20"/>
          <w:sz w:val="22"/>
        </w:rPr>
        <w:t>SUMMARY OF SIGNIFICANT ACCOUNTING POLICIES</w:t>
      </w:r>
    </w:p>
    <w:p>
      <w:pPr>
        <w:pStyle w:val="BodyText"/>
        <w:spacing w:before="10"/>
        <w:rPr>
          <w:b/>
          <w:sz w:val="19"/>
        </w:rPr>
      </w:pPr>
    </w:p>
    <w:p>
      <w:pPr>
        <w:pStyle w:val="Heading2"/>
        <w:ind w:left="480"/>
        <w:rPr>
          <w:i/>
        </w:rPr>
      </w:pPr>
      <w:r>
        <w:rPr>
          <w:i/>
          <w:color w:val="231F20"/>
        </w:rPr>
        <w:t>Basis of Presentation</w:t>
      </w:r>
    </w:p>
    <w:p>
      <w:pPr>
        <w:pStyle w:val="BodyText"/>
        <w:spacing w:before="10"/>
        <w:rPr>
          <w:b/>
          <w:i/>
          <w:sz w:val="19"/>
        </w:rPr>
      </w:pPr>
    </w:p>
    <w:p>
      <w:pPr>
        <w:pStyle w:val="BodyText"/>
        <w:spacing w:line="247" w:lineRule="auto"/>
        <w:ind w:left="119" w:right="117"/>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AirTran Holdings, LLC, the successor to AirTran Holdings, and its subsidiaries, including among others, AirTran Airways. AirTran’s final passenger service was on December 28, 2014. Although the vast majority of integration costs were incurred in periods prior to 2015, the Company incurred some additional costs in 2015 associated with the integration of AirTran, and those costs are included in Acquisition and integration costs in the accompanying Consolidated Statement of Comprehensive Income. See Note 7 for further information.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2"/>
        </w:rPr>
        <w:t> </w:t>
      </w:r>
      <w:r>
        <w:rPr>
          <w:color w:val="231F20"/>
        </w:rPr>
        <w:t>estimates.</w:t>
      </w:r>
    </w:p>
    <w:p>
      <w:pPr>
        <w:pStyle w:val="BodyText"/>
        <w:spacing w:before="3"/>
        <w:rPr>
          <w:sz w:val="19"/>
        </w:rPr>
      </w:pPr>
    </w:p>
    <w:p>
      <w:pPr>
        <w:pStyle w:val="BodyText"/>
        <w:spacing w:line="247" w:lineRule="auto"/>
        <w:ind w:left="119" w:right="117"/>
        <w:jc w:val="both"/>
      </w:pPr>
      <w:r>
        <w:rPr>
          <w:color w:val="231F20"/>
        </w:rPr>
        <w:t>On November 20, 2015, the Financial Accounting Standards Board (“FASB”) issued Accounting Standards Update (“ASU”) No. 2015-17, Balance Sheet Classification of Deferred Taxes. The standard amends the current requirement for organizations to present deferred tax liabilities and assets as current and noncurrent in a classified balance sheet. Instead, organizations will now be required to classify all deferred tax assets and liabilities as noncurrent. The ASU is effective for fiscal years, and interim periods within those years, beginning after December 15, 2016, with early adoption permitted. The Company early adopted this standard during fourth quarter 2015, utilizing retrospective application as permitted. As such, certain prior period amounts have been reclassified to conform to the current presentation. In the Consolidated Balance Sheet as of December 31, 2014, the Company reclassified</w:t>
      </w:r>
    </w:p>
    <w:p>
      <w:pPr>
        <w:pStyle w:val="BodyText"/>
        <w:spacing w:line="247" w:lineRule="auto"/>
        <w:ind w:left="119" w:right="117"/>
        <w:jc w:val="both"/>
      </w:pPr>
      <w:r>
        <w:rPr>
          <w:color w:val="231F20"/>
        </w:rPr>
        <w:t>$477 million from current Deferred income tax assets to reduce Deferred income taxes within non- current liabilities.</w:t>
      </w:r>
    </w:p>
    <w:p>
      <w:pPr>
        <w:pStyle w:val="BodyText"/>
        <w:spacing w:before="3"/>
        <w:rPr>
          <w:sz w:val="19"/>
        </w:rPr>
      </w:pPr>
    </w:p>
    <w:p>
      <w:pPr>
        <w:pStyle w:val="Heading2"/>
        <w:ind w:left="480"/>
        <w:rPr>
          <w:i/>
        </w:rPr>
      </w:pPr>
      <w:r>
        <w:rPr>
          <w:i/>
          <w:color w:val="231F20"/>
        </w:rPr>
        <w:t>Cash and Cash Equivalents</w:t>
      </w:r>
    </w:p>
    <w:p>
      <w:pPr>
        <w:pStyle w:val="BodyText"/>
        <w:spacing w:before="9"/>
        <w:rPr>
          <w:b/>
          <w:i/>
          <w:sz w:val="19"/>
        </w:rPr>
      </w:pPr>
    </w:p>
    <w:p>
      <w:pPr>
        <w:pStyle w:val="BodyText"/>
        <w:spacing w:line="247" w:lineRule="auto" w:before="1"/>
        <w:ind w:left="119" w:right="117"/>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consists of certificates of deposit, money market funds, and investment grade commercial paper issued by major corporations  and financial institutions. Cash and cash equivalents are stated at cost, which approximates fair</w:t>
      </w:r>
      <w:r>
        <w:rPr>
          <w:color w:val="231F20"/>
          <w:spacing w:val="1"/>
        </w:rPr>
        <w:t> </w:t>
      </w:r>
      <w:r>
        <w:rPr>
          <w:color w:val="231F20"/>
        </w:rPr>
        <w:t>value.</w:t>
      </w:r>
    </w:p>
    <w:p>
      <w:pPr>
        <w:pStyle w:val="BodyText"/>
        <w:spacing w:before="3"/>
        <w:rPr>
          <w:sz w:val="19"/>
        </w:rPr>
      </w:pPr>
    </w:p>
    <w:p>
      <w:pPr>
        <w:pStyle w:val="BodyText"/>
        <w:spacing w:line="247" w:lineRule="auto"/>
        <w:ind w:left="119" w:right="117"/>
        <w:jc w:val="both"/>
      </w:pPr>
      <w:r>
        <w:rPr>
          <w:color w:val="231F20"/>
        </w:rPr>
        <w:t>As of December 31, 2015, $835 million in cash collateral deposits were provided by the Company to  its fuel hedge counterparties and no cash collateral deposits were held by or provided by the Company to its interest rate hedge counterparties. As of December 31, 2014, $266 million in cash collateral deposits were provided by the Company to its fuel hedge counterparties and no cash collateral</w:t>
      </w:r>
      <w:r>
        <w:rPr>
          <w:color w:val="231F20"/>
          <w:spacing w:val="51"/>
        </w:rPr>
        <w:t> </w:t>
      </w:r>
      <w:r>
        <w:rPr>
          <w:color w:val="231F20"/>
        </w:rPr>
        <w:t>deposits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were held by or provided by the Company to its interest rate hedge counterparties. Cash collateral amounts provided or held associated with fuel and interest rate derivative instruments are not restricted in any way and earn interest income at an agreed upon rate that approximates the rates earned on short- 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1"/>
        </w:rPr>
        <w:t> </w:t>
      </w:r>
      <w:r>
        <w:rPr>
          <w:color w:val="231F20"/>
        </w:rPr>
        <w:t>instruments.</w:t>
      </w:r>
    </w:p>
    <w:p>
      <w:pPr>
        <w:pStyle w:val="BodyText"/>
        <w:rPr>
          <w:sz w:val="20"/>
        </w:rPr>
      </w:pPr>
    </w:p>
    <w:p>
      <w:pPr>
        <w:pStyle w:val="Heading2"/>
        <w:rPr>
          <w:i/>
        </w:rPr>
      </w:pPr>
      <w:r>
        <w:rPr>
          <w:i/>
          <w:color w:val="231F20"/>
        </w:rPr>
        <w:t>Short-term and Noncurrent Investments</w:t>
      </w:r>
    </w:p>
    <w:p>
      <w:pPr>
        <w:pStyle w:val="BodyText"/>
        <w:spacing w:before="7"/>
        <w:rPr>
          <w:b/>
          <w:i/>
          <w:sz w:val="20"/>
        </w:rPr>
      </w:pPr>
    </w:p>
    <w:p>
      <w:pPr>
        <w:pStyle w:val="BodyText"/>
        <w:spacing w:line="247" w:lineRule="auto" w:before="1"/>
        <w:ind w:left="100" w:right="117"/>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rPr>
          <w:sz w:val="20"/>
        </w:rPr>
      </w:pPr>
    </w:p>
    <w:p>
      <w:pPr>
        <w:pStyle w:val="BodyText"/>
        <w:spacing w:line="247" w:lineRule="auto" w:before="1"/>
        <w:ind w:left="100" w:right="118"/>
        <w:jc w:val="both"/>
      </w:pPr>
      <w:r>
        <w:rPr>
          <w:color w:val="231F20"/>
        </w:rPr>
        <w:t>Noncurrent investments consist of investments with maturities of greater than twelve months. Noncurrent investments are included as a component of Other assets in the Consolidated Balance  Sheet.</w:t>
      </w:r>
    </w:p>
    <w:p>
      <w:pPr>
        <w:pStyle w:val="BodyText"/>
        <w:rPr>
          <w:sz w:val="20"/>
        </w:rPr>
      </w:pPr>
    </w:p>
    <w:p>
      <w:pPr>
        <w:pStyle w:val="Heading2"/>
        <w:spacing w:before="1"/>
        <w:rPr>
          <w:i/>
        </w:rPr>
      </w:pPr>
      <w:r>
        <w:rPr>
          <w:i/>
          <w:color w:val="231F20"/>
        </w:rPr>
        <w:t>Accounts and Other Receivables</w:t>
      </w:r>
    </w:p>
    <w:p>
      <w:pPr>
        <w:pStyle w:val="BodyText"/>
        <w:spacing w:before="8"/>
        <w:rPr>
          <w:b/>
          <w:i/>
          <w:sz w:val="20"/>
        </w:rPr>
      </w:pPr>
    </w:p>
    <w:p>
      <w:pPr>
        <w:pStyle w:val="BodyText"/>
        <w:spacing w:line="247" w:lineRule="auto"/>
        <w:ind w:left="100" w:right="117"/>
        <w:jc w:val="both"/>
      </w:pPr>
      <w:r>
        <w:rPr>
          <w:color w:val="231F20"/>
        </w:rPr>
        <w:t>Accounts and other receivables are carried at cost. They primarily consist of amounts due from credit card companies associated with sales of tickets for future travel, and amounts due from business partners in the Company’s frequent flyer program. The allowance for doubtful accounts  was immaterial at December 31, 2015 and 2014. In addition, the provision for doubtful accounts and write- offs for 2015, 2014, and 2013 were each immaterial.</w:t>
      </w:r>
    </w:p>
    <w:p>
      <w:pPr>
        <w:pStyle w:val="BodyText"/>
        <w:rPr>
          <w:sz w:val="20"/>
        </w:rPr>
      </w:pPr>
    </w:p>
    <w:p>
      <w:pPr>
        <w:pStyle w:val="Heading2"/>
        <w:rPr>
          <w:i/>
        </w:rPr>
      </w:pPr>
      <w:r>
        <w:rPr>
          <w:i/>
          <w:color w:val="231F20"/>
        </w:rPr>
        <w:t>Inventories</w:t>
      </w:r>
    </w:p>
    <w:p>
      <w:pPr>
        <w:pStyle w:val="BodyText"/>
        <w:spacing w:before="7"/>
        <w:rPr>
          <w:b/>
          <w:i/>
          <w:sz w:val="20"/>
        </w:rPr>
      </w:pPr>
    </w:p>
    <w:p>
      <w:pPr>
        <w:pStyle w:val="BodyText"/>
        <w:spacing w:line="247" w:lineRule="auto"/>
        <w:ind w:left="100" w:right="117"/>
        <w:jc w:val="both"/>
      </w:pPr>
      <w:r>
        <w:rPr>
          <w:color w:val="231F20"/>
        </w:rPr>
        <w:t>Inventories primarily consist of aircraft fuel, flight equipment expendable parts, materials, and  supplies. All of these items are carried at average cost, less an allowance for obsolescence. These items are generally charged to expense when issued for use. The reserve for obsolescence was $47 million and $46 million at December 31, 2015, and 2014, respectively. In addition, the Company’s provision for obsolescence and write-offs for 2015, 2014, and 2013 were each</w:t>
      </w:r>
      <w:r>
        <w:rPr>
          <w:color w:val="231F20"/>
          <w:spacing w:val="-1"/>
        </w:rPr>
        <w:t> </w:t>
      </w:r>
      <w:r>
        <w:rPr>
          <w:color w:val="231F20"/>
        </w:rPr>
        <w:t>immaterial.</w:t>
      </w:r>
    </w:p>
    <w:p>
      <w:pPr>
        <w:pStyle w:val="BodyText"/>
        <w:rPr>
          <w:sz w:val="20"/>
        </w:rPr>
      </w:pPr>
    </w:p>
    <w:p>
      <w:pPr>
        <w:pStyle w:val="Heading2"/>
        <w:rPr>
          <w:i/>
        </w:rPr>
      </w:pPr>
      <w:r>
        <w:rPr>
          <w:i/>
          <w:color w:val="231F20"/>
        </w:rPr>
        <w:t>Property and Equipment</w:t>
      </w:r>
    </w:p>
    <w:p>
      <w:pPr>
        <w:pStyle w:val="BodyText"/>
        <w:spacing w:before="7"/>
        <w:rPr>
          <w:b/>
          <w:i/>
          <w:sz w:val="20"/>
        </w:rPr>
      </w:pPr>
    </w:p>
    <w:p>
      <w:pPr>
        <w:pStyle w:val="BodyText"/>
        <w:spacing w:line="247" w:lineRule="auto"/>
        <w:ind w:left="100" w:right="117"/>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5 to 30 years for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ground property and equipment once the asset is placed in service, and 25 to 30 years for Assets constructed for others. Residual values estimated for aircraft generally range from 2 to 20 percent, for ground property and equipment generally range from 0 to 10 percent, and for Assets constructed for others range from 17 to 25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 4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Based on a revision of the Company’s future firm aircraft order book with Boeing at the end of December 2015, the Company changed the estimated retirement dates of many of its owned 737-300 and 737-500 aircraft. Previously, this fleet was estimated to retire by mid-2021; however, pursuant to this change, the fleet and related parts are expected to be retired by mid-2018. See Note 4 for further information on the Company’s future firm aircraft deliveries. This change in retirement dates is considered a change in estimate. It has been accounted for on a prospective basis, and thus the Company will record accelerated depreciation expense over the remainder of the useful lives for each aircraft and its related parts. The impact of this change on the year ended December 31, 2015 was immaterial. The impact of this change in estimate in 2016 is an approximate $89 million increase to Depreciation and amortization expense.</w:t>
      </w:r>
    </w:p>
    <w:p>
      <w:pPr>
        <w:pStyle w:val="BodyText"/>
        <w:spacing w:before="9"/>
        <w:rPr>
          <w:sz w:val="20"/>
        </w:rPr>
      </w:pPr>
    </w:p>
    <w:p>
      <w:pPr>
        <w:pStyle w:val="BodyText"/>
        <w:spacing w:line="247" w:lineRule="auto"/>
        <w:ind w:left="100" w:right="117"/>
        <w:jc w:val="both"/>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9"/>
        <w:rPr>
          <w:sz w:val="20"/>
        </w:rPr>
      </w:pPr>
    </w:p>
    <w:p>
      <w:pPr>
        <w:pStyle w:val="Heading2"/>
        <w:rPr>
          <w:i/>
        </w:rPr>
      </w:pPr>
      <w:r>
        <w:rPr>
          <w:i/>
          <w:color w:val="231F20"/>
        </w:rPr>
        <w:t>Aircraft and Engine Maintenance</w:t>
      </w:r>
    </w:p>
    <w:p>
      <w:pPr>
        <w:pStyle w:val="BodyText"/>
        <w:spacing w:before="5"/>
        <w:rPr>
          <w:b/>
          <w:i/>
          <w:sz w:val="21"/>
        </w:rPr>
      </w:pPr>
    </w:p>
    <w:p>
      <w:pPr>
        <w:pStyle w:val="BodyText"/>
        <w:spacing w:line="247" w:lineRule="auto"/>
        <w:ind w:left="100" w:right="118"/>
        <w:jc w:val="both"/>
      </w:pPr>
      <w:r>
        <w:rPr>
          <w:color w:val="231F20"/>
        </w:rPr>
        <w:t>The cost of scheduled inspections and repairs and routine maintenance costs for all aircraft and engines are charged to Maintenance materials and repairs expense as incurred. The Company also has “power- by-the-hour” agreements related to certain of its aircraft engines with external service providers. Under these agreements, which the Company has determined effectively transfer the risk and create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the Company’s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spacing w:after="0" w:line="247" w:lineRule="auto"/>
        <w:jc w:val="both"/>
        <w:sectPr>
          <w:pgSz w:w="11880" w:h="15480"/>
          <w:pgMar w:header="0" w:footer="1240" w:top="1240" w:bottom="1420" w:left="1280" w:right="1260"/>
        </w:sectPr>
      </w:pPr>
    </w:p>
    <w:p>
      <w:pPr>
        <w:pStyle w:val="Heading2"/>
        <w:spacing w:before="74"/>
        <w:ind w:left="480"/>
        <w:rPr>
          <w:i/>
        </w:rPr>
      </w:pPr>
      <w:r>
        <w:rPr>
          <w:i/>
          <w:color w:val="231F20"/>
        </w:rPr>
        <w:t>Goodwill and Intangible Assets</w:t>
      </w:r>
    </w:p>
    <w:p>
      <w:pPr>
        <w:pStyle w:val="BodyText"/>
        <w:spacing w:before="4"/>
        <w:rPr>
          <w:b/>
          <w:i/>
          <w:sz w:val="21"/>
        </w:rPr>
      </w:pPr>
    </w:p>
    <w:p>
      <w:pPr>
        <w:pStyle w:val="BodyText"/>
        <w:spacing w:line="247" w:lineRule="auto" w:before="1"/>
        <w:ind w:left="119"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could reasonably have affected the fair value of goodwill and indefinite-lived intangible assets. If the Company determines that it is more likely than not that an indefinite-lived intangible asset is impaired, the quantitative approach is used to assess the asset’s implied fair value and the amount of the impairment. Under a quantitative approach, the implied fair value of the Company’s identifiable assets and liabilities is calculated based on key assumptions. If the Company assets’ carrying value exceeds the fair value calculated using the quantitative approach, an impairment charge is recorded for the difference in fair value and carrying</w:t>
      </w:r>
      <w:r>
        <w:rPr>
          <w:color w:val="231F20"/>
          <w:spacing w:val="-3"/>
        </w:rPr>
        <w:t> </w:t>
      </w:r>
      <w:r>
        <w:rPr>
          <w:color w:val="231F20"/>
        </w:rPr>
        <w:t>value.</w:t>
      </w:r>
    </w:p>
    <w:p>
      <w:pPr>
        <w:pStyle w:val="BodyText"/>
        <w:spacing w:before="9"/>
        <w:rPr>
          <w:sz w:val="20"/>
        </w:rPr>
      </w:pPr>
    </w:p>
    <w:p>
      <w:pPr>
        <w:pStyle w:val="BodyText"/>
        <w:spacing w:line="247" w:lineRule="auto"/>
        <w:ind w:left="119" w:right="118"/>
        <w:jc w:val="both"/>
      </w:pPr>
      <w:r>
        <w:rPr>
          <w:color w:val="231F20"/>
        </w:rPr>
        <w:t>The following table is a summary of the Company’s intangible assets, which are included as a component of Other assets in the Company’s Consolidated Balance Sheet, as of December 31, 2015 and 2014:</w:t>
      </w:r>
    </w:p>
    <w:p>
      <w:pPr>
        <w:spacing w:before="197" w:after="16"/>
        <w:ind w:left="3862" w:right="0" w:firstLine="0"/>
        <w:jc w:val="left"/>
        <w:rPr>
          <w:b/>
          <w:sz w:val="20"/>
        </w:rPr>
      </w:pPr>
      <w:r>
        <w:rPr>
          <w:b/>
          <w:color w:val="231F20"/>
          <w:sz w:val="20"/>
        </w:rPr>
        <w:t>Year ended December 31, 2015  Year ended December 31, 2014</w:t>
      </w:r>
    </w:p>
    <w:p>
      <w:pPr>
        <w:pStyle w:val="BodyText"/>
        <w:spacing w:line="20" w:lineRule="exact"/>
        <w:ind w:left="3852"/>
        <w:rPr>
          <w:sz w:val="2"/>
        </w:rPr>
      </w:pPr>
      <w:r>
        <w:rPr>
          <w:sz w:val="2"/>
        </w:rPr>
        <w:pict>
          <v:group style="width:269.9pt;height:1pt;mso-position-horizontal-relative:char;mso-position-vertical-relative:line" coordorigin="0,0" coordsize="5398,20">
            <v:line style="position:absolute" from="10,10" to="2659,10" stroked="true" strokeweight="1pt" strokecolor="#231f20">
              <v:stroke dashstyle="solid"/>
            </v:line>
            <v:line style="position:absolute" from="2739,10" to="5388,10" stroked="true" strokeweight="1pt" strokecolor="#231f20">
              <v:stroke dashstyle="solid"/>
            </v:line>
          </v:group>
        </w:pict>
      </w:r>
      <w:r>
        <w:rPr>
          <w:sz w:val="2"/>
        </w:rPr>
      </w:r>
    </w:p>
    <w:p>
      <w:pPr>
        <w:spacing w:line="201" w:lineRule="exact" w:before="13"/>
        <w:ind w:left="2756" w:right="0" w:firstLine="0"/>
        <w:jc w:val="left"/>
        <w:rPr>
          <w:b/>
          <w:sz w:val="20"/>
        </w:rPr>
      </w:pPr>
      <w:r>
        <w:rPr>
          <w:b/>
          <w:color w:val="231F20"/>
          <w:sz w:val="20"/>
        </w:rPr>
        <w:t>Weighted-</w:t>
      </w:r>
    </w:p>
    <w:p>
      <w:pPr>
        <w:spacing w:after="0" w:line="201" w:lineRule="exact"/>
        <w:jc w:val="left"/>
        <w:rPr>
          <w:sz w:val="20"/>
        </w:rPr>
        <w:sectPr>
          <w:pgSz w:w="11880" w:h="15480"/>
          <w:pgMar w:header="0" w:footer="1240" w:top="1240" w:bottom="1420" w:left="1260" w:right="1260"/>
        </w:sectPr>
      </w:pPr>
    </w:p>
    <w:p>
      <w:pPr>
        <w:pStyle w:val="BodyText"/>
        <w:spacing w:before="3"/>
        <w:rPr>
          <w:b/>
          <w:sz w:val="17"/>
        </w:rPr>
      </w:pPr>
    </w:p>
    <w:p>
      <w:pPr>
        <w:spacing w:before="0"/>
        <w:ind w:left="180" w:right="0" w:firstLine="0"/>
        <w:jc w:val="left"/>
        <w:rPr>
          <w:b/>
          <w:sz w:val="20"/>
        </w:rPr>
      </w:pPr>
      <w:r>
        <w:rPr>
          <w:b/>
          <w:color w:val="231F20"/>
          <w:sz w:val="20"/>
        </w:rPr>
        <w:t>(in millions)</w:t>
      </w:r>
    </w:p>
    <w:p>
      <w:pPr>
        <w:spacing w:line="200" w:lineRule="exact" w:before="25"/>
        <w:ind w:left="231" w:right="-18" w:hanging="52"/>
        <w:jc w:val="left"/>
        <w:rPr>
          <w:b/>
          <w:sz w:val="20"/>
        </w:rPr>
      </w:pPr>
      <w:r>
        <w:rPr/>
        <w:br w:type="column"/>
      </w:r>
      <w:r>
        <w:rPr>
          <w:b/>
          <w:color w:val="231F20"/>
          <w:sz w:val="20"/>
        </w:rPr>
        <w:t>average useful life (in years)</w:t>
      </w:r>
    </w:p>
    <w:p>
      <w:pPr>
        <w:spacing w:line="200" w:lineRule="exact" w:before="25"/>
        <w:ind w:left="392"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31" w:right="-20" w:hanging="16"/>
        <w:jc w:val="left"/>
        <w:rPr>
          <w:b/>
          <w:sz w:val="20"/>
        </w:rPr>
      </w:pPr>
      <w:r>
        <w:rPr/>
        <w:br w:type="column"/>
      </w:r>
      <w:r>
        <w:rPr>
          <w:b/>
          <w:color w:val="231F20"/>
          <w:sz w:val="20"/>
        </w:rPr>
        <w:t>Accumulated</w:t>
      </w:r>
      <w:r>
        <w:rPr>
          <w:b/>
          <w:color w:val="231F20"/>
          <w:w w:val="99"/>
          <w:sz w:val="20"/>
        </w:rPr>
        <w:t> </w:t>
      </w:r>
      <w:r>
        <w:rPr>
          <w:b/>
          <w:color w:val="231F20"/>
          <w:sz w:val="20"/>
        </w:rPr>
        <w:t>amortization</w:t>
      </w:r>
    </w:p>
    <w:p>
      <w:pPr>
        <w:spacing w:line="200" w:lineRule="exact" w:before="25"/>
        <w:ind w:left="427"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09" w:right="134" w:firstLine="6"/>
        <w:jc w:val="left"/>
        <w:rPr>
          <w:b/>
          <w:sz w:val="20"/>
        </w:rPr>
      </w:pPr>
      <w:r>
        <w:rPr/>
        <w:br w:type="column"/>
      </w:r>
      <w:r>
        <w:rPr>
          <w:b/>
          <w:color w:val="231F20"/>
          <w:sz w:val="20"/>
        </w:rPr>
        <w:t>Accumulated Amortization</w:t>
      </w:r>
    </w:p>
    <w:p>
      <w:pPr>
        <w:spacing w:after="0" w:line="200" w:lineRule="exact"/>
        <w:jc w:val="left"/>
        <w:rPr>
          <w:sz w:val="20"/>
        </w:rPr>
        <w:sectPr>
          <w:type w:val="continuous"/>
          <w:pgSz w:w="11880" w:h="15480"/>
          <w:pgMar w:top="1260" w:bottom="280" w:left="1260" w:right="1260"/>
          <w:cols w:num="6" w:equalWidth="0">
            <w:col w:w="1209" w:space="1164"/>
            <w:col w:w="1409" w:space="40"/>
            <w:col w:w="1363" w:space="40"/>
            <w:col w:w="1249" w:space="40"/>
            <w:col w:w="1398" w:space="40"/>
            <w:col w:w="1408"/>
          </w:cols>
        </w:sectPr>
      </w:pPr>
    </w:p>
    <w:p>
      <w:pPr>
        <w:pStyle w:val="BodyText"/>
        <w:spacing w:before="3"/>
        <w:rPr>
          <w:b/>
          <w:sz w:val="2"/>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3"/>
        <w:gridCol w:w="1229"/>
        <w:gridCol w:w="1440"/>
        <w:gridCol w:w="1289"/>
        <w:gridCol w:w="1434"/>
        <w:gridCol w:w="1295"/>
      </w:tblGrid>
      <w:tr>
        <w:trPr>
          <w:trHeight w:val="610" w:hRule="exact"/>
        </w:trPr>
        <w:tc>
          <w:tcPr>
            <w:tcW w:w="2433" w:type="dxa"/>
            <w:tcBorders>
              <w:top w:val="single" w:sz="12" w:space="0" w:color="231F20"/>
            </w:tcBorders>
          </w:tcPr>
          <w:p>
            <w:pPr>
              <w:pStyle w:val="TableParagraph"/>
              <w:spacing w:line="249" w:lineRule="auto" w:before="108"/>
              <w:ind w:left="60" w:right="447"/>
              <w:rPr>
                <w:sz w:val="20"/>
              </w:rPr>
            </w:pPr>
            <w:r>
              <w:rPr>
                <w:color w:val="231F20"/>
                <w:sz w:val="20"/>
              </w:rPr>
              <w:t>Customer relationships/ marketing agreements</w:t>
            </w:r>
          </w:p>
        </w:tc>
        <w:tc>
          <w:tcPr>
            <w:tcW w:w="1229" w:type="dxa"/>
            <w:tcBorders>
              <w:top w:val="single" w:sz="8" w:space="0" w:color="231F20"/>
            </w:tcBorders>
          </w:tcPr>
          <w:p>
            <w:pPr>
              <w:pStyle w:val="TableParagraph"/>
              <w:spacing w:before="8"/>
              <w:rPr>
                <w:b/>
                <w:sz w:val="30"/>
              </w:rPr>
            </w:pPr>
          </w:p>
          <w:p>
            <w:pPr>
              <w:pStyle w:val="TableParagraph"/>
              <w:spacing w:before="0"/>
              <w:ind w:right="64"/>
              <w:jc w:val="right"/>
              <w:rPr>
                <w:sz w:val="20"/>
              </w:rPr>
            </w:pPr>
            <w:r>
              <w:rPr>
                <w:color w:val="231F20"/>
                <w:sz w:val="20"/>
              </w:rPr>
              <w:t>9</w:t>
            </w:r>
          </w:p>
        </w:tc>
        <w:tc>
          <w:tcPr>
            <w:tcW w:w="1440" w:type="dxa"/>
            <w:tcBorders>
              <w:top w:val="single" w:sz="8" w:space="0" w:color="231F20"/>
            </w:tcBorders>
          </w:tcPr>
          <w:p>
            <w:pPr>
              <w:pStyle w:val="TableParagraph"/>
              <w:spacing w:before="8"/>
              <w:rPr>
                <w:b/>
                <w:sz w:val="30"/>
              </w:rPr>
            </w:pPr>
          </w:p>
          <w:p>
            <w:pPr>
              <w:pStyle w:val="TableParagraph"/>
              <w:tabs>
                <w:tab w:pos="1092" w:val="left" w:leader="none"/>
              </w:tabs>
              <w:spacing w:before="0"/>
              <w:ind w:right="64"/>
              <w:jc w:val="right"/>
              <w:rPr>
                <w:sz w:val="20"/>
              </w:rPr>
            </w:pPr>
            <w:r>
              <w:rPr>
                <w:color w:val="231F20"/>
                <w:sz w:val="20"/>
              </w:rPr>
              <w:t>$</w:t>
              <w:tab/>
              <w:t>38</w:t>
            </w:r>
          </w:p>
        </w:tc>
        <w:tc>
          <w:tcPr>
            <w:tcW w:w="1289" w:type="dxa"/>
            <w:tcBorders>
              <w:top w:val="single" w:sz="8" w:space="0" w:color="231F20"/>
            </w:tcBorders>
          </w:tcPr>
          <w:p>
            <w:pPr>
              <w:pStyle w:val="TableParagraph"/>
              <w:spacing w:before="8"/>
              <w:rPr>
                <w:b/>
                <w:sz w:val="30"/>
              </w:rPr>
            </w:pPr>
          </w:p>
          <w:p>
            <w:pPr>
              <w:pStyle w:val="TableParagraph"/>
              <w:tabs>
                <w:tab w:pos="941" w:val="left" w:leader="none"/>
              </w:tabs>
              <w:spacing w:before="0"/>
              <w:ind w:right="64"/>
              <w:jc w:val="right"/>
              <w:rPr>
                <w:sz w:val="20"/>
              </w:rPr>
            </w:pPr>
            <w:r>
              <w:rPr>
                <w:color w:val="231F20"/>
                <w:sz w:val="20"/>
              </w:rPr>
              <w:t>$</w:t>
              <w:tab/>
              <w:t>30</w:t>
            </w:r>
          </w:p>
        </w:tc>
        <w:tc>
          <w:tcPr>
            <w:tcW w:w="1434" w:type="dxa"/>
            <w:tcBorders>
              <w:top w:val="single" w:sz="8" w:space="0" w:color="231F20"/>
            </w:tcBorders>
          </w:tcPr>
          <w:p>
            <w:pPr>
              <w:pStyle w:val="TableParagraph"/>
              <w:spacing w:before="8"/>
              <w:rPr>
                <w:b/>
                <w:sz w:val="30"/>
              </w:rPr>
            </w:pPr>
          </w:p>
          <w:p>
            <w:pPr>
              <w:pStyle w:val="TableParagraph"/>
              <w:tabs>
                <w:tab w:pos="1086" w:val="left" w:leader="none"/>
              </w:tabs>
              <w:spacing w:before="0"/>
              <w:ind w:right="64"/>
              <w:jc w:val="right"/>
              <w:rPr>
                <w:sz w:val="20"/>
              </w:rPr>
            </w:pPr>
            <w:r>
              <w:rPr>
                <w:color w:val="231F20"/>
                <w:sz w:val="20"/>
              </w:rPr>
              <w:t>$</w:t>
              <w:tab/>
              <w:t>38</w:t>
            </w:r>
          </w:p>
        </w:tc>
        <w:tc>
          <w:tcPr>
            <w:tcW w:w="1295" w:type="dxa"/>
            <w:tcBorders>
              <w:top w:val="single" w:sz="8" w:space="0" w:color="231F20"/>
            </w:tcBorders>
          </w:tcPr>
          <w:p>
            <w:pPr>
              <w:pStyle w:val="TableParagraph"/>
              <w:spacing w:before="8"/>
              <w:rPr>
                <w:b/>
                <w:sz w:val="30"/>
              </w:rPr>
            </w:pPr>
          </w:p>
          <w:p>
            <w:pPr>
              <w:pStyle w:val="TableParagraph"/>
              <w:tabs>
                <w:tab w:pos="947" w:val="left" w:leader="none"/>
              </w:tabs>
              <w:spacing w:before="0"/>
              <w:ind w:right="64"/>
              <w:jc w:val="right"/>
              <w:rPr>
                <w:sz w:val="20"/>
              </w:rPr>
            </w:pPr>
            <w:r>
              <w:rPr>
                <w:color w:val="231F20"/>
                <w:sz w:val="20"/>
              </w:rPr>
              <w:t>$</w:t>
              <w:tab/>
              <w:t>26</w:t>
            </w:r>
          </w:p>
        </w:tc>
      </w:tr>
      <w:tr>
        <w:trPr>
          <w:trHeight w:val="300" w:hRule="exact"/>
        </w:trPr>
        <w:tc>
          <w:tcPr>
            <w:tcW w:w="2433" w:type="dxa"/>
            <w:shd w:val="clear" w:color="auto" w:fill="D1D3D4"/>
          </w:tcPr>
          <w:p>
            <w:pPr>
              <w:pStyle w:val="TableParagraph"/>
              <w:ind w:left="60"/>
              <w:rPr>
                <w:sz w:val="20"/>
              </w:rPr>
            </w:pPr>
            <w:r>
              <w:rPr>
                <w:color w:val="231F20"/>
                <w:sz w:val="20"/>
              </w:rPr>
              <w:t>Trademarks/trade names</w:t>
            </w:r>
          </w:p>
        </w:tc>
        <w:tc>
          <w:tcPr>
            <w:tcW w:w="1229" w:type="dxa"/>
            <w:shd w:val="clear" w:color="auto" w:fill="D1D3D4"/>
          </w:tcPr>
          <w:p>
            <w:pPr>
              <w:pStyle w:val="TableParagraph"/>
              <w:ind w:right="64"/>
              <w:jc w:val="right"/>
              <w:rPr>
                <w:sz w:val="20"/>
              </w:rPr>
            </w:pPr>
            <w:r>
              <w:rPr>
                <w:color w:val="231F20"/>
                <w:sz w:val="20"/>
              </w:rPr>
              <w:t>6</w:t>
            </w:r>
          </w:p>
        </w:tc>
        <w:tc>
          <w:tcPr>
            <w:tcW w:w="1440" w:type="dxa"/>
            <w:shd w:val="clear" w:color="auto" w:fill="D1D3D4"/>
          </w:tcPr>
          <w:p>
            <w:pPr>
              <w:pStyle w:val="TableParagraph"/>
              <w:ind w:right="64"/>
              <w:jc w:val="right"/>
              <w:rPr>
                <w:sz w:val="20"/>
              </w:rPr>
            </w:pPr>
            <w:r>
              <w:rPr>
                <w:color w:val="231F20"/>
                <w:sz w:val="20"/>
              </w:rPr>
              <w:t>36</w:t>
            </w:r>
          </w:p>
        </w:tc>
        <w:tc>
          <w:tcPr>
            <w:tcW w:w="1289" w:type="dxa"/>
            <w:shd w:val="clear" w:color="auto" w:fill="D1D3D4"/>
          </w:tcPr>
          <w:p>
            <w:pPr>
              <w:pStyle w:val="TableParagraph"/>
              <w:ind w:right="64"/>
              <w:jc w:val="right"/>
              <w:rPr>
                <w:sz w:val="20"/>
              </w:rPr>
            </w:pPr>
            <w:r>
              <w:rPr>
                <w:color w:val="231F20"/>
                <w:sz w:val="20"/>
              </w:rPr>
              <w:t>34</w:t>
            </w:r>
          </w:p>
        </w:tc>
        <w:tc>
          <w:tcPr>
            <w:tcW w:w="1434" w:type="dxa"/>
            <w:shd w:val="clear" w:color="auto" w:fill="D1D3D4"/>
          </w:tcPr>
          <w:p>
            <w:pPr>
              <w:pStyle w:val="TableParagraph"/>
              <w:ind w:right="64"/>
              <w:jc w:val="right"/>
              <w:rPr>
                <w:sz w:val="20"/>
              </w:rPr>
            </w:pPr>
            <w:r>
              <w:rPr>
                <w:color w:val="231F20"/>
                <w:sz w:val="20"/>
              </w:rPr>
              <w:t>36</w:t>
            </w:r>
          </w:p>
        </w:tc>
        <w:tc>
          <w:tcPr>
            <w:tcW w:w="1295" w:type="dxa"/>
            <w:shd w:val="clear" w:color="auto" w:fill="D1D3D4"/>
          </w:tcPr>
          <w:p>
            <w:pPr>
              <w:pStyle w:val="TableParagraph"/>
              <w:ind w:right="64"/>
              <w:jc w:val="right"/>
              <w:rPr>
                <w:sz w:val="20"/>
              </w:rPr>
            </w:pPr>
            <w:r>
              <w:rPr>
                <w:color w:val="231F20"/>
                <w:sz w:val="20"/>
              </w:rPr>
              <w:t>30</w:t>
            </w:r>
          </w:p>
        </w:tc>
      </w:tr>
      <w:tr>
        <w:trPr>
          <w:trHeight w:val="300" w:hRule="exact"/>
        </w:trPr>
        <w:tc>
          <w:tcPr>
            <w:tcW w:w="2433" w:type="dxa"/>
          </w:tcPr>
          <w:p>
            <w:pPr>
              <w:pStyle w:val="TableParagraph"/>
              <w:ind w:left="60"/>
              <w:rPr>
                <w:sz w:val="20"/>
              </w:rPr>
            </w:pPr>
            <w:r>
              <w:rPr>
                <w:color w:val="231F20"/>
                <w:sz w:val="20"/>
              </w:rPr>
              <w:t>Owned domestic slots</w:t>
            </w:r>
          </w:p>
        </w:tc>
        <w:tc>
          <w:tcPr>
            <w:tcW w:w="1229" w:type="dxa"/>
          </w:tcPr>
          <w:p>
            <w:pPr>
              <w:pStyle w:val="TableParagraph"/>
              <w:ind w:right="67"/>
              <w:jc w:val="right"/>
              <w:rPr>
                <w:sz w:val="20"/>
              </w:rPr>
            </w:pPr>
            <w:r>
              <w:rPr>
                <w:color w:val="231F20"/>
                <w:sz w:val="20"/>
              </w:rPr>
              <w:t>Indefinite</w:t>
            </w:r>
          </w:p>
        </w:tc>
        <w:tc>
          <w:tcPr>
            <w:tcW w:w="1440" w:type="dxa"/>
          </w:tcPr>
          <w:p>
            <w:pPr>
              <w:pStyle w:val="TableParagraph"/>
              <w:ind w:right="64"/>
              <w:jc w:val="right"/>
              <w:rPr>
                <w:sz w:val="20"/>
              </w:rPr>
            </w:pPr>
            <w:r>
              <w:rPr>
                <w:color w:val="231F20"/>
                <w:sz w:val="20"/>
              </w:rPr>
              <w:t>303</w:t>
            </w:r>
          </w:p>
        </w:tc>
        <w:tc>
          <w:tcPr>
            <w:tcW w:w="1289" w:type="dxa"/>
          </w:tcPr>
          <w:p>
            <w:pPr>
              <w:pStyle w:val="TableParagraph"/>
              <w:ind w:right="65"/>
              <w:jc w:val="right"/>
              <w:rPr>
                <w:sz w:val="20"/>
              </w:rPr>
            </w:pPr>
            <w:r>
              <w:rPr>
                <w:color w:val="231F20"/>
                <w:sz w:val="20"/>
              </w:rPr>
              <w:t>n/a</w:t>
            </w:r>
          </w:p>
        </w:tc>
        <w:tc>
          <w:tcPr>
            <w:tcW w:w="1434" w:type="dxa"/>
          </w:tcPr>
          <w:p>
            <w:pPr>
              <w:pStyle w:val="TableParagraph"/>
              <w:ind w:right="64"/>
              <w:jc w:val="right"/>
              <w:rPr>
                <w:sz w:val="20"/>
              </w:rPr>
            </w:pPr>
            <w:r>
              <w:rPr>
                <w:color w:val="231F20"/>
                <w:sz w:val="20"/>
              </w:rPr>
              <w:t>303</w:t>
            </w:r>
          </w:p>
        </w:tc>
        <w:tc>
          <w:tcPr>
            <w:tcW w:w="1295" w:type="dxa"/>
          </w:tcPr>
          <w:p>
            <w:pPr>
              <w:pStyle w:val="TableParagraph"/>
              <w:ind w:right="65"/>
              <w:jc w:val="right"/>
              <w:rPr>
                <w:sz w:val="20"/>
              </w:rPr>
            </w:pPr>
            <w:r>
              <w:rPr>
                <w:color w:val="231F20"/>
                <w:sz w:val="20"/>
              </w:rPr>
              <w:t>n/a</w:t>
            </w:r>
          </w:p>
        </w:tc>
      </w:tr>
      <w:tr>
        <w:trPr>
          <w:trHeight w:val="300" w:hRule="exact"/>
        </w:trPr>
        <w:tc>
          <w:tcPr>
            <w:tcW w:w="2433" w:type="dxa"/>
            <w:shd w:val="clear" w:color="auto" w:fill="D1D3D4"/>
          </w:tcPr>
          <w:p>
            <w:pPr>
              <w:pStyle w:val="TableParagraph"/>
              <w:ind w:left="60"/>
              <w:rPr>
                <w:sz w:val="20"/>
              </w:rPr>
            </w:pPr>
            <w:r>
              <w:rPr>
                <w:color w:val="231F20"/>
                <w:sz w:val="20"/>
              </w:rPr>
              <w:t>Leased domestic slots (b)</w:t>
            </w:r>
          </w:p>
        </w:tc>
        <w:tc>
          <w:tcPr>
            <w:tcW w:w="1229" w:type="dxa"/>
            <w:shd w:val="clear" w:color="auto" w:fill="D1D3D4"/>
          </w:tcPr>
          <w:p>
            <w:pPr>
              <w:pStyle w:val="TableParagraph"/>
              <w:ind w:right="66"/>
              <w:jc w:val="right"/>
              <w:rPr>
                <w:sz w:val="20"/>
              </w:rPr>
            </w:pPr>
            <w:r>
              <w:rPr>
                <w:color w:val="231F20"/>
                <w:sz w:val="20"/>
              </w:rPr>
              <w:t>47</w:t>
            </w:r>
          </w:p>
        </w:tc>
        <w:tc>
          <w:tcPr>
            <w:tcW w:w="1440" w:type="dxa"/>
            <w:shd w:val="clear" w:color="auto" w:fill="D1D3D4"/>
          </w:tcPr>
          <w:p>
            <w:pPr>
              <w:pStyle w:val="TableParagraph"/>
              <w:ind w:right="66"/>
              <w:jc w:val="right"/>
              <w:rPr>
                <w:sz w:val="20"/>
              </w:rPr>
            </w:pPr>
            <w:r>
              <w:rPr>
                <w:color w:val="231F20"/>
                <w:sz w:val="20"/>
              </w:rPr>
              <w:t>17</w:t>
            </w:r>
          </w:p>
        </w:tc>
        <w:tc>
          <w:tcPr>
            <w:tcW w:w="1289" w:type="dxa"/>
            <w:shd w:val="clear" w:color="auto" w:fill="D1D3D4"/>
          </w:tcPr>
          <w:p>
            <w:pPr>
              <w:pStyle w:val="TableParagraph"/>
              <w:ind w:right="66"/>
              <w:jc w:val="right"/>
              <w:rPr>
                <w:sz w:val="20"/>
              </w:rPr>
            </w:pPr>
            <w:r>
              <w:rPr>
                <w:color w:val="231F20"/>
                <w:sz w:val="20"/>
              </w:rPr>
              <w:t>3</w:t>
            </w:r>
          </w:p>
        </w:tc>
        <w:tc>
          <w:tcPr>
            <w:tcW w:w="1434" w:type="dxa"/>
            <w:shd w:val="clear" w:color="auto" w:fill="D1D3D4"/>
          </w:tcPr>
          <w:p>
            <w:pPr>
              <w:pStyle w:val="TableParagraph"/>
              <w:ind w:right="66"/>
              <w:jc w:val="right"/>
              <w:rPr>
                <w:sz w:val="20"/>
              </w:rPr>
            </w:pPr>
            <w:r>
              <w:rPr>
                <w:color w:val="231F20"/>
                <w:sz w:val="20"/>
              </w:rPr>
              <w:t>19</w:t>
            </w:r>
          </w:p>
        </w:tc>
        <w:tc>
          <w:tcPr>
            <w:tcW w:w="1295" w:type="dxa"/>
            <w:shd w:val="clear" w:color="auto" w:fill="D1D3D4"/>
          </w:tcPr>
          <w:p>
            <w:pPr>
              <w:pStyle w:val="TableParagraph"/>
              <w:ind w:right="66"/>
              <w:jc w:val="right"/>
              <w:rPr>
                <w:sz w:val="20"/>
              </w:rPr>
            </w:pPr>
            <w:r>
              <w:rPr>
                <w:color w:val="231F20"/>
                <w:sz w:val="20"/>
              </w:rPr>
              <w:t>5</w:t>
            </w:r>
          </w:p>
        </w:tc>
      </w:tr>
      <w:tr>
        <w:trPr>
          <w:trHeight w:val="315" w:hRule="exact"/>
        </w:trPr>
        <w:tc>
          <w:tcPr>
            <w:tcW w:w="2433" w:type="dxa"/>
          </w:tcPr>
          <w:p>
            <w:pPr>
              <w:pStyle w:val="TableParagraph"/>
              <w:ind w:left="60"/>
              <w:rPr>
                <w:sz w:val="20"/>
              </w:rPr>
            </w:pPr>
            <w:r>
              <w:rPr>
                <w:color w:val="231F20"/>
                <w:sz w:val="20"/>
              </w:rPr>
              <w:t>Gate leasehold rights (a)</w:t>
            </w:r>
          </w:p>
        </w:tc>
        <w:tc>
          <w:tcPr>
            <w:tcW w:w="1229" w:type="dxa"/>
            <w:tcBorders>
              <w:bottom w:val="single" w:sz="4" w:space="0" w:color="231F20"/>
            </w:tcBorders>
          </w:tcPr>
          <w:p>
            <w:pPr>
              <w:pStyle w:val="TableParagraph"/>
              <w:ind w:right="66"/>
              <w:jc w:val="right"/>
              <w:rPr>
                <w:sz w:val="20"/>
              </w:rPr>
            </w:pPr>
            <w:r>
              <w:rPr>
                <w:color w:val="231F20"/>
                <w:sz w:val="20"/>
              </w:rPr>
              <w:t>15</w:t>
            </w:r>
          </w:p>
        </w:tc>
        <w:tc>
          <w:tcPr>
            <w:tcW w:w="1440" w:type="dxa"/>
            <w:tcBorders>
              <w:bottom w:val="single" w:sz="4" w:space="0" w:color="231F20"/>
            </w:tcBorders>
          </w:tcPr>
          <w:p>
            <w:pPr>
              <w:pStyle w:val="TableParagraph"/>
              <w:ind w:right="66"/>
              <w:jc w:val="right"/>
              <w:rPr>
                <w:sz w:val="20"/>
              </w:rPr>
            </w:pPr>
            <w:r>
              <w:rPr>
                <w:color w:val="231F20"/>
                <w:sz w:val="20"/>
              </w:rPr>
              <w:t>180</w:t>
            </w:r>
          </w:p>
        </w:tc>
        <w:tc>
          <w:tcPr>
            <w:tcW w:w="1289" w:type="dxa"/>
            <w:tcBorders>
              <w:bottom w:val="single" w:sz="4" w:space="0" w:color="231F20"/>
            </w:tcBorders>
          </w:tcPr>
          <w:p>
            <w:pPr>
              <w:pStyle w:val="TableParagraph"/>
              <w:ind w:right="66"/>
              <w:jc w:val="right"/>
              <w:rPr>
                <w:sz w:val="20"/>
              </w:rPr>
            </w:pPr>
            <w:r>
              <w:rPr>
                <w:color w:val="231F20"/>
                <w:sz w:val="20"/>
              </w:rPr>
              <w:t>43</w:t>
            </w:r>
          </w:p>
        </w:tc>
        <w:tc>
          <w:tcPr>
            <w:tcW w:w="1434" w:type="dxa"/>
            <w:tcBorders>
              <w:bottom w:val="single" w:sz="4" w:space="0" w:color="231F20"/>
            </w:tcBorders>
          </w:tcPr>
          <w:p>
            <w:pPr>
              <w:pStyle w:val="TableParagraph"/>
              <w:ind w:right="66"/>
              <w:jc w:val="right"/>
              <w:rPr>
                <w:sz w:val="20"/>
              </w:rPr>
            </w:pPr>
            <w:r>
              <w:rPr>
                <w:color w:val="231F20"/>
                <w:sz w:val="20"/>
              </w:rPr>
              <w:t>60</w:t>
            </w:r>
          </w:p>
        </w:tc>
        <w:tc>
          <w:tcPr>
            <w:tcW w:w="1295" w:type="dxa"/>
            <w:tcBorders>
              <w:bottom w:val="single" w:sz="4" w:space="0" w:color="231F20"/>
            </w:tcBorders>
          </w:tcPr>
          <w:p>
            <w:pPr>
              <w:pStyle w:val="TableParagraph"/>
              <w:ind w:right="66"/>
              <w:jc w:val="right"/>
              <w:rPr>
                <w:sz w:val="20"/>
              </w:rPr>
            </w:pPr>
            <w:r>
              <w:rPr>
                <w:color w:val="231F20"/>
                <w:sz w:val="20"/>
              </w:rPr>
              <w:t>32</w:t>
            </w:r>
          </w:p>
        </w:tc>
      </w:tr>
      <w:tr>
        <w:trPr>
          <w:trHeight w:val="320" w:hRule="exact"/>
        </w:trPr>
        <w:tc>
          <w:tcPr>
            <w:tcW w:w="2433" w:type="dxa"/>
            <w:shd w:val="clear" w:color="auto" w:fill="D1D3D4"/>
          </w:tcPr>
          <w:p>
            <w:pPr>
              <w:pStyle w:val="TableParagraph"/>
              <w:ind w:left="260"/>
              <w:rPr>
                <w:sz w:val="20"/>
              </w:rPr>
            </w:pPr>
            <w:r>
              <w:rPr>
                <w:color w:val="231F20"/>
                <w:sz w:val="20"/>
              </w:rPr>
              <w:t>Total</w:t>
            </w:r>
          </w:p>
        </w:tc>
        <w:tc>
          <w:tcPr>
            <w:tcW w:w="1229"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15</w:t>
            </w:r>
          </w:p>
        </w:tc>
        <w:tc>
          <w:tcPr>
            <w:tcW w:w="1440" w:type="dxa"/>
            <w:tcBorders>
              <w:top w:val="single" w:sz="4" w:space="0" w:color="231F20"/>
              <w:bottom w:val="single" w:sz="4" w:space="0" w:color="231F20"/>
            </w:tcBorders>
            <w:shd w:val="clear" w:color="auto" w:fill="D1D3D4"/>
          </w:tcPr>
          <w:p>
            <w:pPr>
              <w:pStyle w:val="TableParagraph"/>
              <w:tabs>
                <w:tab w:pos="992" w:val="left" w:leader="none"/>
              </w:tabs>
              <w:ind w:right="66"/>
              <w:jc w:val="right"/>
              <w:rPr>
                <w:sz w:val="20"/>
              </w:rPr>
            </w:pPr>
            <w:r>
              <w:rPr>
                <w:color w:val="231F20"/>
                <w:sz w:val="20"/>
              </w:rPr>
              <w:t>$</w:t>
              <w:tab/>
              <w:t>574</w:t>
            </w:r>
          </w:p>
        </w:tc>
        <w:tc>
          <w:tcPr>
            <w:tcW w:w="1289" w:type="dxa"/>
            <w:tcBorders>
              <w:top w:val="single" w:sz="4" w:space="0" w:color="231F20"/>
              <w:bottom w:val="single" w:sz="4" w:space="0" w:color="231F20"/>
            </w:tcBorders>
            <w:shd w:val="clear" w:color="auto" w:fill="D1D3D4"/>
          </w:tcPr>
          <w:p>
            <w:pPr>
              <w:pStyle w:val="TableParagraph"/>
              <w:tabs>
                <w:tab w:pos="841" w:val="left" w:leader="none"/>
              </w:tabs>
              <w:ind w:right="66"/>
              <w:jc w:val="right"/>
              <w:rPr>
                <w:sz w:val="20"/>
              </w:rPr>
            </w:pPr>
            <w:r>
              <w:rPr>
                <w:color w:val="231F20"/>
                <w:sz w:val="20"/>
              </w:rPr>
              <w:t>$</w:t>
              <w:tab/>
              <w:t>110</w:t>
            </w:r>
          </w:p>
        </w:tc>
        <w:tc>
          <w:tcPr>
            <w:tcW w:w="1434" w:type="dxa"/>
            <w:tcBorders>
              <w:top w:val="single" w:sz="4" w:space="0" w:color="231F20"/>
              <w:bottom w:val="single" w:sz="4" w:space="0" w:color="231F20"/>
            </w:tcBorders>
            <w:shd w:val="clear" w:color="auto" w:fill="D1D3D4"/>
          </w:tcPr>
          <w:p>
            <w:pPr>
              <w:pStyle w:val="TableParagraph"/>
              <w:tabs>
                <w:tab w:pos="986" w:val="left" w:leader="none"/>
              </w:tabs>
              <w:ind w:right="66"/>
              <w:jc w:val="right"/>
              <w:rPr>
                <w:sz w:val="20"/>
              </w:rPr>
            </w:pPr>
            <w:r>
              <w:rPr>
                <w:color w:val="231F20"/>
                <w:sz w:val="20"/>
              </w:rPr>
              <w:t>$</w:t>
              <w:tab/>
              <w:t>456</w:t>
            </w:r>
          </w:p>
        </w:tc>
        <w:tc>
          <w:tcPr>
            <w:tcW w:w="1295" w:type="dxa"/>
            <w:tcBorders>
              <w:top w:val="single" w:sz="4" w:space="0" w:color="231F20"/>
              <w:bottom w:val="single" w:sz="4" w:space="0" w:color="231F20"/>
            </w:tcBorders>
            <w:shd w:val="clear" w:color="auto" w:fill="D1D3D4"/>
          </w:tcPr>
          <w:p>
            <w:pPr>
              <w:pStyle w:val="TableParagraph"/>
              <w:tabs>
                <w:tab w:pos="947" w:val="left" w:leader="none"/>
              </w:tabs>
              <w:spacing w:before="48"/>
              <w:ind w:right="66"/>
              <w:jc w:val="right"/>
              <w:rPr>
                <w:sz w:val="20"/>
              </w:rPr>
            </w:pPr>
            <w:r>
              <w:rPr>
                <w:color w:val="231F20"/>
                <w:sz w:val="20"/>
              </w:rPr>
              <w:t>$</w:t>
              <w:tab/>
              <w:t>93</w:t>
            </w:r>
          </w:p>
        </w:tc>
      </w:tr>
    </w:tbl>
    <w:p>
      <w:pPr>
        <w:pStyle w:val="BodyText"/>
        <w:spacing w:before="1"/>
        <w:rPr>
          <w:b/>
          <w:sz w:val="17"/>
        </w:rPr>
      </w:pPr>
    </w:p>
    <w:p>
      <w:pPr>
        <w:pStyle w:val="ListParagraph"/>
        <w:numPr>
          <w:ilvl w:val="0"/>
          <w:numId w:val="12"/>
        </w:numPr>
        <w:tabs>
          <w:tab w:pos="451" w:val="left" w:leader="none"/>
        </w:tabs>
        <w:spacing w:line="247" w:lineRule="auto" w:before="93" w:after="0"/>
        <w:ind w:left="120" w:right="118" w:firstLine="0"/>
        <w:jc w:val="both"/>
        <w:rPr>
          <w:color w:val="231F20"/>
          <w:sz w:val="22"/>
        </w:rPr>
      </w:pPr>
      <w:r>
        <w:rPr>
          <w:color w:val="231F20"/>
          <w:sz w:val="22"/>
        </w:rPr>
        <w:t>Intangible assets primarily consist of acquired leasehold rights to certain airport owned gates at Chicago’s Midway International Airport, takeoff and landing slots (a “slot” is the right of an air carrier, pursuant to regulations of the Federal Aviation Administration (“FAA”), to operate a takeoff or landing at a specific time at certain airports) at certain domestic slot-controlled airports, and certain intangible assets recognized from the AirTran acquisition. The increase in Intangible assets during 2015 was primarily due to the acquisition of two additional airport gate rights at Dallas Love Field, which were subleased from United Airlines. The purchase price paid for these airport gate rights was included as a component of Capital expenditures in the accompanying Consolidated Statement of Cash</w:t>
      </w:r>
      <w:r>
        <w:rPr>
          <w:color w:val="231F20"/>
          <w:spacing w:val="-1"/>
          <w:sz w:val="22"/>
        </w:rPr>
        <w:t> </w:t>
      </w:r>
      <w:r>
        <w:rPr>
          <w:color w:val="231F20"/>
          <w:sz w:val="22"/>
        </w:rPr>
        <w:t>Flows.</w:t>
      </w:r>
    </w:p>
    <w:p>
      <w:pPr>
        <w:pStyle w:val="ListParagraph"/>
        <w:numPr>
          <w:ilvl w:val="0"/>
          <w:numId w:val="12"/>
        </w:numPr>
        <w:tabs>
          <w:tab w:pos="404" w:val="left" w:leader="none"/>
        </w:tabs>
        <w:spacing w:line="228" w:lineRule="exact" w:before="0" w:after="0"/>
        <w:ind w:left="404" w:right="0" w:hanging="284"/>
        <w:jc w:val="both"/>
        <w:rPr>
          <w:color w:val="231F20"/>
          <w:sz w:val="20"/>
        </w:rPr>
      </w:pPr>
      <w:r>
        <w:rPr>
          <w:color w:val="231F20"/>
          <w:sz w:val="20"/>
        </w:rPr>
        <w:t>Useful life of leased slots is based on the stated lease</w:t>
      </w:r>
      <w:r>
        <w:rPr>
          <w:color w:val="231F20"/>
          <w:spacing w:val="5"/>
          <w:sz w:val="20"/>
        </w:rPr>
        <w:t> </w:t>
      </w:r>
      <w:r>
        <w:rPr>
          <w:color w:val="231F20"/>
          <w:sz w:val="20"/>
        </w:rPr>
        <w:t>term.</w:t>
      </w:r>
    </w:p>
    <w:p>
      <w:pPr>
        <w:pStyle w:val="BodyText"/>
        <w:spacing w:before="10"/>
        <w:rPr>
          <w:sz w:val="21"/>
        </w:rPr>
      </w:pPr>
    </w:p>
    <w:p>
      <w:pPr>
        <w:pStyle w:val="BodyText"/>
        <w:spacing w:line="247" w:lineRule="auto"/>
        <w:ind w:left="120" w:right="118"/>
        <w:jc w:val="both"/>
      </w:pPr>
      <w:r>
        <w:rPr>
          <w:color w:val="231F20"/>
        </w:rPr>
        <w:t>The aggregate amortization expense for 2015, 2014, and 2013 was $19 million, $13 million, and $19 million, respectively. Estimated aggregate amortization expense for the five succeeding years and thereafter is as follows: 2016 – $17 million, 2017 – $14 million, 2018 – $13 million, 2019 – $13 million, 2020 – $12 million, and thereafter – $89 million.</w:t>
      </w:r>
    </w:p>
    <w:p>
      <w:pPr>
        <w:spacing w:after="0" w:line="247" w:lineRule="auto"/>
        <w:jc w:val="both"/>
        <w:sectPr>
          <w:type w:val="continuous"/>
          <w:pgSz w:w="11880" w:h="15480"/>
          <w:pgMar w:top="1260" w:bottom="280" w:left="1260" w:right="1260"/>
        </w:sectPr>
      </w:pPr>
    </w:p>
    <w:p>
      <w:pPr>
        <w:pStyle w:val="Heading2"/>
        <w:spacing w:before="74"/>
        <w:ind w:left="480"/>
        <w:rPr>
          <w:i/>
        </w:rPr>
      </w:pPr>
      <w:r>
        <w:rPr>
          <w:i/>
          <w:color w:val="231F20"/>
        </w:rPr>
        <w:t>Revenue Recognition</w:t>
      </w:r>
    </w:p>
    <w:p>
      <w:pPr>
        <w:pStyle w:val="BodyText"/>
        <w:spacing w:before="3"/>
        <w:rPr>
          <w:b/>
          <w:i/>
          <w:sz w:val="19"/>
        </w:rPr>
      </w:pPr>
    </w:p>
    <w:p>
      <w:pPr>
        <w:pStyle w:val="BodyText"/>
        <w:spacing w:line="247" w:lineRule="auto" w:before="1"/>
        <w:ind w:left="119" w:right="117"/>
        <w:jc w:val="both"/>
      </w:pPr>
      <w:r>
        <w:rPr>
          <w:color w:val="231F20"/>
        </w:rPr>
        <w:t>Tickets sold are initially deferred as Air traffic liability. Passenger revenue is recognized when transportation is provided. Air traffic liability primarily represents tickets sold for future travel dates and funds that are past flight date and remain unused.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scheduled flight date.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recorded at the flight date for a Customer  who does not change his/her itinerary and loses his/her funds. Amounts collected from passengers for ancillary service fees are generally recognized as Other revenue when the service is provided, which is typically the flight</w:t>
      </w:r>
      <w:r>
        <w:rPr>
          <w:color w:val="231F20"/>
          <w:spacing w:val="-1"/>
        </w:rPr>
        <w:t> </w:t>
      </w:r>
      <w:r>
        <w:rPr>
          <w:color w:val="231F20"/>
        </w:rPr>
        <w:t>date.</w:t>
      </w:r>
    </w:p>
    <w:p>
      <w:pPr>
        <w:pStyle w:val="BodyText"/>
        <w:spacing w:line="247" w:lineRule="auto" w:before="215"/>
        <w:ind w:left="119" w:right="117"/>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or economic factors.</w:t>
      </w:r>
    </w:p>
    <w:p>
      <w:pPr>
        <w:pStyle w:val="BodyText"/>
        <w:spacing w:line="247" w:lineRule="auto" w:before="215"/>
        <w:ind w:left="119" w:right="117"/>
        <w:jc w:val="both"/>
      </w:pPr>
      <w:r>
        <w:rPr>
          <w:color w:val="231F20"/>
        </w:rPr>
        <w:t>The Company is also required to collect certain taxes and fees from Customers on behalf of  government agencies and remit these back to the applicable governmental entity on a periodic basis. These taxes and fees include foreign and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Heading2"/>
        <w:spacing w:before="215"/>
        <w:ind w:left="480"/>
        <w:rPr>
          <w:i/>
        </w:rPr>
      </w:pPr>
      <w:r>
        <w:rPr>
          <w:i/>
          <w:color w:val="231F20"/>
        </w:rPr>
        <w:t>Frequent Flyer Program</w:t>
      </w:r>
    </w:p>
    <w:p>
      <w:pPr>
        <w:pStyle w:val="BodyText"/>
        <w:spacing w:before="3"/>
        <w:rPr>
          <w:b/>
          <w:i/>
          <w:sz w:val="19"/>
        </w:rPr>
      </w:pPr>
    </w:p>
    <w:p>
      <w:pPr>
        <w:pStyle w:val="BodyText"/>
        <w:spacing w:line="247" w:lineRule="auto"/>
        <w:ind w:left="119" w:right="117"/>
        <w:jc w:val="both"/>
      </w:pPr>
      <w:r>
        <w:rPr>
          <w:color w:val="231F20"/>
        </w:rPr>
        <w:t>The Company records a liability for the estimated incremental cost of providing free travel under its frequent flyer program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line="247" w:lineRule="auto" w:before="215"/>
        <w:ind w:left="119" w:right="117"/>
        <w:jc w:val="both"/>
      </w:pPr>
      <w:r>
        <w:rPr>
          <w:color w:val="231F20"/>
        </w:rPr>
        <w:t>Southwest also sells frequent flyer points and related services to companies participating in its frequent flyer program. Historically, funds received from the sale of points associated with these agreements were accounted for under the residual method. Under this method, the Company estimated the portion of the amounts received from the sale of frequent flyer points that related to free travel and these amounts were deferred and recognized as Passenger revenue when the ultimate free travel awards are flown. On July 1, 2015, the Company executed an amended co-branded credit card agreement (“Agreement”) with Chase Bank USA, N.A. (“Chase”), through which the Company sells loyalty</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points and other items to Chase. This material modification triggered an accounting change under ASU 2009-13, which is recorded on a prospective basis. The impact of the accounting change is that the Company estimated the selling prices and volumes over the term of the Agreement in order to determine the allocation of proceeds to each of the deliverables (travel points to be awarded; use of the Southwest Airlines’ brand and access to Rapid Reward Member lists; advertising elements; and the Company’s resource team). The Company records passenger revenue related to air transportation and certificates for discounted companion travel when the transportation is delivered. The other elements are recognized as Other - net revenue when earned.</w:t>
      </w:r>
    </w:p>
    <w:p>
      <w:pPr>
        <w:pStyle w:val="BodyText"/>
        <w:spacing w:before="9"/>
        <w:rPr>
          <w:sz w:val="20"/>
        </w:rPr>
      </w:pPr>
    </w:p>
    <w:p>
      <w:pPr>
        <w:pStyle w:val="BodyText"/>
        <w:spacing w:line="247" w:lineRule="auto"/>
        <w:ind w:left="120" w:right="117"/>
        <w:jc w:val="both"/>
      </w:pPr>
      <w:r>
        <w:rPr>
          <w:color w:val="231F20"/>
        </w:rPr>
        <w:t>The Company followed the transition approach of ASU 2009-13, which required that the Company adjust the existing deferred revenue balance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one-time, non-cash adjustment to decrease frequent flyer deferred revenue and increase revenue through the recording of a Special revenue adjustment of</w:t>
      </w:r>
    </w:p>
    <w:p>
      <w:pPr>
        <w:pStyle w:val="BodyText"/>
        <w:spacing w:line="247" w:lineRule="auto"/>
        <w:ind w:left="120" w:right="118"/>
        <w:jc w:val="both"/>
      </w:pPr>
      <w:r>
        <w:rPr>
          <w:color w:val="231F20"/>
        </w:rPr>
        <w:t>$172 million. In addition, 2015 Operating revenues increased by a net $255 million as a result of the Agreement and the resulting July 1, 2015 change in accounting methodology, all of which would have been deferred under the Company’s previous accounting. The estimated impacts on revenue and earnings from this change in accounting principle are as follows:</w:t>
      </w:r>
    </w:p>
    <w:p>
      <w:pPr>
        <w:pStyle w:val="BodyText"/>
        <w:spacing w:before="4"/>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0"/>
        <w:gridCol w:w="3388"/>
        <w:gridCol w:w="512"/>
      </w:tblGrid>
      <w:tr>
        <w:trPr>
          <w:trHeight w:val="256" w:hRule="exact"/>
        </w:trPr>
        <w:tc>
          <w:tcPr>
            <w:tcW w:w="5220" w:type="dxa"/>
          </w:tcPr>
          <w:p>
            <w:pPr>
              <w:pStyle w:val="TableParagraph"/>
              <w:spacing w:line="229" w:lineRule="exact" w:before="0"/>
              <w:rPr>
                <w:b/>
                <w:sz w:val="20"/>
              </w:rPr>
            </w:pPr>
            <w:r>
              <w:rPr>
                <w:b/>
                <w:color w:val="231F20"/>
                <w:sz w:val="20"/>
                <w:u w:val="single" w:color="231F20"/>
              </w:rPr>
              <w:t>(in millions, except per share amounts)</w:t>
            </w:r>
          </w:p>
        </w:tc>
        <w:tc>
          <w:tcPr>
            <w:tcW w:w="3388" w:type="dxa"/>
            <w:tcBorders>
              <w:bottom w:val="single" w:sz="8" w:space="0" w:color="231F20"/>
            </w:tcBorders>
          </w:tcPr>
          <w:p>
            <w:pPr>
              <w:pStyle w:val="TableParagraph"/>
              <w:spacing w:line="229" w:lineRule="exact" w:before="0"/>
              <w:ind w:left="625"/>
              <w:rPr>
                <w:b/>
                <w:sz w:val="20"/>
              </w:rPr>
            </w:pPr>
            <w:r>
              <w:rPr>
                <w:b/>
                <w:color w:val="231F20"/>
                <w:sz w:val="20"/>
              </w:rPr>
              <w:t>Year ended December 31, 2015</w:t>
            </w:r>
          </w:p>
        </w:tc>
        <w:tc>
          <w:tcPr>
            <w:tcW w:w="512" w:type="dxa"/>
            <w:tcBorders>
              <w:bottom w:val="single" w:sz="8" w:space="0" w:color="231F20"/>
            </w:tcBorders>
          </w:tcPr>
          <w:p>
            <w:pPr/>
          </w:p>
        </w:tc>
      </w:tr>
      <w:tr>
        <w:trPr>
          <w:trHeight w:val="310" w:hRule="exact"/>
        </w:trPr>
        <w:tc>
          <w:tcPr>
            <w:tcW w:w="5220" w:type="dxa"/>
            <w:shd w:val="clear" w:color="auto" w:fill="D1D3D4"/>
          </w:tcPr>
          <w:p>
            <w:pPr>
              <w:pStyle w:val="TableParagraph"/>
              <w:rPr>
                <w:sz w:val="20"/>
              </w:rPr>
            </w:pPr>
            <w:r>
              <w:rPr>
                <w:color w:val="231F20"/>
                <w:sz w:val="20"/>
              </w:rPr>
              <w:t>Passenger revenue</w:t>
            </w:r>
          </w:p>
        </w:tc>
        <w:tc>
          <w:tcPr>
            <w:tcW w:w="3388" w:type="dxa"/>
            <w:tcBorders>
              <w:top w:val="single" w:sz="8" w:space="0" w:color="231F20"/>
            </w:tcBorders>
            <w:shd w:val="clear" w:color="auto" w:fill="D1D3D4"/>
          </w:tcPr>
          <w:p>
            <w:pPr>
              <w:pStyle w:val="TableParagraph"/>
              <w:rPr>
                <w:sz w:val="20"/>
              </w:rPr>
            </w:pPr>
            <w:r>
              <w:rPr>
                <w:color w:val="231F20"/>
                <w:sz w:val="20"/>
              </w:rPr>
              <w:t>$</w:t>
            </w:r>
          </w:p>
        </w:tc>
        <w:tc>
          <w:tcPr>
            <w:tcW w:w="512" w:type="dxa"/>
            <w:tcBorders>
              <w:top w:val="single" w:sz="8" w:space="0" w:color="231F20"/>
            </w:tcBorders>
            <w:shd w:val="clear" w:color="auto" w:fill="D1D3D4"/>
          </w:tcPr>
          <w:p>
            <w:pPr>
              <w:pStyle w:val="TableParagraph"/>
              <w:jc w:val="right"/>
              <w:rPr>
                <w:sz w:val="20"/>
              </w:rPr>
            </w:pPr>
            <w:r>
              <w:rPr>
                <w:color w:val="231F20"/>
                <w:sz w:val="20"/>
              </w:rPr>
              <w:t>(89)</w:t>
            </w:r>
          </w:p>
        </w:tc>
      </w:tr>
      <w:tr>
        <w:trPr>
          <w:trHeight w:val="300" w:hRule="exact"/>
        </w:trPr>
        <w:tc>
          <w:tcPr>
            <w:tcW w:w="5220" w:type="dxa"/>
          </w:tcPr>
          <w:p>
            <w:pPr>
              <w:pStyle w:val="TableParagraph"/>
              <w:rPr>
                <w:sz w:val="20"/>
              </w:rPr>
            </w:pPr>
            <w:r>
              <w:rPr>
                <w:color w:val="231F20"/>
                <w:sz w:val="20"/>
              </w:rPr>
              <w:t>Special revenue adjustment</w:t>
            </w:r>
          </w:p>
        </w:tc>
        <w:tc>
          <w:tcPr>
            <w:tcW w:w="3388" w:type="dxa"/>
          </w:tcPr>
          <w:p>
            <w:pPr/>
          </w:p>
        </w:tc>
        <w:tc>
          <w:tcPr>
            <w:tcW w:w="512" w:type="dxa"/>
          </w:tcPr>
          <w:p>
            <w:pPr>
              <w:pStyle w:val="TableParagraph"/>
              <w:ind w:right="49"/>
              <w:jc w:val="right"/>
              <w:rPr>
                <w:sz w:val="20"/>
              </w:rPr>
            </w:pPr>
            <w:r>
              <w:rPr>
                <w:color w:val="231F20"/>
                <w:sz w:val="20"/>
              </w:rPr>
              <w:t>172</w:t>
            </w:r>
          </w:p>
        </w:tc>
      </w:tr>
      <w:tr>
        <w:trPr>
          <w:trHeight w:val="315" w:hRule="exact"/>
        </w:trPr>
        <w:tc>
          <w:tcPr>
            <w:tcW w:w="5220" w:type="dxa"/>
            <w:shd w:val="clear" w:color="auto" w:fill="D1D3D4"/>
          </w:tcPr>
          <w:p>
            <w:pPr>
              <w:pStyle w:val="TableParagraph"/>
              <w:rPr>
                <w:sz w:val="20"/>
              </w:rPr>
            </w:pPr>
            <w:r>
              <w:rPr>
                <w:color w:val="231F20"/>
                <w:sz w:val="20"/>
              </w:rPr>
              <w:t>Other revenue</w:t>
            </w:r>
          </w:p>
        </w:tc>
        <w:tc>
          <w:tcPr>
            <w:tcW w:w="3388" w:type="dxa"/>
            <w:tcBorders>
              <w:bottom w:val="single" w:sz="4" w:space="0" w:color="231F20"/>
            </w:tcBorders>
            <w:shd w:val="clear" w:color="auto" w:fill="D1D3D4"/>
          </w:tcPr>
          <w:p>
            <w:pPr/>
          </w:p>
        </w:tc>
        <w:tc>
          <w:tcPr>
            <w:tcW w:w="512" w:type="dxa"/>
            <w:tcBorders>
              <w:bottom w:val="single" w:sz="4" w:space="0" w:color="231F20"/>
            </w:tcBorders>
            <w:shd w:val="clear" w:color="auto" w:fill="D1D3D4"/>
          </w:tcPr>
          <w:p>
            <w:pPr>
              <w:pStyle w:val="TableParagraph"/>
              <w:ind w:right="49"/>
              <w:jc w:val="right"/>
              <w:rPr>
                <w:sz w:val="20"/>
              </w:rPr>
            </w:pPr>
            <w:r>
              <w:rPr>
                <w:color w:val="231F20"/>
                <w:sz w:val="20"/>
              </w:rPr>
              <w:t>344</w:t>
            </w:r>
          </w:p>
        </w:tc>
      </w:tr>
      <w:tr>
        <w:trPr>
          <w:trHeight w:val="305" w:hRule="exact"/>
        </w:trPr>
        <w:tc>
          <w:tcPr>
            <w:tcW w:w="5220" w:type="dxa"/>
          </w:tcPr>
          <w:p>
            <w:pPr>
              <w:pStyle w:val="TableParagraph"/>
              <w:spacing w:before="73"/>
              <w:rPr>
                <w:sz w:val="20"/>
              </w:rPr>
            </w:pPr>
            <w:r>
              <w:rPr>
                <w:color w:val="231F20"/>
                <w:sz w:val="20"/>
              </w:rPr>
              <w:t>Operating revenues</w:t>
            </w:r>
          </w:p>
        </w:tc>
        <w:tc>
          <w:tcPr>
            <w:tcW w:w="3388" w:type="dxa"/>
            <w:tcBorders>
              <w:top w:val="single" w:sz="4" w:space="0" w:color="231F20"/>
            </w:tcBorders>
          </w:tcPr>
          <w:p>
            <w:pPr>
              <w:pStyle w:val="TableParagraph"/>
              <w:rPr>
                <w:sz w:val="20"/>
              </w:rPr>
            </w:pPr>
            <w:r>
              <w:rPr>
                <w:color w:val="231F20"/>
                <w:sz w:val="20"/>
              </w:rPr>
              <w:t>$</w:t>
            </w:r>
          </w:p>
        </w:tc>
        <w:tc>
          <w:tcPr>
            <w:tcW w:w="512" w:type="dxa"/>
            <w:tcBorders>
              <w:top w:val="single" w:sz="4" w:space="0" w:color="231F20"/>
            </w:tcBorders>
          </w:tcPr>
          <w:p>
            <w:pPr>
              <w:pStyle w:val="TableParagraph"/>
              <w:ind w:right="47"/>
              <w:jc w:val="right"/>
              <w:rPr>
                <w:sz w:val="20"/>
              </w:rPr>
            </w:pPr>
            <w:r>
              <w:rPr>
                <w:color w:val="231F20"/>
                <w:sz w:val="20"/>
              </w:rPr>
              <w:t>427</w:t>
            </w:r>
          </w:p>
        </w:tc>
      </w:tr>
      <w:tr>
        <w:trPr>
          <w:trHeight w:val="335" w:hRule="exact"/>
        </w:trPr>
        <w:tc>
          <w:tcPr>
            <w:tcW w:w="5220" w:type="dxa"/>
            <w:shd w:val="clear" w:color="auto" w:fill="D1D3D4"/>
          </w:tcPr>
          <w:p>
            <w:pPr>
              <w:pStyle w:val="TableParagraph"/>
              <w:rPr>
                <w:sz w:val="20"/>
              </w:rPr>
            </w:pPr>
            <w:r>
              <w:rPr>
                <w:color w:val="231F20"/>
                <w:sz w:val="20"/>
              </w:rPr>
              <w:t>Net income</w:t>
            </w:r>
          </w:p>
        </w:tc>
        <w:tc>
          <w:tcPr>
            <w:tcW w:w="3388" w:type="dxa"/>
            <w:tcBorders>
              <w:bottom w:val="double" w:sz="7" w:space="0" w:color="231F20"/>
            </w:tcBorders>
            <w:shd w:val="clear" w:color="auto" w:fill="D1D3D4"/>
          </w:tcPr>
          <w:p>
            <w:pPr>
              <w:pStyle w:val="TableParagraph"/>
              <w:rPr>
                <w:sz w:val="20"/>
              </w:rPr>
            </w:pPr>
            <w:r>
              <w:rPr>
                <w:color w:val="231F20"/>
                <w:sz w:val="20"/>
              </w:rPr>
              <w:t>$</w:t>
            </w:r>
          </w:p>
        </w:tc>
        <w:tc>
          <w:tcPr>
            <w:tcW w:w="512" w:type="dxa"/>
            <w:tcBorders>
              <w:bottom w:val="double" w:sz="7" w:space="0" w:color="231F20"/>
            </w:tcBorders>
            <w:shd w:val="clear" w:color="auto" w:fill="D1D3D4"/>
          </w:tcPr>
          <w:p>
            <w:pPr>
              <w:pStyle w:val="TableParagraph"/>
              <w:ind w:right="49"/>
              <w:jc w:val="right"/>
              <w:rPr>
                <w:sz w:val="20"/>
              </w:rPr>
            </w:pPr>
            <w:r>
              <w:rPr>
                <w:color w:val="231F20"/>
                <w:sz w:val="20"/>
              </w:rPr>
              <w:t>227</w:t>
            </w:r>
          </w:p>
        </w:tc>
      </w:tr>
      <w:tr>
        <w:trPr>
          <w:trHeight w:val="325" w:hRule="exact"/>
        </w:trPr>
        <w:tc>
          <w:tcPr>
            <w:tcW w:w="5220" w:type="dxa"/>
          </w:tcPr>
          <w:p>
            <w:pPr>
              <w:pStyle w:val="TableParagraph"/>
              <w:spacing w:before="113"/>
              <w:rPr>
                <w:sz w:val="20"/>
              </w:rPr>
            </w:pPr>
            <w:r>
              <w:rPr>
                <w:color w:val="231F20"/>
                <w:sz w:val="20"/>
              </w:rPr>
              <w:t>Net income per basic share</w:t>
            </w:r>
          </w:p>
        </w:tc>
        <w:tc>
          <w:tcPr>
            <w:tcW w:w="3388" w:type="dxa"/>
            <w:tcBorders>
              <w:top w:val="double" w:sz="7" w:space="0" w:color="231F20"/>
            </w:tcBorders>
          </w:tcPr>
          <w:p>
            <w:pPr>
              <w:pStyle w:val="TableParagraph"/>
              <w:rPr>
                <w:sz w:val="20"/>
              </w:rPr>
            </w:pPr>
            <w:r>
              <w:rPr>
                <w:color w:val="231F20"/>
                <w:sz w:val="20"/>
              </w:rPr>
              <w:t>$</w:t>
            </w:r>
          </w:p>
        </w:tc>
        <w:tc>
          <w:tcPr>
            <w:tcW w:w="512" w:type="dxa"/>
            <w:tcBorders>
              <w:top w:val="double" w:sz="7" w:space="0" w:color="231F20"/>
            </w:tcBorders>
          </w:tcPr>
          <w:p>
            <w:pPr>
              <w:pStyle w:val="TableParagraph"/>
              <w:ind w:right="49"/>
              <w:jc w:val="right"/>
              <w:rPr>
                <w:sz w:val="20"/>
              </w:rPr>
            </w:pPr>
            <w:r>
              <w:rPr>
                <w:color w:val="231F20"/>
                <w:sz w:val="20"/>
              </w:rPr>
              <w:t>0.34</w:t>
            </w:r>
          </w:p>
        </w:tc>
      </w:tr>
      <w:tr>
        <w:trPr>
          <w:trHeight w:val="300" w:hRule="exact"/>
        </w:trPr>
        <w:tc>
          <w:tcPr>
            <w:tcW w:w="5220" w:type="dxa"/>
            <w:shd w:val="clear" w:color="auto" w:fill="D1D3D4"/>
          </w:tcPr>
          <w:p>
            <w:pPr>
              <w:pStyle w:val="TableParagraph"/>
              <w:rPr>
                <w:sz w:val="20"/>
              </w:rPr>
            </w:pPr>
            <w:r>
              <w:rPr>
                <w:color w:val="231F20"/>
                <w:sz w:val="20"/>
              </w:rPr>
              <w:t>Net income per diluted share</w:t>
            </w:r>
          </w:p>
        </w:tc>
        <w:tc>
          <w:tcPr>
            <w:tcW w:w="3388" w:type="dxa"/>
            <w:shd w:val="clear" w:color="auto" w:fill="D1D3D4"/>
          </w:tcPr>
          <w:p>
            <w:pPr>
              <w:pStyle w:val="TableParagraph"/>
              <w:rPr>
                <w:sz w:val="20"/>
              </w:rPr>
            </w:pPr>
            <w:r>
              <w:rPr>
                <w:color w:val="231F20"/>
                <w:sz w:val="20"/>
              </w:rPr>
              <w:t>$</w:t>
            </w:r>
          </w:p>
        </w:tc>
        <w:tc>
          <w:tcPr>
            <w:tcW w:w="512" w:type="dxa"/>
            <w:shd w:val="clear" w:color="auto" w:fill="D1D3D4"/>
          </w:tcPr>
          <w:p>
            <w:pPr>
              <w:pStyle w:val="TableParagraph"/>
              <w:ind w:right="49"/>
              <w:jc w:val="right"/>
              <w:rPr>
                <w:sz w:val="20"/>
              </w:rPr>
            </w:pPr>
            <w:r>
              <w:rPr>
                <w:color w:val="231F20"/>
                <w:sz w:val="20"/>
              </w:rPr>
              <w:t>0.34</w:t>
            </w:r>
          </w:p>
        </w:tc>
      </w:tr>
    </w:tbl>
    <w:p>
      <w:pPr>
        <w:pStyle w:val="BodyText"/>
        <w:spacing w:before="7"/>
        <w:rPr>
          <w:sz w:val="25"/>
        </w:rPr>
      </w:pPr>
    </w:p>
    <w:p>
      <w:pPr>
        <w:pStyle w:val="BodyText"/>
        <w:spacing w:line="247" w:lineRule="auto"/>
        <w:ind w:left="120" w:right="117"/>
        <w:jc w:val="both"/>
      </w:pPr>
      <w:r>
        <w:rPr>
          <w:color w:val="231F20"/>
        </w:rPr>
        <w:t>For all points sold to business partners that are expected to expire unused, the Company recognizes spoilage in accordance with the redemption method. The Company’s consolidated liability associated with the sale of frequent flyer points, was approximately $1.3 billion as of December 31, 2015, and 2014, which is classified within Air traffic liability.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was recorded on a prospective basis, as of October 1, 2014, the impacts on revenue and earnings are as follows:</w:t>
      </w:r>
    </w:p>
    <w:p>
      <w:pPr>
        <w:spacing w:before="198" w:after="11"/>
        <w:ind w:left="120" w:right="0" w:firstLine="0"/>
        <w:jc w:val="both"/>
        <w:rPr>
          <w:b/>
          <w:sz w:val="20"/>
        </w:rPr>
      </w:pPr>
      <w:r>
        <w:rPr>
          <w:b/>
          <w:color w:val="231F20"/>
          <w:sz w:val="20"/>
        </w:rPr>
        <w:t>(in millions, except per share amounts)    Year ended December 31, 2015    Year ended December 31, 2014</w:t>
      </w: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104"/>
        <w:gridCol w:w="4150"/>
        <w:gridCol w:w="1550"/>
      </w:tblGrid>
      <w:tr>
        <w:trPr>
          <w:trHeight w:val="305" w:hRule="exact"/>
        </w:trPr>
        <w:tc>
          <w:tcPr>
            <w:tcW w:w="3316" w:type="dxa"/>
            <w:tcBorders>
              <w:top w:val="single" w:sz="4" w:space="0" w:color="231F20"/>
            </w:tcBorders>
            <w:shd w:val="clear" w:color="auto" w:fill="D1D3D4"/>
          </w:tcPr>
          <w:p>
            <w:pPr>
              <w:pStyle w:val="TableParagraph"/>
              <w:rPr>
                <w:sz w:val="20"/>
              </w:rPr>
            </w:pPr>
            <w:r>
              <w:rPr>
                <w:color w:val="231F20"/>
                <w:sz w:val="20"/>
              </w:rPr>
              <w:t>Passenger revenue</w:t>
            </w:r>
          </w:p>
        </w:tc>
        <w:tc>
          <w:tcPr>
            <w:tcW w:w="104" w:type="dxa"/>
            <w:shd w:val="clear" w:color="auto" w:fill="D1D3D4"/>
          </w:tcPr>
          <w:p>
            <w:pPr/>
          </w:p>
        </w:tc>
        <w:tc>
          <w:tcPr>
            <w:tcW w:w="4150" w:type="dxa"/>
            <w:tcBorders>
              <w:top w:val="single" w:sz="4" w:space="0" w:color="231F20"/>
            </w:tcBorders>
            <w:shd w:val="clear" w:color="auto" w:fill="D1D3D4"/>
          </w:tcPr>
          <w:p>
            <w:pPr>
              <w:pStyle w:val="TableParagraph"/>
              <w:tabs>
                <w:tab w:pos="2482" w:val="left" w:leader="none"/>
              </w:tabs>
              <w:rPr>
                <w:sz w:val="20"/>
              </w:rPr>
            </w:pPr>
            <w:r>
              <w:rPr>
                <w:color w:val="231F20"/>
                <w:sz w:val="20"/>
              </w:rPr>
              <w:t>$</w:t>
              <w:tab/>
              <w:t>115</w:t>
            </w:r>
            <w:r>
              <w:rPr>
                <w:color w:val="231F20"/>
                <w:spacing w:val="17"/>
                <w:sz w:val="20"/>
              </w:rPr>
              <w:t> </w:t>
            </w:r>
            <w:r>
              <w:rPr>
                <w:color w:val="231F20"/>
                <w:sz w:val="20"/>
              </w:rPr>
              <w:t>$</w:t>
            </w:r>
          </w:p>
        </w:tc>
        <w:tc>
          <w:tcPr>
            <w:tcW w:w="1550" w:type="dxa"/>
            <w:tcBorders>
              <w:top w:val="single" w:sz="4" w:space="0" w:color="231F20"/>
            </w:tcBorders>
            <w:shd w:val="clear" w:color="auto" w:fill="D1D3D4"/>
          </w:tcPr>
          <w:p>
            <w:pPr>
              <w:pStyle w:val="TableParagraph"/>
              <w:jc w:val="right"/>
              <w:rPr>
                <w:sz w:val="20"/>
              </w:rPr>
            </w:pPr>
            <w:r>
              <w:rPr>
                <w:color w:val="231F20"/>
                <w:sz w:val="20"/>
              </w:rPr>
              <w:t>55</w:t>
            </w:r>
          </w:p>
        </w:tc>
      </w:tr>
      <w:tr>
        <w:trPr>
          <w:trHeight w:val="300" w:hRule="exact"/>
        </w:trPr>
        <w:tc>
          <w:tcPr>
            <w:tcW w:w="3316" w:type="dxa"/>
          </w:tcPr>
          <w:p>
            <w:pPr>
              <w:pStyle w:val="TableParagraph"/>
              <w:rPr>
                <w:sz w:val="20"/>
              </w:rPr>
            </w:pPr>
            <w:r>
              <w:rPr>
                <w:color w:val="231F20"/>
                <w:sz w:val="20"/>
              </w:rPr>
              <w:t>Net income</w:t>
            </w:r>
          </w:p>
        </w:tc>
        <w:tc>
          <w:tcPr>
            <w:tcW w:w="104" w:type="dxa"/>
          </w:tcPr>
          <w:p>
            <w:pPr/>
          </w:p>
        </w:tc>
        <w:tc>
          <w:tcPr>
            <w:tcW w:w="4150" w:type="dxa"/>
          </w:tcPr>
          <w:p>
            <w:pPr>
              <w:pStyle w:val="TableParagraph"/>
              <w:tabs>
                <w:tab w:pos="2582" w:val="left" w:leader="none"/>
              </w:tabs>
              <w:rPr>
                <w:sz w:val="20"/>
              </w:rPr>
            </w:pPr>
            <w:r>
              <w:rPr>
                <w:color w:val="231F20"/>
                <w:sz w:val="20"/>
              </w:rPr>
              <w:t>$</w:t>
              <w:tab/>
              <w:t>61</w:t>
            </w:r>
            <w:r>
              <w:rPr>
                <w:color w:val="231F20"/>
                <w:spacing w:val="17"/>
                <w:sz w:val="20"/>
              </w:rPr>
              <w:t> </w:t>
            </w:r>
            <w:r>
              <w:rPr>
                <w:color w:val="231F20"/>
                <w:sz w:val="20"/>
              </w:rPr>
              <w:t>$</w:t>
            </w:r>
          </w:p>
        </w:tc>
        <w:tc>
          <w:tcPr>
            <w:tcW w:w="1550" w:type="dxa"/>
          </w:tcPr>
          <w:p>
            <w:pPr>
              <w:pStyle w:val="TableParagraph"/>
              <w:jc w:val="right"/>
              <w:rPr>
                <w:sz w:val="20"/>
              </w:rPr>
            </w:pPr>
            <w:r>
              <w:rPr>
                <w:color w:val="231F20"/>
                <w:sz w:val="20"/>
              </w:rPr>
              <w:t>29</w:t>
            </w:r>
          </w:p>
        </w:tc>
      </w:tr>
      <w:tr>
        <w:trPr>
          <w:trHeight w:val="300" w:hRule="exact"/>
        </w:trPr>
        <w:tc>
          <w:tcPr>
            <w:tcW w:w="3316" w:type="dxa"/>
            <w:shd w:val="clear" w:color="auto" w:fill="D1D3D4"/>
          </w:tcPr>
          <w:p>
            <w:pPr>
              <w:pStyle w:val="TableParagraph"/>
              <w:rPr>
                <w:sz w:val="20"/>
              </w:rPr>
            </w:pPr>
            <w:r>
              <w:rPr>
                <w:color w:val="231F20"/>
                <w:sz w:val="20"/>
              </w:rPr>
              <w:t>Net income per basic share</w:t>
            </w:r>
          </w:p>
        </w:tc>
        <w:tc>
          <w:tcPr>
            <w:tcW w:w="104" w:type="dxa"/>
            <w:shd w:val="clear" w:color="auto" w:fill="D1D3D4"/>
          </w:tcPr>
          <w:p>
            <w:pPr/>
          </w:p>
        </w:tc>
        <w:tc>
          <w:tcPr>
            <w:tcW w:w="4150" w:type="dxa"/>
            <w:shd w:val="clear" w:color="auto" w:fill="D1D3D4"/>
          </w:tcPr>
          <w:p>
            <w:pPr>
              <w:pStyle w:val="TableParagraph"/>
              <w:tabs>
                <w:tab w:pos="2432" w:val="left" w:leader="none"/>
              </w:tabs>
              <w:rPr>
                <w:sz w:val="20"/>
              </w:rPr>
            </w:pPr>
            <w:r>
              <w:rPr>
                <w:color w:val="231F20"/>
                <w:sz w:val="20"/>
              </w:rPr>
              <w:t>$</w:t>
              <w:tab/>
              <w:t>0.09</w:t>
            </w:r>
            <w:r>
              <w:rPr>
                <w:color w:val="231F20"/>
                <w:spacing w:val="17"/>
                <w:sz w:val="20"/>
              </w:rPr>
              <w:t> </w:t>
            </w:r>
            <w:r>
              <w:rPr>
                <w:color w:val="231F20"/>
                <w:sz w:val="20"/>
              </w:rPr>
              <w:t>$</w:t>
            </w:r>
          </w:p>
        </w:tc>
        <w:tc>
          <w:tcPr>
            <w:tcW w:w="1550" w:type="dxa"/>
            <w:shd w:val="clear" w:color="auto" w:fill="D1D3D4"/>
          </w:tcPr>
          <w:p>
            <w:pPr>
              <w:pStyle w:val="TableParagraph"/>
              <w:jc w:val="right"/>
              <w:rPr>
                <w:sz w:val="20"/>
              </w:rPr>
            </w:pPr>
            <w:r>
              <w:rPr>
                <w:color w:val="231F20"/>
                <w:sz w:val="20"/>
              </w:rPr>
              <w:t>0.04</w:t>
            </w:r>
          </w:p>
        </w:tc>
      </w:tr>
      <w:tr>
        <w:trPr>
          <w:trHeight w:val="284" w:hRule="exact"/>
        </w:trPr>
        <w:tc>
          <w:tcPr>
            <w:tcW w:w="3316" w:type="dxa"/>
          </w:tcPr>
          <w:p>
            <w:pPr>
              <w:pStyle w:val="TableParagraph"/>
              <w:rPr>
                <w:sz w:val="20"/>
              </w:rPr>
            </w:pPr>
            <w:r>
              <w:rPr>
                <w:color w:val="231F20"/>
                <w:sz w:val="20"/>
              </w:rPr>
              <w:t>Net income per diluted share</w:t>
            </w:r>
          </w:p>
        </w:tc>
        <w:tc>
          <w:tcPr>
            <w:tcW w:w="104" w:type="dxa"/>
          </w:tcPr>
          <w:p>
            <w:pPr/>
          </w:p>
        </w:tc>
        <w:tc>
          <w:tcPr>
            <w:tcW w:w="4150" w:type="dxa"/>
          </w:tcPr>
          <w:p>
            <w:pPr>
              <w:pStyle w:val="TableParagraph"/>
              <w:tabs>
                <w:tab w:pos="2432" w:val="left" w:leader="none"/>
              </w:tabs>
              <w:rPr>
                <w:sz w:val="20"/>
              </w:rPr>
            </w:pPr>
            <w:r>
              <w:rPr>
                <w:color w:val="231F20"/>
                <w:sz w:val="20"/>
              </w:rPr>
              <w:t>$</w:t>
              <w:tab/>
              <w:t>0.09</w:t>
            </w:r>
            <w:r>
              <w:rPr>
                <w:color w:val="231F20"/>
                <w:spacing w:val="17"/>
                <w:sz w:val="20"/>
              </w:rPr>
              <w:t> </w:t>
            </w:r>
            <w:r>
              <w:rPr>
                <w:color w:val="231F20"/>
                <w:sz w:val="20"/>
              </w:rPr>
              <w:t>$</w:t>
            </w:r>
          </w:p>
        </w:tc>
        <w:tc>
          <w:tcPr>
            <w:tcW w:w="1550" w:type="dxa"/>
          </w:tcPr>
          <w:p>
            <w:pPr>
              <w:pStyle w:val="TableParagraph"/>
              <w:jc w:val="right"/>
              <w:rPr>
                <w:sz w:val="20"/>
              </w:rPr>
            </w:pPr>
            <w:r>
              <w:rPr>
                <w:color w:val="231F20"/>
                <w:sz w:val="20"/>
              </w:rPr>
              <w:t>0.04</w:t>
            </w:r>
          </w:p>
        </w:tc>
      </w:tr>
    </w:tbl>
    <w:p>
      <w:pPr>
        <w:spacing w:after="0"/>
        <w:jc w:val="right"/>
        <w:rPr>
          <w:sz w:val="20"/>
        </w:rPr>
        <w:sectPr>
          <w:pgSz w:w="11880" w:h="15480"/>
          <w:pgMar w:header="0" w:footer="1240" w:top="1240" w:bottom="1420" w:left="1260" w:right="1260"/>
        </w:sectPr>
      </w:pPr>
    </w:p>
    <w:p>
      <w:pPr>
        <w:pStyle w:val="Heading2"/>
        <w:spacing w:before="74"/>
        <w:ind w:left="480"/>
        <w:rPr>
          <w:i/>
        </w:rPr>
      </w:pPr>
      <w:r>
        <w:rPr>
          <w:i/>
          <w:color w:val="231F20"/>
        </w:rPr>
        <w:t>Advertising</w:t>
      </w:r>
    </w:p>
    <w:p>
      <w:pPr>
        <w:pStyle w:val="BodyText"/>
        <w:spacing w:line="247" w:lineRule="auto" w:before="201"/>
        <w:ind w:left="119" w:right="117"/>
        <w:jc w:val="both"/>
      </w:pPr>
      <w:r>
        <w:rPr>
          <w:color w:val="231F20"/>
        </w:rPr>
        <w:t>Advertising costs are charged to expense as incurred. Advertising and promotions expense for the  years ended December 31, 2015, 2014, and 2013 was $218 million, $207 million, and $208 million, respectively, and is included as a component of Other operating expense in the accompanying Consolidated Statement of</w:t>
      </w:r>
      <w:r>
        <w:rPr>
          <w:color w:val="231F20"/>
          <w:spacing w:val="-1"/>
        </w:rPr>
        <w:t> </w:t>
      </w:r>
      <w:r>
        <w:rPr>
          <w:color w:val="231F20"/>
        </w:rPr>
        <w:t>Income.</w:t>
      </w:r>
    </w:p>
    <w:p>
      <w:pPr>
        <w:pStyle w:val="Heading2"/>
        <w:spacing w:before="194"/>
        <w:ind w:left="480"/>
        <w:rPr>
          <w:i/>
        </w:rPr>
      </w:pPr>
      <w:r>
        <w:rPr>
          <w:i/>
          <w:color w:val="231F20"/>
        </w:rPr>
        <w:t>Share-based Employee Compensation</w:t>
      </w:r>
    </w:p>
    <w:p>
      <w:pPr>
        <w:pStyle w:val="BodyText"/>
        <w:spacing w:line="247" w:lineRule="auto" w:before="201"/>
        <w:ind w:left="119" w:right="118"/>
        <w:jc w:val="both"/>
      </w:pPr>
      <w:r>
        <w:rPr>
          <w:color w:val="231F20"/>
        </w:rPr>
        <w:t>The Company has share-based compensation plans covering certain Employees, including a plan that also covers the Company’s Board of Directors. The Company accounts for share-based compensation based on its grant date fair value. See Note 9 for further information.</w:t>
      </w:r>
    </w:p>
    <w:p>
      <w:pPr>
        <w:pStyle w:val="Heading2"/>
        <w:spacing w:before="194"/>
        <w:ind w:left="480"/>
        <w:rPr>
          <w:i/>
        </w:rPr>
      </w:pPr>
      <w:r>
        <w:rPr>
          <w:i/>
          <w:color w:val="231F20"/>
        </w:rPr>
        <w:t>Financial Derivative Instruments</w:t>
      </w:r>
    </w:p>
    <w:p>
      <w:pPr>
        <w:pStyle w:val="BodyText"/>
        <w:spacing w:line="247" w:lineRule="auto" w:before="202"/>
        <w:ind w:left="119" w:right="117"/>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line="247" w:lineRule="auto" w:before="194"/>
        <w:ind w:left="119" w:right="117"/>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line="247" w:lineRule="auto" w:before="194"/>
        <w:ind w:left="119" w:right="117"/>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line="247" w:lineRule="auto" w:before="194"/>
        <w:ind w:left="119" w:right="117"/>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spacing w:after="0" w:line="247" w:lineRule="auto"/>
        <w:jc w:val="both"/>
        <w:sectPr>
          <w:pgSz w:w="11880" w:h="15480"/>
          <w:pgMar w:header="0" w:footer="1240" w:top="1240" w:bottom="1420" w:left="1260" w:right="1260"/>
        </w:sectPr>
      </w:pPr>
    </w:p>
    <w:p>
      <w:pPr>
        <w:pStyle w:val="Heading2"/>
        <w:spacing w:before="74"/>
        <w:ind w:left="480"/>
        <w:rPr>
          <w:i/>
        </w:rPr>
      </w:pPr>
      <w:r>
        <w:rPr>
          <w:i/>
          <w:color w:val="231F20"/>
        </w:rPr>
        <w:t>Software Capitalization</w:t>
      </w:r>
    </w:p>
    <w:p>
      <w:pPr>
        <w:pStyle w:val="BodyText"/>
        <w:spacing w:before="3"/>
        <w:rPr>
          <w:b/>
          <w:i/>
          <w:sz w:val="20"/>
        </w:rPr>
      </w:pPr>
    </w:p>
    <w:p>
      <w:pPr>
        <w:pStyle w:val="BodyText"/>
        <w:spacing w:line="247" w:lineRule="auto"/>
        <w:ind w:left="119" w:right="119"/>
        <w:jc w:val="both"/>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typically ranges from five to fifteen years. Costs incurred during the preliminary project or the post- implementation/operation stages of the project are expensed as incurred. Capitalized computer software, included as a component of Ground property and equipment in the accompanying Consolidated Balance Sheet, net of accumulated depreciation, was $378 million and $403 million at December 31, 2015, and 2014, respectively. Computer software depreciation expense was $106 million, $122 million, and $90 million for the years ended December 31, 2015, 2014, and 2013, respectively, and is included as a component of Depreciation and amortization expense in the accompanying Consolidated Statement of</w:t>
      </w:r>
      <w:r>
        <w:rPr>
          <w:color w:val="231F20"/>
          <w:spacing w:val="-1"/>
        </w:rPr>
        <w:t> </w:t>
      </w:r>
      <w:r>
        <w:rPr>
          <w:color w:val="231F20"/>
        </w:rPr>
        <w:t>Income.</w:t>
      </w:r>
    </w:p>
    <w:p>
      <w:pPr>
        <w:pStyle w:val="BodyText"/>
        <w:spacing w:before="7"/>
        <w:rPr>
          <w:sz w:val="19"/>
        </w:rPr>
      </w:pPr>
    </w:p>
    <w:p>
      <w:pPr>
        <w:pStyle w:val="Heading2"/>
        <w:ind w:left="480"/>
        <w:rPr>
          <w:i/>
        </w:rPr>
      </w:pPr>
      <w:r>
        <w:rPr>
          <w:i/>
          <w:color w:val="231F20"/>
        </w:rPr>
        <w:t>Income Taxes</w:t>
      </w:r>
    </w:p>
    <w:p>
      <w:pPr>
        <w:pStyle w:val="BodyText"/>
        <w:spacing w:before="3"/>
        <w:rPr>
          <w:b/>
          <w:i/>
          <w:sz w:val="20"/>
        </w:rPr>
      </w:pPr>
    </w:p>
    <w:p>
      <w:pPr>
        <w:pStyle w:val="BodyText"/>
        <w:spacing w:line="247" w:lineRule="auto"/>
        <w:ind w:left="119" w:right="117"/>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 See “Basis of Presentation” for further information on current presentation of deferred income</w:t>
      </w:r>
      <w:r>
        <w:rPr>
          <w:color w:val="231F20"/>
          <w:spacing w:val="-2"/>
        </w:rPr>
        <w:t> </w:t>
      </w:r>
      <w:r>
        <w:rPr>
          <w:color w:val="231F20"/>
        </w:rPr>
        <w:t>taxes.</w:t>
      </w:r>
    </w:p>
    <w:p>
      <w:pPr>
        <w:pStyle w:val="BodyText"/>
        <w:spacing w:before="8"/>
        <w:rPr>
          <w:sz w:val="19"/>
        </w:rPr>
      </w:pPr>
    </w:p>
    <w:p>
      <w:pPr>
        <w:pStyle w:val="BodyText"/>
        <w:spacing w:line="247" w:lineRule="auto"/>
        <w:ind w:left="119" w:right="117"/>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8"/>
        <w:rPr>
          <w:sz w:val="19"/>
        </w:rPr>
      </w:pPr>
    </w:p>
    <w:p>
      <w:pPr>
        <w:pStyle w:val="Heading2"/>
        <w:ind w:left="480"/>
        <w:rPr>
          <w:i/>
        </w:rPr>
      </w:pPr>
      <w:r>
        <w:rPr>
          <w:i/>
          <w:color w:val="231F20"/>
        </w:rPr>
        <w:t>Concentration Risk</w:t>
      </w:r>
    </w:p>
    <w:p>
      <w:pPr>
        <w:pStyle w:val="BodyText"/>
        <w:spacing w:before="3"/>
        <w:rPr>
          <w:b/>
          <w:i/>
          <w:sz w:val="20"/>
        </w:rPr>
      </w:pPr>
    </w:p>
    <w:p>
      <w:pPr>
        <w:pStyle w:val="BodyText"/>
        <w:spacing w:line="247" w:lineRule="auto"/>
        <w:ind w:left="119" w:right="117"/>
        <w:jc w:val="both"/>
      </w:pPr>
      <w:r>
        <w:rPr>
          <w:color w:val="231F20"/>
        </w:rPr>
        <w:t>Approximately 83 percent of the Company’s full-time equivalent Employees are unionized and are covered by collective-bargaining agreements. The majority of the Company’s unionized Employees, including its Pilots, Mechanics, Ramp, Operations, Provisioning and Freight Agents, Flight Attendants, Material Specialists, Flight Crew Training Instructors, Facilities Maintenance Technicians, and Source of Support Representatives are in discussions on labor agreements or have labor agreements which will become amendable within one year. These Employee groups represent approximately 69 percent of the Company’s full-time equivalent Employees as of December 31, 2015.</w:t>
      </w:r>
    </w:p>
    <w:p>
      <w:pPr>
        <w:pStyle w:val="BodyText"/>
        <w:spacing w:before="7"/>
        <w:rPr>
          <w:sz w:val="19"/>
        </w:rPr>
      </w:pPr>
    </w:p>
    <w:p>
      <w:pPr>
        <w:pStyle w:val="BodyText"/>
        <w:spacing w:line="247" w:lineRule="auto"/>
        <w:ind w:left="119" w:right="117"/>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7"/>
        <w:rPr>
          <w:sz w:val="19"/>
        </w:rPr>
      </w:pPr>
    </w:p>
    <w:p>
      <w:pPr>
        <w:pStyle w:val="BodyText"/>
        <w:spacing w:line="247" w:lineRule="auto"/>
        <w:ind w:left="119" w:right="117"/>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w:t>
      </w:r>
      <w:r>
        <w:rPr>
          <w:color w:val="231F20"/>
          <w:spacing w:val="16"/>
        </w:rPr>
        <w:t> </w:t>
      </w:r>
      <w:r>
        <w:rPr>
          <w:color w:val="231F20"/>
        </w:rPr>
        <w:t>exposure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9"/>
        <w:rPr>
          <w:sz w:val="20"/>
        </w:rPr>
      </w:pPr>
    </w:p>
    <w:p>
      <w:pPr>
        <w:pStyle w:val="BodyText"/>
        <w:spacing w:line="247" w:lineRule="auto"/>
        <w:ind w:left="100" w:right="117"/>
        <w:jc w:val="both"/>
      </w:pPr>
      <w:r>
        <w:rPr>
          <w:color w:val="231F20"/>
        </w:rPr>
        <w:t>As of December 31, 2015, the Company operated an all-Boeing fleet, all of which are variations of the Boeing 737. Following the 2011 acquisition of AirTran, the Company also operated a fleet of Boeing 717’s, but these aircraft were removed from the Company’s operations prior to the end of 2014. See Note 7 for further information.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increased maintenance costs,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 parts.</w:t>
      </w:r>
    </w:p>
    <w:p>
      <w:pPr>
        <w:pStyle w:val="BodyText"/>
        <w:spacing w:before="9"/>
        <w:rPr>
          <w:sz w:val="20"/>
        </w:rPr>
      </w:pPr>
    </w:p>
    <w:p>
      <w:pPr>
        <w:pStyle w:val="BodyText"/>
        <w:spacing w:line="247" w:lineRule="auto"/>
        <w:ind w:left="100" w:right="117"/>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2022.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1"/>
        </w:numPr>
        <w:tabs>
          <w:tab w:pos="320" w:val="left" w:leader="none"/>
        </w:tabs>
        <w:spacing w:line="240" w:lineRule="auto" w:before="0" w:after="0"/>
        <w:ind w:left="320" w:right="0" w:hanging="220"/>
        <w:jc w:val="both"/>
      </w:pPr>
      <w:r>
        <w:rPr>
          <w:color w:val="231F20"/>
        </w:rPr>
        <w:t>NEW ACCOUNTING PRONOUNCEMENTS AND ACCOUNTING</w:t>
      </w:r>
      <w:r>
        <w:rPr>
          <w:color w:val="231F20"/>
          <w:spacing w:val="2"/>
        </w:rPr>
        <w:t> </w:t>
      </w:r>
      <w:r>
        <w:rPr>
          <w:color w:val="231F20"/>
        </w:rPr>
        <w:t>CHANGES</w:t>
      </w:r>
    </w:p>
    <w:p>
      <w:pPr>
        <w:pStyle w:val="BodyText"/>
        <w:spacing w:before="5"/>
        <w:rPr>
          <w:b/>
          <w:sz w:val="21"/>
        </w:rPr>
      </w:pPr>
    </w:p>
    <w:p>
      <w:pPr>
        <w:pStyle w:val="BodyText"/>
        <w:spacing w:line="247" w:lineRule="auto"/>
        <w:ind w:left="100" w:right="117"/>
        <w:jc w:val="both"/>
      </w:pPr>
      <w:r>
        <w:rPr>
          <w:color w:val="231F20"/>
        </w:rPr>
        <w:t>On May 28, 2014, the FASB issued ASU No. 2014-09, Revenue from Contracts with Customers. Following the FASB’s finalization of a one year deferral of this standard, the ASU is now effective for fiscal years, and interim periods within those years, beginning on or after December 15, 2017, with early adoption permitted for fiscal years, and interim periods within those years, beginning on or after December 15, 2016. The Company currently believes the most significant impact of this ASU on its accounting will be the elimination of the incremental cost method for frequent flyer accounting, which will require the Company to re-value its liability earned by Customers associated with flight points  with a relative fair value approach, resulting in a significant increase in the liability. The Company is continuing to evaluate the new guidance and plans to provide additional information about its expected financial impact, including the expected method and period of adoption, at a future</w:t>
      </w:r>
      <w:r>
        <w:rPr>
          <w:color w:val="231F20"/>
          <w:spacing w:val="-2"/>
        </w:rPr>
        <w:t> </w:t>
      </w:r>
      <w:r>
        <w:rPr>
          <w:color w:val="231F20"/>
        </w:rPr>
        <w:t>date.</w:t>
      </w:r>
    </w:p>
    <w:p>
      <w:pPr>
        <w:pStyle w:val="BodyText"/>
        <w:spacing w:before="9"/>
        <w:rPr>
          <w:sz w:val="20"/>
        </w:rPr>
      </w:pPr>
    </w:p>
    <w:p>
      <w:pPr>
        <w:pStyle w:val="BodyText"/>
        <w:spacing w:line="247" w:lineRule="auto"/>
        <w:ind w:left="100" w:right="117"/>
        <w:jc w:val="both"/>
      </w:pPr>
      <w:r>
        <w:rPr>
          <w:color w:val="231F20"/>
        </w:rPr>
        <w:t>On February 18, 2015, the FASB and the International Accounting Standards Board issued a final standard that amends the current consolidation guidance. The standard amends both the variable interest entity and voting interest entity consolidation models. The standard is effective for public reporting entities in fiscal periods beginning after December 15, 2015, and early adoption is permitted. Once adopted, the Company will need to assess the potential for entity consolidation under a new consolidation model; however, the Company does not believe this will result in changes to its previous consolidation conclusions. The Company will adopt this new standard during first quarter</w:t>
      </w:r>
      <w:r>
        <w:rPr>
          <w:color w:val="231F20"/>
          <w:spacing w:val="-4"/>
        </w:rPr>
        <w:t> </w:t>
      </w:r>
      <w:r>
        <w:rPr>
          <w:color w:val="231F20"/>
        </w:rPr>
        <w:t>2016.</w:t>
      </w:r>
    </w:p>
    <w:p>
      <w:pPr>
        <w:spacing w:after="0" w:line="247" w:lineRule="auto"/>
        <w:jc w:val="both"/>
        <w:sectPr>
          <w:pgSz w:w="11880" w:h="15480"/>
          <w:pgMar w:header="0" w:footer="1240" w:top="1240" w:bottom="1420" w:left="1280" w:right="1260"/>
        </w:sectPr>
      </w:pPr>
    </w:p>
    <w:p>
      <w:pPr>
        <w:pStyle w:val="Heading1"/>
        <w:numPr>
          <w:ilvl w:val="0"/>
          <w:numId w:val="11"/>
        </w:numPr>
        <w:tabs>
          <w:tab w:pos="320" w:val="left" w:leader="none"/>
        </w:tabs>
        <w:spacing w:line="240" w:lineRule="auto" w:before="74" w:after="0"/>
        <w:ind w:left="320" w:right="0" w:hanging="220"/>
        <w:jc w:val="left"/>
      </w:pPr>
      <w:r>
        <w:rPr>
          <w:color w:val="231F20"/>
        </w:rPr>
        <w:t>NET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131"/>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6544" w:right="0" w:firstLine="0"/>
        <w:jc w:val="left"/>
        <w:rPr>
          <w:b/>
          <w:sz w:val="20"/>
        </w:rPr>
      </w:pPr>
      <w:r>
        <w:rPr/>
        <w:pict>
          <v:rect style="position:absolute;margin-left:69pt;margin-top:104.335938pt;width:456pt;height:15pt;mso-position-horizontal-relative:page;mso-position-vertical-relative:paragraph;z-index:-391144" filled="true" fillcolor="#d1d3d4" stroked="false">
            <v:fill type="solid"/>
            <w10:wrap type="none"/>
          </v:rect>
        </w:pict>
      </w: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69"/>
        <w:gridCol w:w="917"/>
        <w:gridCol w:w="200"/>
        <w:gridCol w:w="917"/>
        <w:gridCol w:w="200"/>
        <w:gridCol w:w="917"/>
      </w:tblGrid>
      <w:tr>
        <w:trPr>
          <w:trHeight w:val="280" w:hRule="exact"/>
        </w:trPr>
        <w:tc>
          <w:tcPr>
            <w:tcW w:w="5969" w:type="dxa"/>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2015</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7"/>
              <w:rPr>
                <w:b/>
                <w:sz w:val="20"/>
              </w:rPr>
            </w:pPr>
            <w:r>
              <w:rPr>
                <w:b/>
                <w:color w:val="231F20"/>
                <w:sz w:val="20"/>
              </w:rPr>
              <w:t>2014</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2013</w:t>
            </w:r>
          </w:p>
        </w:tc>
      </w:tr>
      <w:tr>
        <w:trPr>
          <w:trHeight w:val="310" w:hRule="exact"/>
        </w:trPr>
        <w:tc>
          <w:tcPr>
            <w:tcW w:w="5969" w:type="dxa"/>
          </w:tcPr>
          <w:p>
            <w:pPr>
              <w:pStyle w:val="TableParagraph"/>
              <w:spacing w:before="63"/>
              <w:rPr>
                <w:b/>
                <w:sz w:val="20"/>
              </w:rPr>
            </w:pPr>
            <w:r>
              <w:rPr>
                <w:b/>
                <w:color w:val="231F20"/>
                <w:sz w:val="20"/>
              </w:rPr>
              <w:t>NUMERATOR:</w:t>
            </w: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r>
      <w:tr>
        <w:trPr>
          <w:trHeight w:val="300" w:hRule="exact"/>
        </w:trPr>
        <w:tc>
          <w:tcPr>
            <w:tcW w:w="5969" w:type="dxa"/>
            <w:shd w:val="clear" w:color="auto" w:fill="D1D3D4"/>
          </w:tcPr>
          <w:p>
            <w:pPr>
              <w:pStyle w:val="TableParagraph"/>
              <w:ind w:left="200"/>
              <w:rPr>
                <w:sz w:val="20"/>
              </w:rPr>
            </w:pPr>
            <w:r>
              <w:rPr>
                <w:color w:val="231F20"/>
                <w:sz w:val="20"/>
              </w:rPr>
              <w:t>Net income</w:t>
            </w: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2,181</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1,136</w:t>
            </w:r>
          </w:p>
        </w:tc>
        <w:tc>
          <w:tcPr>
            <w:tcW w:w="200" w:type="dxa"/>
            <w:shd w:val="clear" w:color="auto" w:fill="D1D3D4"/>
          </w:tcPr>
          <w:p>
            <w:pPr/>
          </w:p>
        </w:tc>
        <w:tc>
          <w:tcPr>
            <w:tcW w:w="917" w:type="dxa"/>
            <w:shd w:val="clear" w:color="auto" w:fill="D1D3D4"/>
          </w:tcPr>
          <w:p>
            <w:pPr>
              <w:pStyle w:val="TableParagraph"/>
              <w:tabs>
                <w:tab w:pos="549" w:val="left" w:leader="none"/>
              </w:tabs>
              <w:ind w:right="66"/>
              <w:jc w:val="right"/>
              <w:rPr>
                <w:sz w:val="20"/>
              </w:rPr>
            </w:pPr>
            <w:r>
              <w:rPr>
                <w:color w:val="231F20"/>
                <w:sz w:val="20"/>
              </w:rPr>
              <w:t>$</w:t>
              <w:tab/>
            </w:r>
            <w:r>
              <w:rPr>
                <w:color w:val="231F20"/>
                <w:spacing w:val="-1"/>
                <w:sz w:val="20"/>
              </w:rPr>
              <w:t>754</w:t>
            </w:r>
          </w:p>
        </w:tc>
      </w:tr>
      <w:tr>
        <w:trPr>
          <w:trHeight w:val="315" w:hRule="exact"/>
        </w:trPr>
        <w:tc>
          <w:tcPr>
            <w:tcW w:w="5969" w:type="dxa"/>
          </w:tcPr>
          <w:p>
            <w:pPr>
              <w:pStyle w:val="TableParagraph"/>
              <w:ind w:left="200"/>
              <w:rPr>
                <w:sz w:val="20"/>
              </w:rPr>
            </w:pPr>
            <w:r>
              <w:rPr>
                <w:color w:val="231F20"/>
                <w:sz w:val="20"/>
              </w:rPr>
              <w:t>Incremental income effect of interest on 5.25% convertible notes</w:t>
            </w: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3</w:t>
            </w:r>
          </w:p>
        </w:tc>
      </w:tr>
      <w:tr>
        <w:trPr>
          <w:trHeight w:val="320" w:hRule="exact"/>
        </w:trPr>
        <w:tc>
          <w:tcPr>
            <w:tcW w:w="5969" w:type="dxa"/>
            <w:shd w:val="clear" w:color="auto" w:fill="D1D3D4"/>
          </w:tcPr>
          <w:p>
            <w:pPr>
              <w:pStyle w:val="TableParagraph"/>
              <w:ind w:left="200"/>
              <w:rPr>
                <w:sz w:val="20"/>
              </w:rPr>
            </w:pPr>
            <w:r>
              <w:rPr>
                <w:color w:val="231F20"/>
                <w:sz w:val="20"/>
              </w:rPr>
              <w:t>Net income after assumed conversion</w:t>
            </w: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2,185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1,140</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549" w:val="left" w:leader="none"/>
              </w:tabs>
              <w:ind w:right="64"/>
              <w:jc w:val="right"/>
              <w:rPr>
                <w:sz w:val="20"/>
              </w:rPr>
            </w:pPr>
            <w:r>
              <w:rPr>
                <w:color w:val="231F20"/>
                <w:sz w:val="20"/>
              </w:rPr>
              <w:t>$</w:t>
              <w:tab/>
            </w:r>
            <w:r>
              <w:rPr>
                <w:color w:val="231F20"/>
                <w:spacing w:val="-1"/>
                <w:sz w:val="20"/>
              </w:rPr>
              <w:t>757</w:t>
            </w:r>
          </w:p>
        </w:tc>
      </w:tr>
      <w:tr>
        <w:trPr>
          <w:trHeight w:val="620" w:hRule="exact"/>
        </w:trPr>
        <w:tc>
          <w:tcPr>
            <w:tcW w:w="5969" w:type="dxa"/>
          </w:tcPr>
          <w:p>
            <w:pPr>
              <w:pStyle w:val="TableParagraph"/>
              <w:spacing w:before="58"/>
              <w:rPr>
                <w:b/>
                <w:sz w:val="20"/>
              </w:rPr>
            </w:pPr>
            <w:r>
              <w:rPr>
                <w:b/>
                <w:color w:val="231F20"/>
                <w:sz w:val="20"/>
              </w:rPr>
              <w:t>DENOMINATOR:</w:t>
            </w:r>
          </w:p>
          <w:p>
            <w:pPr>
              <w:pStyle w:val="TableParagraph"/>
              <w:spacing w:before="69"/>
              <w:ind w:left="200"/>
              <w:rPr>
                <w:sz w:val="20"/>
              </w:rPr>
            </w:pPr>
            <w:r>
              <w:rPr>
                <w:color w:val="231F20"/>
                <w:sz w:val="20"/>
              </w:rPr>
              <w:t>Weighted-average shares outstanding, basic</w:t>
            </w: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661</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687</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spacing w:before="1"/>
              <w:ind w:right="64"/>
              <w:jc w:val="right"/>
              <w:rPr>
                <w:sz w:val="20"/>
              </w:rPr>
            </w:pPr>
            <w:r>
              <w:rPr>
                <w:color w:val="231F20"/>
                <w:sz w:val="20"/>
              </w:rPr>
              <w:t>710</w:t>
            </w:r>
          </w:p>
        </w:tc>
      </w:tr>
      <w:tr>
        <w:trPr>
          <w:trHeight w:val="305" w:hRule="exact"/>
        </w:trPr>
        <w:tc>
          <w:tcPr>
            <w:tcW w:w="5969" w:type="dxa"/>
          </w:tcPr>
          <w:p>
            <w:pPr>
              <w:pStyle w:val="TableParagraph"/>
              <w:spacing w:before="58"/>
              <w:ind w:left="200"/>
              <w:rPr>
                <w:sz w:val="20"/>
              </w:rPr>
            </w:pPr>
            <w:r>
              <w:rPr>
                <w:color w:val="231F20"/>
                <w:sz w:val="20"/>
              </w:rPr>
              <w:t>Dilutive effect of Employee stock options and restricted stock units</w:t>
            </w:r>
          </w:p>
        </w:tc>
        <w:tc>
          <w:tcPr>
            <w:tcW w:w="917" w:type="dxa"/>
            <w:tcBorders>
              <w:top w:val="single" w:sz="4" w:space="0" w:color="231F20"/>
            </w:tcBorders>
          </w:tcPr>
          <w:p>
            <w:pPr>
              <w:pStyle w:val="TableParagraph"/>
              <w:ind w:right="64"/>
              <w:jc w:val="right"/>
              <w:rPr>
                <w:sz w:val="20"/>
              </w:rPr>
            </w:pPr>
            <w:r>
              <w:rPr>
                <w:color w:val="231F20"/>
                <w:sz w:val="20"/>
              </w:rPr>
              <w:t>2</w:t>
            </w:r>
          </w:p>
        </w:tc>
        <w:tc>
          <w:tcPr>
            <w:tcW w:w="200" w:type="dxa"/>
          </w:tcPr>
          <w:p>
            <w:pPr/>
          </w:p>
        </w:tc>
        <w:tc>
          <w:tcPr>
            <w:tcW w:w="917" w:type="dxa"/>
            <w:tcBorders>
              <w:top w:val="single" w:sz="4" w:space="0" w:color="231F20"/>
            </w:tcBorders>
          </w:tcPr>
          <w:p>
            <w:pPr>
              <w:pStyle w:val="TableParagraph"/>
              <w:ind w:right="64"/>
              <w:jc w:val="right"/>
              <w:rPr>
                <w:sz w:val="20"/>
              </w:rPr>
            </w:pPr>
            <w:r>
              <w:rPr>
                <w:color w:val="231F20"/>
                <w:sz w:val="20"/>
              </w:rPr>
              <w:t>3</w:t>
            </w:r>
          </w:p>
        </w:tc>
        <w:tc>
          <w:tcPr>
            <w:tcW w:w="200" w:type="dxa"/>
          </w:tcPr>
          <w:p>
            <w:pPr/>
          </w:p>
        </w:tc>
        <w:tc>
          <w:tcPr>
            <w:tcW w:w="917" w:type="dxa"/>
            <w:tcBorders>
              <w:top w:val="single" w:sz="4" w:space="0" w:color="231F20"/>
            </w:tcBorders>
          </w:tcPr>
          <w:p>
            <w:pPr>
              <w:pStyle w:val="TableParagraph"/>
              <w:ind w:right="64"/>
              <w:jc w:val="right"/>
              <w:rPr>
                <w:sz w:val="20"/>
              </w:rPr>
            </w:pPr>
            <w:r>
              <w:rPr>
                <w:color w:val="231F20"/>
                <w:sz w:val="20"/>
              </w:rPr>
              <w:t>2</w:t>
            </w:r>
          </w:p>
        </w:tc>
      </w:tr>
      <w:tr>
        <w:trPr>
          <w:trHeight w:val="315" w:hRule="exact"/>
        </w:trPr>
        <w:tc>
          <w:tcPr>
            <w:tcW w:w="5969" w:type="dxa"/>
            <w:shd w:val="clear" w:color="auto" w:fill="D1D3D4"/>
          </w:tcPr>
          <w:p>
            <w:pPr>
              <w:pStyle w:val="TableParagraph"/>
              <w:ind w:left="200"/>
              <w:rPr>
                <w:sz w:val="20"/>
              </w:rPr>
            </w:pPr>
            <w:r>
              <w:rPr>
                <w:color w:val="231F20"/>
                <w:sz w:val="20"/>
              </w:rPr>
              <w:t>Dilutive effect of 5.25% convertible notes</w:t>
            </w: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c>
          <w:tcPr>
            <w:tcW w:w="200" w:type="dxa"/>
            <w:shd w:val="clear" w:color="auto" w:fill="D1D3D4"/>
          </w:tcPr>
          <w:p>
            <w:pP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c>
          <w:tcPr>
            <w:tcW w:w="200" w:type="dxa"/>
            <w:shd w:val="clear" w:color="auto" w:fill="D1D3D4"/>
          </w:tcPr>
          <w:p>
            <w:pPr/>
          </w:p>
        </w:tc>
        <w:tc>
          <w:tcPr>
            <w:tcW w:w="917" w:type="dxa"/>
            <w:tcBorders>
              <w:bottom w:val="single" w:sz="4" w:space="0" w:color="231F20"/>
            </w:tcBorders>
            <w:shd w:val="clear" w:color="auto" w:fill="D1D3D4"/>
          </w:tcPr>
          <w:p>
            <w:pPr>
              <w:pStyle w:val="TableParagraph"/>
              <w:ind w:right="64"/>
              <w:jc w:val="right"/>
              <w:rPr>
                <w:sz w:val="20"/>
              </w:rPr>
            </w:pPr>
            <w:r>
              <w:rPr>
                <w:color w:val="231F20"/>
                <w:sz w:val="20"/>
              </w:rPr>
              <w:t>6</w:t>
            </w:r>
          </w:p>
        </w:tc>
      </w:tr>
      <w:tr>
        <w:trPr>
          <w:trHeight w:val="360" w:hRule="exact"/>
        </w:trPr>
        <w:tc>
          <w:tcPr>
            <w:tcW w:w="5969" w:type="dxa"/>
          </w:tcPr>
          <w:p>
            <w:pPr>
              <w:pStyle w:val="TableParagraph"/>
              <w:spacing w:before="58"/>
              <w:ind w:left="200"/>
              <w:rPr>
                <w:sz w:val="20"/>
              </w:rPr>
            </w:pPr>
            <w:r>
              <w:rPr>
                <w:color w:val="231F20"/>
                <w:sz w:val="20"/>
              </w:rPr>
              <w:t>Adjusted weighted-average shares outstanding, diluted</w:t>
            </w: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669</w:t>
            </w:r>
          </w:p>
        </w:tc>
        <w:tc>
          <w:tcPr>
            <w:tcW w:w="200" w:type="dxa"/>
          </w:tcPr>
          <w:p>
            <w:pP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696</w:t>
            </w:r>
          </w:p>
        </w:tc>
        <w:tc>
          <w:tcPr>
            <w:tcW w:w="200" w:type="dxa"/>
          </w:tcPr>
          <w:p>
            <w:pPr/>
          </w:p>
        </w:tc>
        <w:tc>
          <w:tcPr>
            <w:tcW w:w="917" w:type="dxa"/>
            <w:tcBorders>
              <w:top w:val="single" w:sz="4" w:space="0" w:color="231F20"/>
              <w:bottom w:val="single" w:sz="4" w:space="0" w:color="231F20"/>
            </w:tcBorders>
          </w:tcPr>
          <w:p>
            <w:pPr>
              <w:pStyle w:val="TableParagraph"/>
              <w:ind w:right="64"/>
              <w:jc w:val="right"/>
              <w:rPr>
                <w:sz w:val="20"/>
              </w:rPr>
            </w:pPr>
            <w:r>
              <w:rPr>
                <w:color w:val="231F20"/>
                <w:sz w:val="20"/>
              </w:rPr>
              <w:t>718</w:t>
            </w:r>
          </w:p>
        </w:tc>
      </w:tr>
      <w:tr>
        <w:trPr>
          <w:trHeight w:val="660" w:hRule="exact"/>
        </w:trPr>
        <w:tc>
          <w:tcPr>
            <w:tcW w:w="5969" w:type="dxa"/>
          </w:tcPr>
          <w:p>
            <w:pPr>
              <w:pStyle w:val="TableParagraph"/>
              <w:spacing w:before="58"/>
              <w:rPr>
                <w:b/>
                <w:sz w:val="20"/>
              </w:rPr>
            </w:pPr>
            <w:r>
              <w:rPr>
                <w:b/>
                <w:color w:val="231F20"/>
                <w:sz w:val="20"/>
              </w:rPr>
              <w:t>NET INCOME PER SHARE:</w:t>
            </w:r>
          </w:p>
          <w:p>
            <w:pPr>
              <w:pStyle w:val="TableParagraph"/>
              <w:spacing w:before="69"/>
              <w:ind w:left="200"/>
              <w:rPr>
                <w:sz w:val="20"/>
              </w:rPr>
            </w:pPr>
            <w:r>
              <w:rPr>
                <w:color w:val="231F20"/>
                <w:sz w:val="20"/>
              </w:rPr>
              <w:t>Basic</w:t>
            </w: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3.30</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1.65</w:t>
            </w:r>
          </w:p>
        </w:tc>
        <w:tc>
          <w:tcPr>
            <w:tcW w:w="200" w:type="dxa"/>
          </w:tcPr>
          <w:p>
            <w:pPr/>
          </w:p>
        </w:tc>
        <w:tc>
          <w:tcPr>
            <w:tcW w:w="917" w:type="dxa"/>
            <w:tcBorders>
              <w:bottom w:val="single" w:sz="4" w:space="0" w:color="231F20"/>
            </w:tcBorders>
          </w:tcPr>
          <w:p>
            <w:pPr>
              <w:pStyle w:val="TableParagraph"/>
              <w:spacing w:before="1"/>
              <w:rPr>
                <w:b/>
                <w:sz w:val="31"/>
              </w:rPr>
            </w:pPr>
          </w:p>
          <w:p>
            <w:pPr>
              <w:pStyle w:val="TableParagraph"/>
              <w:tabs>
                <w:tab w:pos="499" w:val="left" w:leader="none"/>
              </w:tabs>
              <w:spacing w:before="1"/>
              <w:ind w:right="66"/>
              <w:jc w:val="right"/>
              <w:rPr>
                <w:sz w:val="20"/>
              </w:rPr>
            </w:pPr>
            <w:r>
              <w:rPr>
                <w:color w:val="231F20"/>
                <w:sz w:val="20"/>
              </w:rPr>
              <w:t>$</w:t>
              <w:tab/>
            </w:r>
            <w:r>
              <w:rPr>
                <w:color w:val="231F20"/>
                <w:spacing w:val="-1"/>
                <w:sz w:val="20"/>
              </w:rPr>
              <w:t>1.06</w:t>
            </w:r>
          </w:p>
        </w:tc>
      </w:tr>
      <w:tr>
        <w:trPr>
          <w:trHeight w:val="360" w:hRule="exact"/>
        </w:trPr>
        <w:tc>
          <w:tcPr>
            <w:tcW w:w="5969" w:type="dxa"/>
            <w:shd w:val="clear" w:color="auto" w:fill="D1D3D4"/>
          </w:tcPr>
          <w:p>
            <w:pPr>
              <w:pStyle w:val="TableParagraph"/>
              <w:spacing w:before="58"/>
              <w:ind w:left="200"/>
              <w:rPr>
                <w:sz w:val="20"/>
              </w:rPr>
            </w:pPr>
            <w:r>
              <w:rPr>
                <w:color w:val="231F20"/>
                <w:sz w:val="20"/>
              </w:rPr>
              <w:t>Diluted</w:t>
            </w: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3.27</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1.64</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ind w:right="66"/>
              <w:jc w:val="right"/>
              <w:rPr>
                <w:sz w:val="20"/>
              </w:rPr>
            </w:pPr>
            <w:r>
              <w:rPr>
                <w:color w:val="231F20"/>
                <w:sz w:val="20"/>
              </w:rPr>
              <w:t>$</w:t>
              <w:tab/>
            </w:r>
            <w:r>
              <w:rPr>
                <w:color w:val="231F20"/>
                <w:spacing w:val="-1"/>
                <w:sz w:val="20"/>
              </w:rPr>
              <w:t>1.05</w:t>
            </w:r>
          </w:p>
        </w:tc>
      </w:tr>
    </w:tbl>
    <w:p>
      <w:pPr>
        <w:spacing w:before="48"/>
        <w:ind w:left="100" w:right="0" w:firstLine="0"/>
        <w:jc w:val="both"/>
        <w:rPr>
          <w:sz w:val="20"/>
        </w:rPr>
      </w:pPr>
      <w:r>
        <w:rPr/>
        <w:pict>
          <v:rect style="position:absolute;margin-left:69pt;margin-top:-85.264061pt;width:456pt;height:15pt;mso-position-horizontal-relative:page;mso-position-vertical-relative:paragraph;z-index:-391120" filled="true" fillcolor="#d1d3d4" stroked="false">
            <v:fill type="solid"/>
            <w10:wrap type="none"/>
          </v:rect>
        </w:pict>
      </w:r>
      <w:r>
        <w:rPr/>
        <w:pict>
          <v:group style="position:absolute;margin-left:69pt;margin-top:-53.764061pt;width:456.25pt;height:17.5pt;mso-position-horizontal-relative:page;mso-position-vertical-relative:paragraph;z-index:-391096" coordorigin="1380,-1075" coordsize="9125,350">
            <v:rect style="position:absolute;left:1380;top:-1025;width:9120;height:300" filled="true" fillcolor="#d1d3d4" stroked="false">
              <v:fill type="solid"/>
            </v:rect>
            <v:line style="position:absolute" from="7349,-1070" to="8266,-1070" stroked="true" strokeweight=".5pt" strokecolor="#231f20">
              <v:stroke dashstyle="solid"/>
            </v:line>
            <v:line style="position:absolute" from="8466,-1070" to="9383,-1070" stroked="true" strokeweight=".5pt" strokecolor="#231f20">
              <v:stroke dashstyle="solid"/>
            </v:line>
            <v:line style="position:absolute" from="9583,-1070" to="10500,-1070" stroked="true" strokeweight=".5pt" strokecolor="#231f20">
              <v:stroke dashstyle="solid"/>
            </v:line>
            <w10:wrap type="none"/>
          </v:group>
        </w:pict>
      </w:r>
      <w:r>
        <w:rPr/>
        <w:pict>
          <v:group style="position:absolute;margin-left:69pt;margin-top:-20.764063pt;width:456.25pt;height:18.5pt;mso-position-horizontal-relative:page;mso-position-vertical-relative:paragraph;z-index:-391072" coordorigin="1380,-415" coordsize="9125,370">
            <v:rect style="position:absolute;left:1380;top:-365;width:9120;height:300" filled="true" fillcolor="#d1d3d4" stroked="false">
              <v:fill type="solid"/>
            </v:rect>
            <v:line style="position:absolute" from="7349,-410" to="8266,-410" stroked="true" strokeweight=".5pt" strokecolor="#231f20">
              <v:stroke dashstyle="solid"/>
            </v:line>
            <v:line style="position:absolute" from="8466,-410" to="9383,-410" stroked="true" strokeweight=".5pt" strokecolor="#231f20">
              <v:stroke dashstyle="solid"/>
            </v:line>
            <v:line style="position:absolute" from="9583,-410" to="10500,-410" stroked="true" strokeweight=".5pt" strokecolor="#231f20">
              <v:stroke dashstyle="solid"/>
            </v:line>
            <v:line style="position:absolute" from="7349,-50" to="8266,-50" stroked="true" strokeweight=".5pt" strokecolor="#231f20">
              <v:stroke dashstyle="solid"/>
            </v:line>
            <v:line style="position:absolute" from="8466,-50" to="9383,-50" stroked="true" strokeweight=".5pt" strokecolor="#231f20">
              <v:stroke dashstyle="solid"/>
            </v:line>
            <v:line style="position:absolute" from="9583,-50" to="10500,-50" stroked="true" strokeweight=".5pt" strokecolor="#231f20">
              <v:stroke dashstyle="solid"/>
            </v:line>
            <w10:wrap type="none"/>
          </v:group>
        </w:pict>
      </w:r>
      <w:r>
        <w:rPr/>
        <w:pict>
          <v:rect style="position:absolute;margin-left:69pt;margin-top:14.735937pt;width:456pt;height:15pt;mso-position-horizontal-relative:page;mso-position-vertical-relative:paragraph;z-index:-391048" filled="true" fillcolor="#d1d3d4" stroked="false">
            <v:fill type="solid"/>
            <w10:wrap type="none"/>
          </v:rect>
        </w:pict>
      </w:r>
      <w:r>
        <w:rPr>
          <w:color w:val="231F20"/>
          <w:sz w:val="20"/>
        </w:rPr>
        <w:t>Potentially dilutive amounts excluded from calculations:</w:t>
      </w:r>
    </w:p>
    <w:p>
      <w:pPr>
        <w:tabs>
          <w:tab w:pos="6718" w:val="left" w:leader="none"/>
          <w:tab w:pos="7835" w:val="left" w:leader="none"/>
          <w:tab w:pos="9152" w:val="right" w:leader="none"/>
        </w:tabs>
        <w:spacing w:before="69"/>
        <w:ind w:left="300" w:right="0" w:firstLine="0"/>
        <w:jc w:val="left"/>
        <w:rPr>
          <w:sz w:val="20"/>
        </w:rPr>
      </w:pPr>
      <w:r>
        <w:rPr>
          <w:color w:val="231F20"/>
          <w:sz w:val="20"/>
        </w:rPr>
        <w:t>Stock options and restricted</w:t>
      </w:r>
      <w:r>
        <w:rPr>
          <w:color w:val="231F20"/>
          <w:spacing w:val="3"/>
          <w:sz w:val="20"/>
        </w:rPr>
        <w:t> </w:t>
      </w:r>
      <w:r>
        <w:rPr>
          <w:color w:val="231F20"/>
          <w:sz w:val="20"/>
        </w:rPr>
        <w:t>stock units</w:t>
        <w:tab/>
        <w:t>—</w:t>
        <w:tab/>
        <w:t>—</w:t>
        <w:tab/>
        <w:t>9</w:t>
      </w:r>
    </w:p>
    <w:p>
      <w:pPr>
        <w:pStyle w:val="BodyText"/>
        <w:rPr>
          <w:sz w:val="27"/>
        </w:rPr>
      </w:pPr>
    </w:p>
    <w:p>
      <w:pPr>
        <w:pStyle w:val="Heading1"/>
        <w:numPr>
          <w:ilvl w:val="0"/>
          <w:numId w:val="11"/>
        </w:numPr>
        <w:tabs>
          <w:tab w:pos="320" w:val="left" w:leader="none"/>
        </w:tabs>
        <w:spacing w:line="240" w:lineRule="auto" w:before="0" w:after="0"/>
        <w:ind w:left="320" w:right="0" w:hanging="220"/>
        <w:jc w:val="both"/>
      </w:pPr>
      <w:r>
        <w:rPr>
          <w:color w:val="231F20"/>
        </w:rPr>
        <w:t>COMMITMENTS AND</w:t>
      </w:r>
      <w:r>
        <w:rPr>
          <w:color w:val="231F20"/>
          <w:spacing w:val="1"/>
        </w:rPr>
        <w:t> </w:t>
      </w:r>
      <w:r>
        <w:rPr>
          <w:color w:val="231F20"/>
        </w:rPr>
        <w:t>CONTINGENCIES</w:t>
      </w:r>
    </w:p>
    <w:p>
      <w:pPr>
        <w:pStyle w:val="BodyText"/>
        <w:spacing w:before="5"/>
        <w:rPr>
          <w:b/>
          <w:sz w:val="21"/>
        </w:rPr>
      </w:pPr>
    </w:p>
    <w:p>
      <w:pPr>
        <w:pStyle w:val="Heading2"/>
        <w:ind w:left="100"/>
        <w:jc w:val="both"/>
        <w:rPr>
          <w:i/>
        </w:rPr>
      </w:pPr>
      <w:r>
        <w:rPr>
          <w:i/>
          <w:color w:val="231F20"/>
        </w:rPr>
        <w:t>Commitments</w:t>
      </w:r>
    </w:p>
    <w:p>
      <w:pPr>
        <w:pStyle w:val="BodyText"/>
        <w:spacing w:before="5"/>
        <w:rPr>
          <w:b/>
          <w:i/>
          <w:sz w:val="21"/>
        </w:rPr>
      </w:pPr>
    </w:p>
    <w:p>
      <w:pPr>
        <w:pStyle w:val="BodyText"/>
        <w:spacing w:line="247" w:lineRule="auto"/>
        <w:ind w:left="100" w:right="117"/>
        <w:jc w:val="both"/>
      </w:pPr>
      <w:r>
        <w:rPr>
          <w:color w:val="231F20"/>
        </w:rPr>
        <w:t>The Company has contractual obligations and commitments primarily with regard to future purchases of aircraft, repayment of debt, and lease arrangements. During the year ended December 31, 2015, the Company purchased 19 new 737-800 aircraft from Boeing and eight used 737-700 aircraft from third parties. In addition, the Company also leased 16 737-700 aircraft from third parties, and retired from service four of its older aircraft (two 737-300 and two 737-500).</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In December 2015, the Company and Boeing agreed to modify the existing schedule of future aircraft commitments to reflect 33 additional -800s, and the conversion of its remaining 25 -700 firm orders  to</w:t>
      </w:r>
    </w:p>
    <w:p>
      <w:pPr>
        <w:pStyle w:val="BodyText"/>
        <w:spacing w:line="247" w:lineRule="auto"/>
        <w:ind w:left="120" w:right="117"/>
        <w:jc w:val="both"/>
      </w:pPr>
      <w:r>
        <w:rPr>
          <w:color w:val="231F20"/>
        </w:rPr>
        <w:t>-800s. In addition, two pre-owned -700s were added to its delivery schedule. A total of six additional options were added to the schedule as well. As of December 31, 2015, the Company had  firm deliveries and options for Boeing 737-700, 737-800, 737 MAX 7, and 737 MAX 8 aircraft as follows:</w:t>
      </w:r>
    </w:p>
    <w:p>
      <w:pPr>
        <w:spacing w:after="0" w:line="247" w:lineRule="auto"/>
        <w:jc w:val="both"/>
        <w:sectPr>
          <w:pgSz w:w="11880" w:h="15480"/>
          <w:pgMar w:header="0" w:footer="1240" w:top="1240" w:bottom="1420" w:left="1260" w:right="1260"/>
        </w:sectPr>
      </w:pPr>
    </w:p>
    <w:p>
      <w:pPr>
        <w:pStyle w:val="BodyText"/>
        <w:spacing w:before="7"/>
        <w:rPr>
          <w:sz w:val="18"/>
        </w:rPr>
      </w:pPr>
    </w:p>
    <w:p>
      <w:pPr>
        <w:spacing w:line="200" w:lineRule="exact" w:before="0"/>
        <w:ind w:left="2155" w:right="-20" w:hanging="603"/>
        <w:jc w:val="left"/>
        <w:rPr>
          <w:b/>
          <w:sz w:val="20"/>
        </w:rPr>
      </w:pPr>
      <w:r>
        <w:rPr/>
        <w:pict>
          <v:line style="position:absolute;mso-position-horizontal-relative:page;mso-position-vertical-relative:paragraph;z-index:4480" from="139.699997pt,21.499975pt" to="234.299997pt,21.499975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spacing w:before="53"/>
        <w:ind w:left="1636" w:right="1365" w:firstLine="0"/>
        <w:jc w:val="center"/>
        <w:rPr>
          <w:b/>
          <w:sz w:val="20"/>
        </w:rPr>
      </w:pPr>
      <w:r>
        <w:rPr/>
        <w:pict>
          <v:shape style="position:absolute;margin-left:68.75pt;margin-top:12.685913pt;width:456.5pt;height:220.55pt;mso-position-horizontal-relative:page;mso-position-vertical-relative:paragraph;z-index:45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4"/>
                    <w:gridCol w:w="812"/>
                    <w:gridCol w:w="879"/>
                    <w:gridCol w:w="301"/>
                    <w:gridCol w:w="1124"/>
                    <w:gridCol w:w="967"/>
                    <w:gridCol w:w="1146"/>
                    <w:gridCol w:w="1404"/>
                    <w:gridCol w:w="718"/>
                    <w:gridCol w:w="356"/>
                  </w:tblGrid>
                  <w:tr>
                    <w:trPr>
                      <w:trHeight w:val="461" w:hRule="exact"/>
                    </w:trPr>
                    <w:tc>
                      <w:tcPr>
                        <w:tcW w:w="1414" w:type="dxa"/>
                      </w:tcPr>
                      <w:p>
                        <w:pPr/>
                      </w:p>
                    </w:tc>
                    <w:tc>
                      <w:tcPr>
                        <w:tcW w:w="812" w:type="dxa"/>
                        <w:tcBorders>
                          <w:bottom w:val="single" w:sz="4" w:space="0" w:color="231F20"/>
                        </w:tcBorders>
                      </w:tcPr>
                      <w:p>
                        <w:pPr>
                          <w:pStyle w:val="TableParagraph"/>
                          <w:spacing w:line="200" w:lineRule="exact" w:before="26"/>
                          <w:ind w:right="181" w:firstLine="89"/>
                          <w:rPr>
                            <w:b/>
                            <w:sz w:val="20"/>
                          </w:rPr>
                        </w:pPr>
                        <w:r>
                          <w:rPr>
                            <w:b/>
                            <w:color w:val="231F20"/>
                            <w:sz w:val="20"/>
                          </w:rPr>
                          <w:t>Firm Orders</w:t>
                        </w:r>
                      </w:p>
                    </w:tc>
                    <w:tc>
                      <w:tcPr>
                        <w:tcW w:w="879" w:type="dxa"/>
                        <w:tcBorders>
                          <w:bottom w:val="single" w:sz="4" w:space="0" w:color="231F20"/>
                        </w:tcBorders>
                      </w:tcPr>
                      <w:p>
                        <w:pPr>
                          <w:pStyle w:val="TableParagraph"/>
                          <w:spacing w:before="3"/>
                          <w:rPr>
                            <w:sz w:val="17"/>
                          </w:rPr>
                        </w:pPr>
                      </w:p>
                      <w:p>
                        <w:pPr>
                          <w:pStyle w:val="TableParagraph"/>
                          <w:spacing w:before="0"/>
                          <w:ind w:left="200"/>
                          <w:rPr>
                            <w:b/>
                            <w:sz w:val="20"/>
                          </w:rPr>
                        </w:pPr>
                        <w:r>
                          <w:rPr>
                            <w:b/>
                            <w:color w:val="231F20"/>
                            <w:sz w:val="20"/>
                          </w:rPr>
                          <w:t>Options</w:t>
                        </w:r>
                      </w:p>
                    </w:tc>
                    <w:tc>
                      <w:tcPr>
                        <w:tcW w:w="301" w:type="dxa"/>
                        <w:tcBorders>
                          <w:bottom w:val="single" w:sz="4" w:space="0" w:color="231F20"/>
                        </w:tcBorders>
                      </w:tcPr>
                      <w:p>
                        <w:pPr/>
                      </w:p>
                    </w:tc>
                    <w:tc>
                      <w:tcPr>
                        <w:tcW w:w="1124" w:type="dxa"/>
                        <w:tcBorders>
                          <w:bottom w:val="single" w:sz="4" w:space="0" w:color="231F20"/>
                        </w:tcBorders>
                      </w:tcPr>
                      <w:p>
                        <w:pPr>
                          <w:pStyle w:val="TableParagraph"/>
                          <w:spacing w:line="214" w:lineRule="exact" w:before="0"/>
                          <w:ind w:left="99"/>
                          <w:rPr>
                            <w:b/>
                            <w:sz w:val="20"/>
                          </w:rPr>
                        </w:pPr>
                        <w:r>
                          <w:rPr>
                            <w:b/>
                            <w:color w:val="231F20"/>
                            <w:sz w:val="20"/>
                          </w:rPr>
                          <w:t>Additional</w:t>
                        </w:r>
                      </w:p>
                      <w:p>
                        <w:pPr>
                          <w:pStyle w:val="TableParagraph"/>
                          <w:spacing w:line="215" w:lineRule="exact" w:before="0"/>
                          <w:ind w:left="174"/>
                          <w:rPr>
                            <w:b/>
                            <w:sz w:val="20"/>
                          </w:rPr>
                        </w:pPr>
                        <w:r>
                          <w:rPr>
                            <w:b/>
                            <w:color w:val="231F20"/>
                            <w:sz w:val="20"/>
                          </w:rPr>
                          <w:t>-700 A/C</w:t>
                        </w:r>
                      </w:p>
                    </w:tc>
                    <w:tc>
                      <w:tcPr>
                        <w:tcW w:w="967" w:type="dxa"/>
                        <w:tcBorders>
                          <w:bottom w:val="single" w:sz="4" w:space="0" w:color="231F20"/>
                        </w:tcBorders>
                      </w:tcPr>
                      <w:p>
                        <w:pPr>
                          <w:pStyle w:val="TableParagraph"/>
                          <w:spacing w:line="200" w:lineRule="exact" w:before="26"/>
                          <w:ind w:left="112" w:right="223" w:firstLine="64"/>
                          <w:rPr>
                            <w:b/>
                            <w:sz w:val="20"/>
                          </w:rPr>
                        </w:pPr>
                        <w:r>
                          <w:rPr>
                            <w:b/>
                            <w:color w:val="231F20"/>
                            <w:sz w:val="20"/>
                          </w:rPr>
                          <w:t>Firm Orders</w:t>
                        </w:r>
                      </w:p>
                    </w:tc>
                    <w:tc>
                      <w:tcPr>
                        <w:tcW w:w="1146" w:type="dxa"/>
                        <w:tcBorders>
                          <w:bottom w:val="single" w:sz="4" w:space="0" w:color="231F20"/>
                        </w:tcBorders>
                      </w:tcPr>
                      <w:p>
                        <w:pPr>
                          <w:pStyle w:val="TableParagraph"/>
                          <w:spacing w:line="200" w:lineRule="exact" w:before="26"/>
                          <w:ind w:left="216" w:right="298" w:firstLine="64"/>
                          <w:rPr>
                            <w:b/>
                            <w:sz w:val="20"/>
                          </w:rPr>
                        </w:pPr>
                        <w:r>
                          <w:rPr>
                            <w:b/>
                            <w:color w:val="231F20"/>
                            <w:sz w:val="20"/>
                          </w:rPr>
                          <w:t>Firm Orders</w:t>
                        </w:r>
                      </w:p>
                    </w:tc>
                    <w:tc>
                      <w:tcPr>
                        <w:tcW w:w="1404" w:type="dxa"/>
                        <w:tcBorders>
                          <w:bottom w:val="single" w:sz="4" w:space="0" w:color="231F20"/>
                        </w:tcBorders>
                      </w:tcPr>
                      <w:p>
                        <w:pPr>
                          <w:pStyle w:val="TableParagraph"/>
                          <w:spacing w:before="3"/>
                          <w:rPr>
                            <w:sz w:val="17"/>
                          </w:rPr>
                        </w:pPr>
                      </w:p>
                      <w:p>
                        <w:pPr>
                          <w:pStyle w:val="TableParagraph"/>
                          <w:spacing w:before="0"/>
                          <w:ind w:left="317"/>
                          <w:rPr>
                            <w:b/>
                            <w:sz w:val="20"/>
                          </w:rPr>
                        </w:pPr>
                        <w:r>
                          <w:rPr>
                            <w:b/>
                            <w:color w:val="231F20"/>
                            <w:sz w:val="20"/>
                          </w:rPr>
                          <w:t>Options</w:t>
                        </w:r>
                      </w:p>
                    </w:tc>
                    <w:tc>
                      <w:tcPr>
                        <w:tcW w:w="718" w:type="dxa"/>
                        <w:tcBorders>
                          <w:bottom w:val="single" w:sz="4" w:space="0" w:color="231F20"/>
                        </w:tcBorders>
                      </w:tcPr>
                      <w:p>
                        <w:pPr>
                          <w:pStyle w:val="TableParagraph"/>
                          <w:spacing w:before="3"/>
                          <w:rPr>
                            <w:sz w:val="17"/>
                          </w:rPr>
                        </w:pPr>
                      </w:p>
                      <w:p>
                        <w:pPr>
                          <w:pStyle w:val="TableParagraph"/>
                          <w:spacing w:before="0"/>
                          <w:ind w:left="255"/>
                          <w:rPr>
                            <w:b/>
                            <w:sz w:val="20"/>
                          </w:rPr>
                        </w:pPr>
                        <w:r>
                          <w:rPr>
                            <w:b/>
                            <w:color w:val="231F20"/>
                            <w:sz w:val="20"/>
                          </w:rPr>
                          <w:t>Total</w:t>
                        </w:r>
                      </w:p>
                    </w:tc>
                    <w:tc>
                      <w:tcPr>
                        <w:tcW w:w="356" w:type="dxa"/>
                        <w:tcBorders>
                          <w:bottom w:val="single" w:sz="4" w:space="0" w:color="231F20"/>
                        </w:tcBorders>
                      </w:tcPr>
                      <w:p>
                        <w:pPr/>
                      </w:p>
                    </w:tc>
                  </w:tr>
                  <w:tr>
                    <w:trPr>
                      <w:trHeight w:val="305" w:hRule="exact"/>
                    </w:trPr>
                    <w:tc>
                      <w:tcPr>
                        <w:tcW w:w="1414" w:type="dxa"/>
                        <w:shd w:val="clear" w:color="auto" w:fill="D1D3D4"/>
                      </w:tcPr>
                      <w:p>
                        <w:pPr>
                          <w:pStyle w:val="TableParagraph"/>
                          <w:rPr>
                            <w:sz w:val="20"/>
                          </w:rPr>
                        </w:pPr>
                        <w:r>
                          <w:rPr>
                            <w:color w:val="231F20"/>
                            <w:sz w:val="20"/>
                          </w:rPr>
                          <w:t>2016</w:t>
                        </w:r>
                      </w:p>
                    </w:tc>
                    <w:tc>
                      <w:tcPr>
                        <w:tcW w:w="812" w:type="dxa"/>
                        <w:tcBorders>
                          <w:top w:val="single" w:sz="4" w:space="0" w:color="231F20"/>
                        </w:tcBorders>
                        <w:shd w:val="clear" w:color="auto" w:fill="D1D3D4"/>
                      </w:tcPr>
                      <w:p>
                        <w:pPr>
                          <w:pStyle w:val="TableParagraph"/>
                          <w:ind w:right="198"/>
                          <w:jc w:val="right"/>
                          <w:rPr>
                            <w:sz w:val="20"/>
                          </w:rPr>
                        </w:pPr>
                        <w:r>
                          <w:rPr>
                            <w:color w:val="231F20"/>
                            <w:sz w:val="20"/>
                          </w:rPr>
                          <w:t>36</w:t>
                        </w:r>
                      </w:p>
                    </w:tc>
                    <w:tc>
                      <w:tcPr>
                        <w:tcW w:w="879" w:type="dxa"/>
                        <w:tcBorders>
                          <w:top w:val="single" w:sz="4" w:space="0" w:color="231F20"/>
                        </w:tcBorders>
                        <w:shd w:val="clear" w:color="auto" w:fill="D1D3D4"/>
                      </w:tcPr>
                      <w:p>
                        <w:pPr/>
                      </w:p>
                    </w:tc>
                    <w:tc>
                      <w:tcPr>
                        <w:tcW w:w="301" w:type="dxa"/>
                        <w:tcBorders>
                          <w:top w:val="single" w:sz="4" w:space="0" w:color="231F20"/>
                        </w:tcBorders>
                        <w:shd w:val="clear" w:color="auto" w:fill="D1D3D4"/>
                      </w:tcPr>
                      <w:p>
                        <w:pPr>
                          <w:pStyle w:val="TableParagraph"/>
                          <w:rPr>
                            <w:sz w:val="20"/>
                          </w:rPr>
                        </w:pPr>
                        <w:r>
                          <w:rPr>
                            <w:color w:val="231F20"/>
                            <w:sz w:val="20"/>
                          </w:rPr>
                          <w:t>—</w:t>
                        </w:r>
                      </w:p>
                    </w:tc>
                    <w:tc>
                      <w:tcPr>
                        <w:tcW w:w="1124" w:type="dxa"/>
                        <w:tcBorders>
                          <w:top w:val="single" w:sz="4" w:space="0" w:color="231F20"/>
                        </w:tcBorders>
                        <w:shd w:val="clear" w:color="auto" w:fill="D1D3D4"/>
                      </w:tcPr>
                      <w:p>
                        <w:pPr>
                          <w:pStyle w:val="TableParagraph"/>
                          <w:ind w:left="442" w:right="442"/>
                          <w:jc w:val="center"/>
                          <w:rPr>
                            <w:sz w:val="20"/>
                          </w:rPr>
                        </w:pPr>
                        <w:r>
                          <w:rPr>
                            <w:color w:val="231F20"/>
                            <w:sz w:val="20"/>
                          </w:rPr>
                          <w:t>17</w:t>
                        </w:r>
                      </w:p>
                    </w:tc>
                    <w:tc>
                      <w:tcPr>
                        <w:tcW w:w="967" w:type="dxa"/>
                        <w:tcBorders>
                          <w:top w:val="single" w:sz="4" w:space="0" w:color="231F20"/>
                        </w:tcBorders>
                        <w:shd w:val="clear" w:color="auto" w:fill="D1D3D4"/>
                      </w:tcPr>
                      <w:p>
                        <w:pPr>
                          <w:pStyle w:val="TableParagraph"/>
                          <w:ind w:right="216"/>
                          <w:jc w:val="right"/>
                          <w:rPr>
                            <w:sz w:val="20"/>
                          </w:rPr>
                        </w:pPr>
                        <w:r>
                          <w:rPr>
                            <w:color w:val="231F20"/>
                            <w:sz w:val="20"/>
                          </w:rPr>
                          <w:t>—</w:t>
                        </w:r>
                      </w:p>
                    </w:tc>
                    <w:tc>
                      <w:tcPr>
                        <w:tcW w:w="1146" w:type="dxa"/>
                        <w:tcBorders>
                          <w:top w:val="single" w:sz="4" w:space="0" w:color="231F20"/>
                        </w:tcBorders>
                        <w:shd w:val="clear" w:color="auto" w:fill="D1D3D4"/>
                      </w:tcPr>
                      <w:p>
                        <w:pPr>
                          <w:pStyle w:val="TableParagraph"/>
                          <w:ind w:left="413"/>
                          <w:rPr>
                            <w:sz w:val="20"/>
                          </w:rPr>
                        </w:pPr>
                        <w:r>
                          <w:rPr>
                            <w:color w:val="231F20"/>
                            <w:sz w:val="20"/>
                          </w:rPr>
                          <w:t>—</w:t>
                        </w:r>
                      </w:p>
                    </w:tc>
                    <w:tc>
                      <w:tcPr>
                        <w:tcW w:w="1404" w:type="dxa"/>
                        <w:tcBorders>
                          <w:top w:val="single" w:sz="4" w:space="0" w:color="231F20"/>
                        </w:tcBorders>
                        <w:shd w:val="clear" w:color="auto" w:fill="D1D3D4"/>
                      </w:tcPr>
                      <w:p>
                        <w:pPr>
                          <w:pStyle w:val="TableParagraph"/>
                          <w:ind w:right="255"/>
                          <w:jc w:val="right"/>
                          <w:rPr>
                            <w:sz w:val="20"/>
                          </w:rPr>
                        </w:pPr>
                        <w:r>
                          <w:rPr>
                            <w:color w:val="231F20"/>
                            <w:sz w:val="20"/>
                          </w:rPr>
                          <w:t>—</w:t>
                        </w:r>
                      </w:p>
                    </w:tc>
                    <w:tc>
                      <w:tcPr>
                        <w:tcW w:w="718" w:type="dxa"/>
                        <w:tcBorders>
                          <w:top w:val="single" w:sz="4" w:space="0" w:color="231F20"/>
                        </w:tcBorders>
                        <w:shd w:val="clear" w:color="auto" w:fill="D1D3D4"/>
                      </w:tcPr>
                      <w:p>
                        <w:pPr/>
                      </w:p>
                    </w:tc>
                    <w:tc>
                      <w:tcPr>
                        <w:tcW w:w="356" w:type="dxa"/>
                        <w:tcBorders>
                          <w:top w:val="single" w:sz="4" w:space="0" w:color="231F20"/>
                        </w:tcBorders>
                        <w:shd w:val="clear" w:color="auto" w:fill="D1D3D4"/>
                      </w:tcPr>
                      <w:p>
                        <w:pPr>
                          <w:pStyle w:val="TableParagraph"/>
                          <w:ind w:left="6"/>
                          <w:rPr>
                            <w:sz w:val="20"/>
                          </w:rPr>
                        </w:pPr>
                        <w:r>
                          <w:rPr>
                            <w:color w:val="231F20"/>
                            <w:sz w:val="20"/>
                          </w:rPr>
                          <w:t>53</w:t>
                        </w:r>
                      </w:p>
                    </w:tc>
                  </w:tr>
                  <w:tr>
                    <w:trPr>
                      <w:trHeight w:val="300" w:hRule="exact"/>
                    </w:trPr>
                    <w:tc>
                      <w:tcPr>
                        <w:tcW w:w="1414" w:type="dxa"/>
                      </w:tcPr>
                      <w:p>
                        <w:pPr>
                          <w:pStyle w:val="TableParagraph"/>
                          <w:rPr>
                            <w:sz w:val="20"/>
                          </w:rPr>
                        </w:pPr>
                        <w:r>
                          <w:rPr>
                            <w:color w:val="231F20"/>
                            <w:sz w:val="20"/>
                          </w:rPr>
                          <w:t>2017</w:t>
                        </w:r>
                      </w:p>
                    </w:tc>
                    <w:tc>
                      <w:tcPr>
                        <w:tcW w:w="812" w:type="dxa"/>
                      </w:tcPr>
                      <w:p>
                        <w:pPr>
                          <w:pStyle w:val="TableParagraph"/>
                          <w:ind w:right="198"/>
                          <w:jc w:val="right"/>
                          <w:rPr>
                            <w:sz w:val="20"/>
                          </w:rPr>
                        </w:pPr>
                        <w:r>
                          <w:rPr>
                            <w:color w:val="231F20"/>
                            <w:sz w:val="20"/>
                          </w:rPr>
                          <w:t>35</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ind w:left="442" w:right="442"/>
                          <w:jc w:val="center"/>
                          <w:rPr>
                            <w:sz w:val="20"/>
                          </w:rPr>
                        </w:pPr>
                        <w:r>
                          <w:rPr>
                            <w:color w:val="231F20"/>
                            <w:sz w:val="20"/>
                          </w:rPr>
                          <w:t>14</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14</w:t>
                        </w:r>
                      </w:p>
                    </w:tc>
                    <w:tc>
                      <w:tcPr>
                        <w:tcW w:w="1404" w:type="dxa"/>
                      </w:tcPr>
                      <w:p>
                        <w:pPr>
                          <w:pStyle w:val="TableParagraph"/>
                          <w:ind w:right="255"/>
                          <w:jc w:val="right"/>
                          <w:rPr>
                            <w:sz w:val="20"/>
                          </w:rPr>
                        </w:pPr>
                        <w:r>
                          <w:rPr>
                            <w:color w:val="231F20"/>
                            <w:sz w:val="20"/>
                          </w:rPr>
                          <w:t>—</w:t>
                        </w:r>
                      </w:p>
                    </w:tc>
                    <w:tc>
                      <w:tcPr>
                        <w:tcW w:w="718" w:type="dxa"/>
                      </w:tcPr>
                      <w:p>
                        <w:pPr/>
                      </w:p>
                    </w:tc>
                    <w:tc>
                      <w:tcPr>
                        <w:tcW w:w="356" w:type="dxa"/>
                      </w:tcPr>
                      <w:p>
                        <w:pPr>
                          <w:pStyle w:val="TableParagraph"/>
                          <w:ind w:left="6"/>
                          <w:rPr>
                            <w:sz w:val="20"/>
                          </w:rPr>
                        </w:pPr>
                        <w:r>
                          <w:rPr>
                            <w:color w:val="231F20"/>
                            <w:sz w:val="20"/>
                          </w:rPr>
                          <w:t>63</w:t>
                        </w:r>
                      </w:p>
                    </w:tc>
                  </w:tr>
                  <w:tr>
                    <w:trPr>
                      <w:trHeight w:val="300" w:hRule="exact"/>
                    </w:trPr>
                    <w:tc>
                      <w:tcPr>
                        <w:tcW w:w="1414" w:type="dxa"/>
                        <w:shd w:val="clear" w:color="auto" w:fill="D1D3D4"/>
                      </w:tcPr>
                      <w:p>
                        <w:pPr>
                          <w:pStyle w:val="TableParagraph"/>
                          <w:rPr>
                            <w:sz w:val="20"/>
                          </w:rPr>
                        </w:pPr>
                        <w:r>
                          <w:rPr>
                            <w:color w:val="231F20"/>
                            <w:sz w:val="20"/>
                          </w:rPr>
                          <w:t>2018</w:t>
                        </w:r>
                      </w:p>
                    </w:tc>
                    <w:tc>
                      <w:tcPr>
                        <w:tcW w:w="812" w:type="dxa"/>
                        <w:shd w:val="clear" w:color="auto" w:fill="D1D3D4"/>
                      </w:tcPr>
                      <w:p>
                        <w:pPr>
                          <w:pStyle w:val="TableParagraph"/>
                          <w:ind w:right="198"/>
                          <w:jc w:val="right"/>
                          <w:rPr>
                            <w:sz w:val="20"/>
                          </w:rPr>
                        </w:pPr>
                        <w:r>
                          <w:rPr>
                            <w:color w:val="231F20"/>
                            <w:sz w:val="20"/>
                          </w:rPr>
                          <w:t>18</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18</w:t>
                        </w:r>
                      </w:p>
                    </w:tc>
                    <w:tc>
                      <w:tcPr>
                        <w:tcW w:w="1124" w:type="dxa"/>
                        <w:shd w:val="clear" w:color="auto" w:fill="D1D3D4"/>
                      </w:tcPr>
                      <w:p>
                        <w:pPr>
                          <w:pStyle w:val="TableParagraph"/>
                          <w:jc w:val="center"/>
                          <w:rPr>
                            <w:sz w:val="20"/>
                          </w:rPr>
                        </w:pPr>
                        <w:r>
                          <w:rPr>
                            <w:color w:val="231F20"/>
                            <w:sz w:val="20"/>
                          </w:rPr>
                          <w:t>4</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13</w:t>
                        </w:r>
                      </w:p>
                    </w:tc>
                    <w:tc>
                      <w:tcPr>
                        <w:tcW w:w="1404" w:type="dxa"/>
                        <w:shd w:val="clear" w:color="auto" w:fill="D1D3D4"/>
                      </w:tcPr>
                      <w:p>
                        <w:pPr>
                          <w:pStyle w:val="TableParagraph"/>
                          <w:ind w:right="255"/>
                          <w:jc w:val="right"/>
                          <w:rPr>
                            <w:sz w:val="20"/>
                          </w:rPr>
                        </w:pPr>
                        <w:r>
                          <w:rPr>
                            <w:color w:val="231F20"/>
                            <w:sz w:val="20"/>
                          </w:rPr>
                          <w:t>—</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53</w:t>
                        </w:r>
                      </w:p>
                    </w:tc>
                  </w:tr>
                  <w:tr>
                    <w:trPr>
                      <w:trHeight w:val="300" w:hRule="exact"/>
                    </w:trPr>
                    <w:tc>
                      <w:tcPr>
                        <w:tcW w:w="1414" w:type="dxa"/>
                      </w:tcPr>
                      <w:p>
                        <w:pPr>
                          <w:pStyle w:val="TableParagraph"/>
                          <w:rPr>
                            <w:sz w:val="20"/>
                          </w:rPr>
                        </w:pPr>
                        <w:r>
                          <w:rPr>
                            <w:color w:val="231F20"/>
                            <w:sz w:val="20"/>
                          </w:rPr>
                          <w:t>2019</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15</w:t>
                        </w:r>
                      </w:p>
                    </w:tc>
                    <w:tc>
                      <w:tcPr>
                        <w:tcW w:w="1146" w:type="dxa"/>
                      </w:tcPr>
                      <w:p>
                        <w:pPr>
                          <w:pStyle w:val="TableParagraph"/>
                          <w:ind w:left="413"/>
                          <w:rPr>
                            <w:sz w:val="20"/>
                          </w:rPr>
                        </w:pPr>
                        <w:r>
                          <w:rPr>
                            <w:color w:val="231F20"/>
                            <w:sz w:val="20"/>
                          </w:rPr>
                          <w:t>10</w:t>
                        </w:r>
                      </w:p>
                    </w:tc>
                    <w:tc>
                      <w:tcPr>
                        <w:tcW w:w="1404" w:type="dxa"/>
                      </w:tcPr>
                      <w:p>
                        <w:pPr>
                          <w:pStyle w:val="TableParagraph"/>
                          <w:ind w:right="255"/>
                          <w:jc w:val="right"/>
                          <w:rPr>
                            <w:sz w:val="20"/>
                          </w:rPr>
                        </w:pPr>
                        <w:r>
                          <w:rPr>
                            <w:color w:val="231F20"/>
                            <w:sz w:val="20"/>
                          </w:rPr>
                          <w:t>—</w:t>
                        </w:r>
                      </w:p>
                    </w:tc>
                    <w:tc>
                      <w:tcPr>
                        <w:tcW w:w="718" w:type="dxa"/>
                      </w:tcPr>
                      <w:p>
                        <w:pPr/>
                      </w:p>
                    </w:tc>
                    <w:tc>
                      <w:tcPr>
                        <w:tcW w:w="356" w:type="dxa"/>
                      </w:tcPr>
                      <w:p>
                        <w:pPr>
                          <w:pStyle w:val="TableParagraph"/>
                          <w:ind w:left="6"/>
                          <w:rPr>
                            <w:sz w:val="20"/>
                          </w:rPr>
                        </w:pPr>
                        <w:r>
                          <w:rPr>
                            <w:color w:val="231F20"/>
                            <w:sz w:val="20"/>
                          </w:rPr>
                          <w:t>25</w:t>
                        </w:r>
                      </w:p>
                    </w:tc>
                  </w:tr>
                  <w:tr>
                    <w:trPr>
                      <w:trHeight w:val="300" w:hRule="exact"/>
                    </w:trPr>
                    <w:tc>
                      <w:tcPr>
                        <w:tcW w:w="1414" w:type="dxa"/>
                        <w:shd w:val="clear" w:color="auto" w:fill="D1D3D4"/>
                      </w:tcPr>
                      <w:p>
                        <w:pPr>
                          <w:pStyle w:val="TableParagraph"/>
                          <w:rPr>
                            <w:sz w:val="20"/>
                          </w:rPr>
                        </w:pPr>
                        <w:r>
                          <w:rPr>
                            <w:color w:val="231F20"/>
                            <w:sz w:val="20"/>
                          </w:rPr>
                          <w:t>2020</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14</w:t>
                        </w:r>
                      </w:p>
                    </w:tc>
                    <w:tc>
                      <w:tcPr>
                        <w:tcW w:w="1146" w:type="dxa"/>
                        <w:shd w:val="clear" w:color="auto" w:fill="D1D3D4"/>
                      </w:tcPr>
                      <w:p>
                        <w:pPr>
                          <w:pStyle w:val="TableParagraph"/>
                          <w:ind w:left="413"/>
                          <w:rPr>
                            <w:sz w:val="20"/>
                          </w:rPr>
                        </w:pPr>
                        <w:r>
                          <w:rPr>
                            <w:color w:val="231F20"/>
                            <w:sz w:val="20"/>
                          </w:rPr>
                          <w:t>22</w:t>
                        </w:r>
                      </w:p>
                    </w:tc>
                    <w:tc>
                      <w:tcPr>
                        <w:tcW w:w="1404" w:type="dxa"/>
                        <w:shd w:val="clear" w:color="auto" w:fill="D1D3D4"/>
                      </w:tcPr>
                      <w:p>
                        <w:pPr>
                          <w:pStyle w:val="TableParagraph"/>
                          <w:ind w:right="255"/>
                          <w:jc w:val="right"/>
                          <w:rPr>
                            <w:sz w:val="20"/>
                          </w:rPr>
                        </w:pPr>
                        <w:r>
                          <w:rPr>
                            <w:color w:val="231F20"/>
                            <w:sz w:val="20"/>
                          </w:rPr>
                          <w:t>—</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36</w:t>
                        </w:r>
                      </w:p>
                    </w:tc>
                  </w:tr>
                  <w:tr>
                    <w:trPr>
                      <w:trHeight w:val="300" w:hRule="exact"/>
                    </w:trPr>
                    <w:tc>
                      <w:tcPr>
                        <w:tcW w:w="1414" w:type="dxa"/>
                      </w:tcPr>
                      <w:p>
                        <w:pPr>
                          <w:pStyle w:val="TableParagraph"/>
                          <w:rPr>
                            <w:sz w:val="20"/>
                          </w:rPr>
                        </w:pPr>
                        <w:r>
                          <w:rPr>
                            <w:color w:val="231F20"/>
                            <w:sz w:val="20"/>
                          </w:rPr>
                          <w:t>2021</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66"/>
                          <w:jc w:val="right"/>
                          <w:rPr>
                            <w:sz w:val="20"/>
                          </w:rPr>
                        </w:pPr>
                        <w:r>
                          <w:rPr>
                            <w:color w:val="231F20"/>
                            <w:sz w:val="20"/>
                          </w:rPr>
                          <w:t>1</w:t>
                        </w:r>
                      </w:p>
                    </w:tc>
                    <w:tc>
                      <w:tcPr>
                        <w:tcW w:w="1146" w:type="dxa"/>
                      </w:tcPr>
                      <w:p>
                        <w:pPr>
                          <w:pStyle w:val="TableParagraph"/>
                          <w:ind w:left="413"/>
                          <w:rPr>
                            <w:sz w:val="20"/>
                          </w:rPr>
                        </w:pPr>
                        <w:r>
                          <w:rPr>
                            <w:color w:val="231F20"/>
                            <w:sz w:val="20"/>
                          </w:rPr>
                          <w:t>33</w:t>
                        </w:r>
                      </w:p>
                    </w:tc>
                    <w:tc>
                      <w:tcPr>
                        <w:tcW w:w="1404" w:type="dxa"/>
                      </w:tcPr>
                      <w:p>
                        <w:pPr>
                          <w:pStyle w:val="TableParagraph"/>
                          <w:ind w:right="255"/>
                          <w:jc w:val="right"/>
                          <w:rPr>
                            <w:sz w:val="20"/>
                          </w:rPr>
                        </w:pPr>
                        <w:r>
                          <w:rPr>
                            <w:color w:val="231F20"/>
                            <w:sz w:val="20"/>
                          </w:rPr>
                          <w:t>18</w:t>
                        </w:r>
                      </w:p>
                    </w:tc>
                    <w:tc>
                      <w:tcPr>
                        <w:tcW w:w="718" w:type="dxa"/>
                      </w:tcPr>
                      <w:p>
                        <w:pPr/>
                      </w:p>
                    </w:tc>
                    <w:tc>
                      <w:tcPr>
                        <w:tcW w:w="356" w:type="dxa"/>
                      </w:tcPr>
                      <w:p>
                        <w:pPr>
                          <w:pStyle w:val="TableParagraph"/>
                          <w:ind w:left="6"/>
                          <w:rPr>
                            <w:sz w:val="20"/>
                          </w:rPr>
                        </w:pPr>
                        <w:r>
                          <w:rPr>
                            <w:color w:val="231F20"/>
                            <w:sz w:val="20"/>
                          </w:rPr>
                          <w:t>52</w:t>
                        </w:r>
                      </w:p>
                    </w:tc>
                  </w:tr>
                  <w:tr>
                    <w:trPr>
                      <w:trHeight w:val="300" w:hRule="exact"/>
                    </w:trPr>
                    <w:tc>
                      <w:tcPr>
                        <w:tcW w:w="1414" w:type="dxa"/>
                        <w:shd w:val="clear" w:color="auto" w:fill="D1D3D4"/>
                      </w:tcPr>
                      <w:p>
                        <w:pPr>
                          <w:pStyle w:val="TableParagraph"/>
                          <w:rPr>
                            <w:sz w:val="20"/>
                          </w:rPr>
                        </w:pPr>
                        <w:r>
                          <w:rPr>
                            <w:color w:val="231F20"/>
                            <w:sz w:val="20"/>
                          </w:rPr>
                          <w:t>2022</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30</w:t>
                        </w:r>
                      </w:p>
                    </w:tc>
                    <w:tc>
                      <w:tcPr>
                        <w:tcW w:w="1404" w:type="dxa"/>
                        <w:shd w:val="clear" w:color="auto" w:fill="D1D3D4"/>
                      </w:tcPr>
                      <w:p>
                        <w:pPr>
                          <w:pStyle w:val="TableParagraph"/>
                          <w:ind w:right="255"/>
                          <w:jc w:val="right"/>
                          <w:rPr>
                            <w:sz w:val="20"/>
                          </w:rPr>
                        </w:pPr>
                        <w:r>
                          <w:rPr>
                            <w:color w:val="231F20"/>
                            <w:sz w:val="20"/>
                          </w:rPr>
                          <w:t>19</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49</w:t>
                        </w:r>
                      </w:p>
                    </w:tc>
                  </w:tr>
                  <w:tr>
                    <w:trPr>
                      <w:trHeight w:val="300" w:hRule="exact"/>
                    </w:trPr>
                    <w:tc>
                      <w:tcPr>
                        <w:tcW w:w="1414" w:type="dxa"/>
                      </w:tcPr>
                      <w:p>
                        <w:pPr>
                          <w:pStyle w:val="TableParagraph"/>
                          <w:rPr>
                            <w:sz w:val="20"/>
                          </w:rPr>
                        </w:pPr>
                        <w:r>
                          <w:rPr>
                            <w:color w:val="231F20"/>
                            <w:sz w:val="20"/>
                          </w:rPr>
                          <w:t>2023</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24</w:t>
                        </w:r>
                      </w:p>
                    </w:tc>
                    <w:tc>
                      <w:tcPr>
                        <w:tcW w:w="1404" w:type="dxa"/>
                      </w:tcPr>
                      <w:p>
                        <w:pPr>
                          <w:pStyle w:val="TableParagraph"/>
                          <w:ind w:right="255"/>
                          <w:jc w:val="right"/>
                          <w:rPr>
                            <w:sz w:val="20"/>
                          </w:rPr>
                        </w:pPr>
                        <w:r>
                          <w:rPr>
                            <w:color w:val="231F20"/>
                            <w:sz w:val="20"/>
                          </w:rPr>
                          <w:t>23</w:t>
                        </w:r>
                      </w:p>
                    </w:tc>
                    <w:tc>
                      <w:tcPr>
                        <w:tcW w:w="718" w:type="dxa"/>
                      </w:tcPr>
                      <w:p>
                        <w:pPr/>
                      </w:p>
                    </w:tc>
                    <w:tc>
                      <w:tcPr>
                        <w:tcW w:w="356" w:type="dxa"/>
                      </w:tcPr>
                      <w:p>
                        <w:pPr>
                          <w:pStyle w:val="TableParagraph"/>
                          <w:ind w:left="6"/>
                          <w:rPr>
                            <w:sz w:val="20"/>
                          </w:rPr>
                        </w:pPr>
                        <w:r>
                          <w:rPr>
                            <w:color w:val="231F20"/>
                            <w:sz w:val="20"/>
                          </w:rPr>
                          <w:t>47</w:t>
                        </w:r>
                      </w:p>
                    </w:tc>
                  </w:tr>
                  <w:tr>
                    <w:trPr>
                      <w:trHeight w:val="300" w:hRule="exact"/>
                    </w:trPr>
                    <w:tc>
                      <w:tcPr>
                        <w:tcW w:w="1414" w:type="dxa"/>
                        <w:shd w:val="clear" w:color="auto" w:fill="D1D3D4"/>
                      </w:tcPr>
                      <w:p>
                        <w:pPr>
                          <w:pStyle w:val="TableParagraph"/>
                          <w:rPr>
                            <w:sz w:val="20"/>
                          </w:rPr>
                        </w:pPr>
                        <w:r>
                          <w:rPr>
                            <w:color w:val="231F20"/>
                            <w:sz w:val="20"/>
                          </w:rPr>
                          <w:t>2024</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24</w:t>
                        </w:r>
                      </w:p>
                    </w:tc>
                    <w:tc>
                      <w:tcPr>
                        <w:tcW w:w="1404" w:type="dxa"/>
                        <w:shd w:val="clear" w:color="auto" w:fill="D1D3D4"/>
                      </w:tcPr>
                      <w:p>
                        <w:pPr>
                          <w:pStyle w:val="TableParagraph"/>
                          <w:ind w:right="255"/>
                          <w:jc w:val="right"/>
                          <w:rPr>
                            <w:sz w:val="20"/>
                          </w:rPr>
                        </w:pPr>
                        <w:r>
                          <w:rPr>
                            <w:color w:val="231F20"/>
                            <w:sz w:val="20"/>
                          </w:rPr>
                          <w:t>23</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47</w:t>
                        </w:r>
                      </w:p>
                    </w:tc>
                  </w:tr>
                  <w:tr>
                    <w:trPr>
                      <w:trHeight w:val="300" w:hRule="exact"/>
                    </w:trPr>
                    <w:tc>
                      <w:tcPr>
                        <w:tcW w:w="1414" w:type="dxa"/>
                      </w:tcPr>
                      <w:p>
                        <w:pPr>
                          <w:pStyle w:val="TableParagraph"/>
                          <w:rPr>
                            <w:sz w:val="20"/>
                          </w:rPr>
                        </w:pPr>
                        <w:r>
                          <w:rPr>
                            <w:color w:val="231F20"/>
                            <w:sz w:val="20"/>
                          </w:rPr>
                          <w:t>2025</w:t>
                        </w:r>
                      </w:p>
                    </w:tc>
                    <w:tc>
                      <w:tcPr>
                        <w:tcW w:w="812" w:type="dxa"/>
                      </w:tcPr>
                      <w:p>
                        <w:pPr>
                          <w:pStyle w:val="TableParagraph"/>
                          <w:ind w:right="198"/>
                          <w:jc w:val="right"/>
                          <w:rPr>
                            <w:sz w:val="20"/>
                          </w:rPr>
                        </w:pPr>
                        <w:r>
                          <w:rPr>
                            <w:color w:val="231F20"/>
                            <w:sz w:val="20"/>
                          </w:rPr>
                          <w:t>—</w:t>
                        </w:r>
                      </w:p>
                    </w:tc>
                    <w:tc>
                      <w:tcPr>
                        <w:tcW w:w="879" w:type="dxa"/>
                      </w:tcPr>
                      <w:p>
                        <w:pPr/>
                      </w:p>
                    </w:tc>
                    <w:tc>
                      <w:tcPr>
                        <w:tcW w:w="301" w:type="dxa"/>
                      </w:tcPr>
                      <w:p>
                        <w:pPr>
                          <w:pStyle w:val="TableParagraph"/>
                          <w:rPr>
                            <w:sz w:val="20"/>
                          </w:rPr>
                        </w:pPr>
                        <w:r>
                          <w:rPr>
                            <w:color w:val="231F20"/>
                            <w:sz w:val="20"/>
                          </w:rPr>
                          <w:t>—</w:t>
                        </w:r>
                      </w:p>
                    </w:tc>
                    <w:tc>
                      <w:tcPr>
                        <w:tcW w:w="1124" w:type="dxa"/>
                      </w:tcPr>
                      <w:p>
                        <w:pPr>
                          <w:pStyle w:val="TableParagraph"/>
                          <w:jc w:val="center"/>
                          <w:rPr>
                            <w:sz w:val="20"/>
                          </w:rPr>
                        </w:pPr>
                        <w:r>
                          <w:rPr>
                            <w:color w:val="231F20"/>
                            <w:sz w:val="20"/>
                          </w:rPr>
                          <w:t>—</w:t>
                        </w:r>
                      </w:p>
                    </w:tc>
                    <w:tc>
                      <w:tcPr>
                        <w:tcW w:w="967" w:type="dxa"/>
                      </w:tcPr>
                      <w:p>
                        <w:pPr>
                          <w:pStyle w:val="TableParagraph"/>
                          <w:ind w:right="216"/>
                          <w:jc w:val="right"/>
                          <w:rPr>
                            <w:sz w:val="20"/>
                          </w:rPr>
                        </w:pPr>
                        <w:r>
                          <w:rPr>
                            <w:color w:val="231F20"/>
                            <w:sz w:val="20"/>
                          </w:rPr>
                          <w:t>—</w:t>
                        </w:r>
                      </w:p>
                    </w:tc>
                    <w:tc>
                      <w:tcPr>
                        <w:tcW w:w="1146" w:type="dxa"/>
                      </w:tcPr>
                      <w:p>
                        <w:pPr>
                          <w:pStyle w:val="TableParagraph"/>
                          <w:ind w:left="413"/>
                          <w:rPr>
                            <w:sz w:val="20"/>
                          </w:rPr>
                        </w:pPr>
                        <w:r>
                          <w:rPr>
                            <w:color w:val="231F20"/>
                            <w:sz w:val="20"/>
                          </w:rPr>
                          <w:t>—</w:t>
                        </w:r>
                      </w:p>
                    </w:tc>
                    <w:tc>
                      <w:tcPr>
                        <w:tcW w:w="1404" w:type="dxa"/>
                      </w:tcPr>
                      <w:p>
                        <w:pPr>
                          <w:pStyle w:val="TableParagraph"/>
                          <w:ind w:right="255"/>
                          <w:jc w:val="right"/>
                          <w:rPr>
                            <w:sz w:val="20"/>
                          </w:rPr>
                        </w:pPr>
                        <w:r>
                          <w:rPr>
                            <w:color w:val="231F20"/>
                            <w:sz w:val="20"/>
                          </w:rPr>
                          <w:t>36</w:t>
                        </w:r>
                      </w:p>
                    </w:tc>
                    <w:tc>
                      <w:tcPr>
                        <w:tcW w:w="718" w:type="dxa"/>
                      </w:tcPr>
                      <w:p>
                        <w:pPr/>
                      </w:p>
                    </w:tc>
                    <w:tc>
                      <w:tcPr>
                        <w:tcW w:w="356" w:type="dxa"/>
                      </w:tcPr>
                      <w:p>
                        <w:pPr>
                          <w:pStyle w:val="TableParagraph"/>
                          <w:ind w:left="6"/>
                          <w:rPr>
                            <w:sz w:val="20"/>
                          </w:rPr>
                        </w:pPr>
                        <w:r>
                          <w:rPr>
                            <w:color w:val="231F20"/>
                            <w:sz w:val="20"/>
                          </w:rPr>
                          <w:t>36</w:t>
                        </w:r>
                      </w:p>
                    </w:tc>
                  </w:tr>
                  <w:tr>
                    <w:trPr>
                      <w:trHeight w:val="300" w:hRule="exact"/>
                    </w:trPr>
                    <w:tc>
                      <w:tcPr>
                        <w:tcW w:w="1414" w:type="dxa"/>
                        <w:shd w:val="clear" w:color="auto" w:fill="D1D3D4"/>
                      </w:tcPr>
                      <w:p>
                        <w:pPr>
                          <w:pStyle w:val="TableParagraph"/>
                          <w:rPr>
                            <w:sz w:val="20"/>
                          </w:rPr>
                        </w:pPr>
                        <w:r>
                          <w:rPr>
                            <w:color w:val="231F20"/>
                            <w:sz w:val="20"/>
                          </w:rPr>
                          <w:t>2026</w:t>
                        </w:r>
                      </w:p>
                    </w:tc>
                    <w:tc>
                      <w:tcPr>
                        <w:tcW w:w="812" w:type="dxa"/>
                        <w:shd w:val="clear" w:color="auto" w:fill="D1D3D4"/>
                      </w:tcPr>
                      <w:p>
                        <w:pPr>
                          <w:pStyle w:val="TableParagraph"/>
                          <w:ind w:right="198"/>
                          <w:jc w:val="right"/>
                          <w:rPr>
                            <w:sz w:val="20"/>
                          </w:rPr>
                        </w:pPr>
                        <w:r>
                          <w:rPr>
                            <w:color w:val="231F20"/>
                            <w:sz w:val="20"/>
                          </w:rPr>
                          <w:t>—</w:t>
                        </w:r>
                      </w:p>
                    </w:tc>
                    <w:tc>
                      <w:tcPr>
                        <w:tcW w:w="879" w:type="dxa"/>
                        <w:shd w:val="clear" w:color="auto" w:fill="D1D3D4"/>
                      </w:tcPr>
                      <w:p>
                        <w:pPr/>
                      </w:p>
                    </w:tc>
                    <w:tc>
                      <w:tcPr>
                        <w:tcW w:w="301" w:type="dxa"/>
                        <w:shd w:val="clear" w:color="auto" w:fill="D1D3D4"/>
                      </w:tcPr>
                      <w:p>
                        <w:pPr>
                          <w:pStyle w:val="TableParagraph"/>
                          <w:rPr>
                            <w:sz w:val="20"/>
                          </w:rPr>
                        </w:pPr>
                        <w:r>
                          <w:rPr>
                            <w:color w:val="231F20"/>
                            <w:sz w:val="20"/>
                          </w:rPr>
                          <w:t>—</w:t>
                        </w:r>
                      </w:p>
                    </w:tc>
                    <w:tc>
                      <w:tcPr>
                        <w:tcW w:w="1124" w:type="dxa"/>
                        <w:shd w:val="clear" w:color="auto" w:fill="D1D3D4"/>
                      </w:tcPr>
                      <w:p>
                        <w:pPr>
                          <w:pStyle w:val="TableParagraph"/>
                          <w:jc w:val="center"/>
                          <w:rPr>
                            <w:sz w:val="20"/>
                          </w:rPr>
                        </w:pPr>
                        <w:r>
                          <w:rPr>
                            <w:color w:val="231F20"/>
                            <w:sz w:val="20"/>
                          </w:rPr>
                          <w:t>—</w:t>
                        </w:r>
                      </w:p>
                    </w:tc>
                    <w:tc>
                      <w:tcPr>
                        <w:tcW w:w="967" w:type="dxa"/>
                        <w:shd w:val="clear" w:color="auto" w:fill="D1D3D4"/>
                      </w:tcPr>
                      <w:p>
                        <w:pPr>
                          <w:pStyle w:val="TableParagraph"/>
                          <w:ind w:right="216"/>
                          <w:jc w:val="right"/>
                          <w:rPr>
                            <w:sz w:val="20"/>
                          </w:rPr>
                        </w:pPr>
                        <w:r>
                          <w:rPr>
                            <w:color w:val="231F20"/>
                            <w:sz w:val="20"/>
                          </w:rPr>
                          <w:t>—</w:t>
                        </w:r>
                      </w:p>
                    </w:tc>
                    <w:tc>
                      <w:tcPr>
                        <w:tcW w:w="1146" w:type="dxa"/>
                        <w:shd w:val="clear" w:color="auto" w:fill="D1D3D4"/>
                      </w:tcPr>
                      <w:p>
                        <w:pPr>
                          <w:pStyle w:val="TableParagraph"/>
                          <w:ind w:left="413"/>
                          <w:rPr>
                            <w:sz w:val="20"/>
                          </w:rPr>
                        </w:pPr>
                        <w:r>
                          <w:rPr>
                            <w:color w:val="231F20"/>
                            <w:sz w:val="20"/>
                          </w:rPr>
                          <w:t>—</w:t>
                        </w:r>
                      </w:p>
                    </w:tc>
                    <w:tc>
                      <w:tcPr>
                        <w:tcW w:w="1404" w:type="dxa"/>
                        <w:shd w:val="clear" w:color="auto" w:fill="D1D3D4"/>
                      </w:tcPr>
                      <w:p>
                        <w:pPr>
                          <w:pStyle w:val="TableParagraph"/>
                          <w:ind w:right="255"/>
                          <w:jc w:val="right"/>
                          <w:rPr>
                            <w:sz w:val="20"/>
                          </w:rPr>
                        </w:pPr>
                        <w:r>
                          <w:rPr>
                            <w:color w:val="231F20"/>
                            <w:sz w:val="20"/>
                          </w:rPr>
                          <w:t>36</w:t>
                        </w:r>
                      </w:p>
                    </w:tc>
                    <w:tc>
                      <w:tcPr>
                        <w:tcW w:w="718" w:type="dxa"/>
                        <w:shd w:val="clear" w:color="auto" w:fill="D1D3D4"/>
                      </w:tcPr>
                      <w:p>
                        <w:pPr/>
                      </w:p>
                    </w:tc>
                    <w:tc>
                      <w:tcPr>
                        <w:tcW w:w="356" w:type="dxa"/>
                        <w:shd w:val="clear" w:color="auto" w:fill="D1D3D4"/>
                      </w:tcPr>
                      <w:p>
                        <w:pPr>
                          <w:pStyle w:val="TableParagraph"/>
                          <w:ind w:left="6"/>
                          <w:rPr>
                            <w:sz w:val="20"/>
                          </w:rPr>
                        </w:pPr>
                        <w:r>
                          <w:rPr>
                            <w:color w:val="231F20"/>
                            <w:sz w:val="20"/>
                          </w:rPr>
                          <w:t>36</w:t>
                        </w:r>
                      </w:p>
                    </w:tc>
                  </w:tr>
                  <w:tr>
                    <w:trPr>
                      <w:trHeight w:val="284" w:hRule="exact"/>
                    </w:trPr>
                    <w:tc>
                      <w:tcPr>
                        <w:tcW w:w="1414" w:type="dxa"/>
                        <w:tcBorders>
                          <w:bottom w:val="single" w:sz="4" w:space="0" w:color="231F20"/>
                        </w:tcBorders>
                      </w:tcPr>
                      <w:p>
                        <w:pPr>
                          <w:pStyle w:val="TableParagraph"/>
                          <w:rPr>
                            <w:sz w:val="20"/>
                          </w:rPr>
                        </w:pPr>
                        <w:r>
                          <w:rPr>
                            <w:color w:val="231F20"/>
                            <w:sz w:val="20"/>
                          </w:rPr>
                          <w:t>2027</w:t>
                        </w:r>
                      </w:p>
                    </w:tc>
                    <w:tc>
                      <w:tcPr>
                        <w:tcW w:w="812" w:type="dxa"/>
                        <w:tcBorders>
                          <w:bottom w:val="single" w:sz="4" w:space="0" w:color="231F20"/>
                        </w:tcBorders>
                      </w:tcPr>
                      <w:p>
                        <w:pPr>
                          <w:pStyle w:val="TableParagraph"/>
                          <w:ind w:right="198"/>
                          <w:jc w:val="right"/>
                          <w:rPr>
                            <w:sz w:val="20"/>
                          </w:rPr>
                        </w:pPr>
                        <w:r>
                          <w:rPr>
                            <w:color w:val="231F20"/>
                            <w:sz w:val="20"/>
                          </w:rPr>
                          <w:t>—</w:t>
                        </w:r>
                      </w:p>
                    </w:tc>
                    <w:tc>
                      <w:tcPr>
                        <w:tcW w:w="879" w:type="dxa"/>
                        <w:tcBorders>
                          <w:bottom w:val="single" w:sz="4" w:space="0" w:color="231F20"/>
                        </w:tcBorders>
                      </w:tcPr>
                      <w:p>
                        <w:pPr/>
                      </w:p>
                    </w:tc>
                    <w:tc>
                      <w:tcPr>
                        <w:tcW w:w="301" w:type="dxa"/>
                        <w:tcBorders>
                          <w:bottom w:val="single" w:sz="4" w:space="0" w:color="231F20"/>
                        </w:tcBorders>
                      </w:tcPr>
                      <w:p>
                        <w:pPr>
                          <w:pStyle w:val="TableParagraph"/>
                          <w:rPr>
                            <w:sz w:val="20"/>
                          </w:rPr>
                        </w:pPr>
                        <w:r>
                          <w:rPr>
                            <w:color w:val="231F20"/>
                            <w:sz w:val="20"/>
                          </w:rPr>
                          <w:t>—</w:t>
                        </w:r>
                      </w:p>
                    </w:tc>
                    <w:tc>
                      <w:tcPr>
                        <w:tcW w:w="1124" w:type="dxa"/>
                        <w:tcBorders>
                          <w:bottom w:val="single" w:sz="4" w:space="0" w:color="231F20"/>
                        </w:tcBorders>
                      </w:tcPr>
                      <w:p>
                        <w:pPr>
                          <w:pStyle w:val="TableParagraph"/>
                          <w:jc w:val="center"/>
                          <w:rPr>
                            <w:sz w:val="20"/>
                          </w:rPr>
                        </w:pPr>
                        <w:r>
                          <w:rPr>
                            <w:color w:val="231F20"/>
                            <w:sz w:val="20"/>
                          </w:rPr>
                          <w:t>—</w:t>
                        </w:r>
                      </w:p>
                    </w:tc>
                    <w:tc>
                      <w:tcPr>
                        <w:tcW w:w="967" w:type="dxa"/>
                        <w:tcBorders>
                          <w:bottom w:val="single" w:sz="4" w:space="0" w:color="231F20"/>
                        </w:tcBorders>
                      </w:tcPr>
                      <w:p>
                        <w:pPr>
                          <w:pStyle w:val="TableParagraph"/>
                          <w:ind w:right="216"/>
                          <w:jc w:val="right"/>
                          <w:rPr>
                            <w:sz w:val="20"/>
                          </w:rPr>
                        </w:pPr>
                        <w:r>
                          <w:rPr>
                            <w:color w:val="231F20"/>
                            <w:sz w:val="20"/>
                          </w:rPr>
                          <w:t>—</w:t>
                        </w:r>
                      </w:p>
                    </w:tc>
                    <w:tc>
                      <w:tcPr>
                        <w:tcW w:w="1146" w:type="dxa"/>
                        <w:tcBorders>
                          <w:bottom w:val="single" w:sz="4" w:space="0" w:color="231F20"/>
                        </w:tcBorders>
                      </w:tcPr>
                      <w:p>
                        <w:pPr>
                          <w:pStyle w:val="TableParagraph"/>
                          <w:ind w:left="413"/>
                          <w:rPr>
                            <w:sz w:val="20"/>
                          </w:rPr>
                        </w:pPr>
                        <w:r>
                          <w:rPr>
                            <w:color w:val="231F20"/>
                            <w:sz w:val="20"/>
                          </w:rPr>
                          <w:t>—</w:t>
                        </w:r>
                      </w:p>
                    </w:tc>
                    <w:tc>
                      <w:tcPr>
                        <w:tcW w:w="1404" w:type="dxa"/>
                        <w:tcBorders>
                          <w:bottom w:val="single" w:sz="4" w:space="0" w:color="231F20"/>
                        </w:tcBorders>
                      </w:tcPr>
                      <w:p>
                        <w:pPr>
                          <w:pStyle w:val="TableParagraph"/>
                          <w:ind w:right="255"/>
                          <w:jc w:val="right"/>
                          <w:rPr>
                            <w:sz w:val="20"/>
                          </w:rPr>
                        </w:pPr>
                        <w:r>
                          <w:rPr>
                            <w:color w:val="231F20"/>
                            <w:sz w:val="20"/>
                          </w:rPr>
                          <w:t>36</w:t>
                        </w:r>
                      </w:p>
                    </w:tc>
                    <w:tc>
                      <w:tcPr>
                        <w:tcW w:w="718" w:type="dxa"/>
                        <w:tcBorders>
                          <w:bottom w:val="single" w:sz="4" w:space="0" w:color="231F20"/>
                        </w:tcBorders>
                      </w:tcPr>
                      <w:p>
                        <w:pPr/>
                      </w:p>
                    </w:tc>
                    <w:tc>
                      <w:tcPr>
                        <w:tcW w:w="356" w:type="dxa"/>
                        <w:tcBorders>
                          <w:bottom w:val="single" w:sz="4" w:space="0" w:color="231F20"/>
                        </w:tcBorders>
                      </w:tcPr>
                      <w:p>
                        <w:pPr>
                          <w:pStyle w:val="TableParagraph"/>
                          <w:ind w:left="6"/>
                          <w:rPr>
                            <w:sz w:val="20"/>
                          </w:rPr>
                        </w:pPr>
                        <w:r>
                          <w:rPr>
                            <w:color w:val="231F20"/>
                            <w:sz w:val="20"/>
                          </w:rPr>
                          <w:t>36</w:t>
                        </w:r>
                      </w:p>
                    </w:tc>
                  </w:tr>
                  <w:tr>
                    <w:trPr>
                      <w:trHeight w:val="351" w:hRule="exact"/>
                    </w:trPr>
                    <w:tc>
                      <w:tcPr>
                        <w:tcW w:w="9120" w:type="dxa"/>
                        <w:gridSpan w:val="10"/>
                        <w:tcBorders>
                          <w:top w:val="single" w:sz="4" w:space="0" w:color="231F20"/>
                          <w:bottom w:val="single" w:sz="4" w:space="0" w:color="231F20"/>
                        </w:tcBorders>
                        <w:shd w:val="clear" w:color="auto" w:fill="D1D3D4"/>
                      </w:tcPr>
                      <w:p>
                        <w:pPr>
                          <w:pStyle w:val="TableParagraph"/>
                          <w:tabs>
                            <w:tab w:pos="1825" w:val="left" w:leader="none"/>
                            <w:tab w:pos="3105" w:val="left" w:leader="none"/>
                            <w:tab w:pos="3842" w:val="left" w:leader="none"/>
                            <w:tab w:pos="4442" w:val="left" w:leader="none"/>
                            <w:tab w:pos="5079" w:val="left" w:leader="none"/>
                            <w:tab w:pos="5884" w:val="left" w:leader="none"/>
                            <w:tab w:pos="6584" w:val="left" w:leader="none"/>
                            <w:tab w:pos="7539" w:val="left" w:leader="none"/>
                            <w:tab w:pos="9019" w:val="right" w:leader="none"/>
                          </w:tabs>
                          <w:ind w:left="100"/>
                          <w:rPr>
                            <w:sz w:val="20"/>
                          </w:rPr>
                        </w:pPr>
                        <w:r>
                          <w:rPr>
                            <w:color w:val="231F20"/>
                            <w:sz w:val="20"/>
                          </w:rPr>
                          <w:t>Total</w:t>
                          <w:tab/>
                          <w:t>89</w:t>
                          <w:tab/>
                          <w:t>18</w:t>
                          <w:tab/>
                          <w:t>35</w:t>
                          <w:tab/>
                        </w:r>
                        <w:r>
                          <w:rPr>
                            <w:b/>
                            <w:color w:val="231F20"/>
                            <w:sz w:val="20"/>
                          </w:rPr>
                          <w:t>(b)</w:t>
                          <w:tab/>
                        </w:r>
                        <w:r>
                          <w:rPr>
                            <w:color w:val="231F20"/>
                            <w:sz w:val="20"/>
                          </w:rPr>
                          <w:t>30</w:t>
                          <w:tab/>
                          <w:t>170</w:t>
                          <w:tab/>
                        </w:r>
                        <w:r>
                          <w:rPr>
                            <w:b/>
                            <w:color w:val="231F20"/>
                            <w:sz w:val="20"/>
                          </w:rPr>
                          <w:t>(a)</w:t>
                          <w:tab/>
                        </w:r>
                        <w:r>
                          <w:rPr>
                            <w:color w:val="231F20"/>
                            <w:sz w:val="20"/>
                          </w:rPr>
                          <w:t>191</w:t>
                          <w:tab/>
                          <w:t>533</w:t>
                        </w:r>
                      </w:p>
                    </w:tc>
                  </w:tr>
                </w:tbl>
                <w:p>
                  <w:pPr>
                    <w:pStyle w:val="BodyText"/>
                  </w:pPr>
                </w:p>
              </w:txbxContent>
            </v:textbox>
            <w10:wrap type="none"/>
          </v:shape>
        </w:pict>
      </w:r>
      <w:r>
        <w:rPr>
          <w:b/>
          <w:color w:val="231F20"/>
          <w:sz w:val="20"/>
        </w:rPr>
        <w:t>-800</w:t>
      </w:r>
    </w:p>
    <w:p>
      <w:pPr>
        <w:pStyle w:val="BodyText"/>
        <w:spacing w:before="7"/>
        <w:rPr>
          <w:b/>
          <w:sz w:val="18"/>
        </w:rPr>
      </w:pPr>
      <w:r>
        <w:rPr/>
        <w:br w:type="column"/>
      </w:r>
      <w:r>
        <w:rPr>
          <w:b/>
          <w:sz w:val="18"/>
        </w:rPr>
      </w:r>
    </w:p>
    <w:p>
      <w:pPr>
        <w:spacing w:line="200" w:lineRule="exact" w:before="0"/>
        <w:ind w:left="1973" w:right="2081" w:firstLine="0"/>
        <w:jc w:val="center"/>
        <w:rPr>
          <w:b/>
          <w:sz w:val="20"/>
        </w:rPr>
      </w:pPr>
      <w:r>
        <w:rPr>
          <w:b/>
          <w:color w:val="231F20"/>
          <w:sz w:val="20"/>
        </w:rPr>
        <w:t>The Boeing Company</w:t>
      </w:r>
      <w:r>
        <w:rPr>
          <w:b/>
          <w:color w:val="231F20"/>
          <w:w w:val="99"/>
          <w:sz w:val="20"/>
        </w:rPr>
        <w:t> </w:t>
      </w:r>
      <w:r>
        <w:rPr>
          <w:b/>
          <w:color w:val="231F20"/>
          <w:sz w:val="20"/>
        </w:rPr>
        <w:t>737 MAX</w:t>
      </w:r>
    </w:p>
    <w:p>
      <w:pPr>
        <w:pStyle w:val="BodyText"/>
        <w:spacing w:line="20" w:lineRule="exact"/>
        <w:ind w:left="1280"/>
        <w:rPr>
          <w:sz w:val="2"/>
        </w:rPr>
      </w:pPr>
      <w:r>
        <w:rPr>
          <w:sz w:val="2"/>
        </w:rPr>
        <w:pict>
          <v:group style="width:162.1pt;height:1pt;mso-position-horizontal-relative:char;mso-position-vertical-relative:line" coordorigin="0,0" coordsize="3242,20">
            <v:line style="position:absolute" from="10,10" to="3232,10" stroked="true" strokeweight="1pt" strokecolor="#231f20">
              <v:stroke dashstyle="solid"/>
            </v:line>
          </v:group>
        </w:pict>
      </w:r>
      <w:r>
        <w:rPr>
          <w:sz w:val="2"/>
        </w:rPr>
      </w:r>
    </w:p>
    <w:p>
      <w:pPr>
        <w:tabs>
          <w:tab w:pos="2608" w:val="left" w:leader="none"/>
        </w:tabs>
        <w:spacing w:before="32"/>
        <w:ind w:left="1537" w:right="0" w:firstLine="0"/>
        <w:jc w:val="left"/>
        <w:rPr>
          <w:b/>
          <w:sz w:val="20"/>
        </w:rPr>
      </w:pPr>
      <w:r>
        <w:rPr>
          <w:b/>
          <w:color w:val="231F20"/>
          <w:sz w:val="20"/>
        </w:rPr>
        <w:t>-7</w:t>
        <w:tab/>
        <w:t>-8</w:t>
      </w:r>
    </w:p>
    <w:p>
      <w:pPr>
        <w:spacing w:after="0"/>
        <w:jc w:val="left"/>
        <w:rPr>
          <w:sz w:val="20"/>
        </w:rPr>
        <w:sectPr>
          <w:type w:val="continuous"/>
          <w:pgSz w:w="11880" w:h="15480"/>
          <w:pgMar w:top="1260" w:bottom="280" w:left="1260" w:right="1260"/>
          <w:cols w:num="2" w:equalWidth="0">
            <w:col w:w="3408" w:space="40"/>
            <w:col w:w="5912"/>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after="1"/>
        <w:rPr>
          <w:b/>
          <w:sz w:val="16"/>
        </w:rPr>
      </w:pPr>
    </w:p>
    <w:p>
      <w:pPr>
        <w:pStyle w:val="BodyText"/>
        <w:spacing w:line="20" w:lineRule="exact"/>
        <w:ind w:left="115"/>
        <w:rPr>
          <w:sz w:val="2"/>
        </w:rPr>
      </w:pPr>
      <w:r>
        <w:rPr>
          <w:sz w:val="2"/>
        </w:rPr>
        <w:pict>
          <v:group style="width:456.5pt;height:.5pt;mso-position-horizontal-relative:char;mso-position-vertical-relative:line" coordorigin="0,0" coordsize="9130,10">
            <v:line style="position:absolute" from="5,5" to="9125,5" stroked="true" strokeweight=".5pt" strokecolor="#231f20">
              <v:stroke dashstyle="solid"/>
            </v:line>
          </v:group>
        </w:pict>
      </w:r>
      <w:r>
        <w:rPr>
          <w:sz w:val="2"/>
        </w:rPr>
      </w:r>
    </w:p>
    <w:p>
      <w:pPr>
        <w:pStyle w:val="BodyText"/>
        <w:spacing w:before="1"/>
        <w:rPr>
          <w:b/>
          <w:sz w:val="19"/>
        </w:rPr>
      </w:pPr>
    </w:p>
    <w:p>
      <w:pPr>
        <w:pStyle w:val="ListParagraph"/>
        <w:numPr>
          <w:ilvl w:val="0"/>
          <w:numId w:val="13"/>
        </w:numPr>
        <w:tabs>
          <w:tab w:pos="419" w:val="left" w:leader="none"/>
        </w:tabs>
        <w:spacing w:line="240" w:lineRule="auto" w:before="93" w:after="0"/>
        <w:ind w:left="419" w:right="0" w:hanging="299"/>
        <w:jc w:val="both"/>
        <w:rPr>
          <w:sz w:val="22"/>
        </w:rPr>
      </w:pPr>
      <w:r>
        <w:rPr>
          <w:color w:val="231F20"/>
          <w:sz w:val="22"/>
        </w:rPr>
        <w:t>The Company has flexibility to substitute MAX 7 in lieu of MAX 8 firm orders beginning in</w:t>
      </w:r>
      <w:r>
        <w:rPr>
          <w:color w:val="231F20"/>
          <w:spacing w:val="-7"/>
          <w:sz w:val="22"/>
        </w:rPr>
        <w:t> </w:t>
      </w:r>
      <w:r>
        <w:rPr>
          <w:color w:val="231F20"/>
          <w:sz w:val="22"/>
        </w:rPr>
        <w:t>2019.</w:t>
      </w:r>
    </w:p>
    <w:p>
      <w:pPr>
        <w:pStyle w:val="ListParagraph"/>
        <w:numPr>
          <w:ilvl w:val="0"/>
          <w:numId w:val="13"/>
        </w:numPr>
        <w:tabs>
          <w:tab w:pos="431" w:val="left" w:leader="none"/>
        </w:tabs>
        <w:spacing w:line="240" w:lineRule="auto" w:before="7" w:after="0"/>
        <w:ind w:left="431" w:right="0" w:hanging="311"/>
        <w:jc w:val="both"/>
        <w:rPr>
          <w:sz w:val="22"/>
        </w:rPr>
      </w:pPr>
      <w:r>
        <w:rPr>
          <w:color w:val="231F20"/>
          <w:sz w:val="22"/>
        </w:rPr>
        <w:t>To be acquired in leases from various third</w:t>
      </w:r>
      <w:r>
        <w:rPr>
          <w:color w:val="231F20"/>
          <w:spacing w:val="-3"/>
          <w:sz w:val="22"/>
        </w:rPr>
        <w:t> </w:t>
      </w:r>
      <w:r>
        <w:rPr>
          <w:color w:val="231F20"/>
          <w:sz w:val="22"/>
        </w:rPr>
        <w:t>parties.</w:t>
      </w:r>
    </w:p>
    <w:p>
      <w:pPr>
        <w:pStyle w:val="BodyText"/>
        <w:spacing w:before="5"/>
        <w:rPr>
          <w:sz w:val="20"/>
        </w:rPr>
      </w:pPr>
    </w:p>
    <w:p>
      <w:pPr>
        <w:pStyle w:val="BodyText"/>
        <w:spacing w:line="247" w:lineRule="auto"/>
        <w:ind w:left="120" w:right="117"/>
        <w:jc w:val="both"/>
      </w:pPr>
      <w:r>
        <w:rPr>
          <w:color w:val="231F20"/>
        </w:rPr>
        <w:t>The Company’s financial commitments associated with the Boeing firm orders and additional scheduled deliveries in the above aircraft table are as follows: $1.1 billion in 2016, $1.3 billion in  2017, $1.1 billion in 2018, $1.2 billion in 2019, $1.5 billion in 2020, and $4.4 billion</w:t>
      </w:r>
      <w:r>
        <w:rPr>
          <w:color w:val="231F20"/>
          <w:spacing w:val="-6"/>
        </w:rPr>
        <w:t> </w:t>
      </w:r>
      <w:r>
        <w:rPr>
          <w:color w:val="231F20"/>
        </w:rPr>
        <w:t>thereafter.</w:t>
      </w:r>
    </w:p>
    <w:p>
      <w:pPr>
        <w:pStyle w:val="BodyText"/>
        <w:spacing w:before="9"/>
        <w:rPr>
          <w:sz w:val="19"/>
        </w:rPr>
      </w:pPr>
    </w:p>
    <w:p>
      <w:pPr>
        <w:pStyle w:val="Heading1"/>
        <w:ind w:left="120"/>
      </w:pPr>
      <w:r>
        <w:rPr>
          <w:color w:val="231F20"/>
        </w:rPr>
        <w:t>Fort Lauderdale-Hollywood International Airport</w:t>
      </w:r>
    </w:p>
    <w:p>
      <w:pPr>
        <w:pStyle w:val="BodyText"/>
        <w:spacing w:before="4"/>
        <w:rPr>
          <w:b/>
          <w:sz w:val="20"/>
        </w:rPr>
      </w:pPr>
    </w:p>
    <w:p>
      <w:pPr>
        <w:pStyle w:val="BodyText"/>
        <w:spacing w:line="247" w:lineRule="auto" w:before="1"/>
        <w:ind w:left="120" w:right="117"/>
        <w:jc w:val="both"/>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at a cost not to exceed $295  million. In addition to significant improvements to the existing Terminal 1, the project includes the design and construction of a new five-gate Concourse A with an international processing facility. Funding for the project will come directly from Broward County sources, but will flow through the Company in its capacity as manager of  the  project.  Major  construction  on  the  project  began  during third quarter 2015 and is estimated to be completed during 2017. The Company believes that, due to its agreed upon role in overseeing and managing the project, it is considered the owner of the project for accounting purposes. As such, during construction, the Company records expenditures as Assets constructed for others in the Consolidated Balance Sheet, along with a corresponding outflow within Assets constructed for others in the Consolidated Statement of Cash Flows, and an increase to Construction   obligation   (with   a   corresponding   cash   inflow   from   Financing   activities   in</w:t>
      </w:r>
      <w:r>
        <w:rPr>
          <w:color w:val="231F20"/>
          <w:spacing w:val="53"/>
        </w:rPr>
        <w:t> </w:t>
      </w:r>
      <w:r>
        <w:rPr>
          <w:color w:val="231F20"/>
        </w:rPr>
        <w:t>the</w:t>
      </w:r>
    </w:p>
    <w:p>
      <w:pPr>
        <w:spacing w:after="0" w:line="247" w:lineRule="auto"/>
        <w:jc w:val="both"/>
        <w:sectPr>
          <w:type w:val="continuous"/>
          <w:pgSz w:w="11880" w:h="15480"/>
          <w:pgMar w:top="1260" w:bottom="280" w:left="1260" w:right="1260"/>
        </w:sectPr>
      </w:pPr>
    </w:p>
    <w:p>
      <w:pPr>
        <w:pStyle w:val="BodyText"/>
        <w:spacing w:line="247" w:lineRule="auto" w:before="74"/>
        <w:ind w:left="100" w:right="118"/>
        <w:jc w:val="both"/>
      </w:pPr>
      <w:r>
        <w:rPr>
          <w:color w:val="231F20"/>
        </w:rPr>
        <w:t>Consolidated Statement of Cash Flows) as reimbursements are received from Broward County. As     of  December  31,  2015,  the  Company  had  recorded  construction  costs  related  to  the  project      of $25</w:t>
      </w:r>
      <w:r>
        <w:rPr>
          <w:color w:val="231F20"/>
          <w:spacing w:val="-1"/>
        </w:rPr>
        <w:t> </w:t>
      </w:r>
      <w:r>
        <w:rPr>
          <w:color w:val="231F20"/>
        </w:rPr>
        <w:t>million.</w:t>
      </w:r>
    </w:p>
    <w:p>
      <w:pPr>
        <w:pStyle w:val="BodyText"/>
        <w:spacing w:before="9"/>
        <w:rPr>
          <w:sz w:val="20"/>
        </w:rPr>
      </w:pPr>
    </w:p>
    <w:p>
      <w:pPr>
        <w:pStyle w:val="Heading1"/>
      </w:pPr>
      <w:r>
        <w:rPr>
          <w:color w:val="231F20"/>
        </w:rPr>
        <w:t>Houston William P. Hobby Airport</w:t>
      </w:r>
    </w:p>
    <w:p>
      <w:pPr>
        <w:pStyle w:val="BodyText"/>
        <w:spacing w:before="5"/>
        <w:rPr>
          <w:b/>
          <w:sz w:val="21"/>
        </w:rPr>
      </w:pPr>
    </w:p>
    <w:p>
      <w:pPr>
        <w:pStyle w:val="BodyText"/>
        <w:spacing w:line="247" w:lineRule="auto"/>
        <w:ind w:left="100" w:right="117"/>
        <w:jc w:val="both"/>
      </w:pPr>
      <w:r>
        <w:rPr>
          <w:color w:val="231F20"/>
        </w:rPr>
        <w:t>The Company entered into a Memorandum of Agreement (“MOA”) with the City of Houston (“City”), effective June 2012, to expand the existing Houston Hobby airport facility. As provided in the MOA, the Company and the City entered into an Airport Use and Lease Agreement (“Lease”) to control the execution of this expansion and the financial terms thereof. Per the MOA and Lease, this project provided a new five-gate international terminal with international passenger processing facilities, expansion of the security checkpoint, and upgrades to the Southwest Airlines ticket counter area. The project cost approximately $156 million, and the Company provided the funding for, as well as management over, the project. In return, the capital cost portion of the rent the Company pays for the international facility is waived from the initial occupancy until the expiration of the Lease. However, at any point following completion of the project, the City has the option to reimburse the Company’s investment at the then-unamortized cost of the facility. This purchase would trigger payment of the previously waived capital cost component of rents owed the City. Additionally, a small portion of the project qualified for rental credits that will be utilized against the Company’s 2016 lease payments at the airport. Construction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BodyText"/>
        <w:spacing w:line="247" w:lineRule="auto"/>
        <w:ind w:left="100" w:right="118"/>
        <w:jc w:val="both"/>
      </w:pPr>
      <w:r>
        <w:rPr>
          <w:color w:val="231F20"/>
        </w:rPr>
        <w:t>As a result of its significant involvement in the Houston Hobby project, the Company determined that it is the owner of the facility for accounting purposes. As such, during construction, the Company recorded expenditures as Assets constructed for others in the Consolidated Balance Sheet, along with a corresponding outflow within Assets constructed for others, in the Consolidated Statement of Cash Flows. As of December 31, 2015, the Company had recorded construction costs related to Houston Hobby of $146</w:t>
      </w:r>
      <w:r>
        <w:rPr>
          <w:color w:val="231F20"/>
          <w:spacing w:val="-1"/>
        </w:rPr>
        <w:t> </w:t>
      </w:r>
      <w:r>
        <w:rPr>
          <w:color w:val="231F20"/>
        </w:rPr>
        <w:t>million.</w:t>
      </w:r>
    </w:p>
    <w:p>
      <w:pPr>
        <w:pStyle w:val="BodyText"/>
        <w:spacing w:before="9"/>
        <w:rPr>
          <w:sz w:val="20"/>
        </w:rPr>
      </w:pPr>
    </w:p>
    <w:p>
      <w:pPr>
        <w:pStyle w:val="Heading1"/>
      </w:pPr>
      <w:r>
        <w:rPr>
          <w:color w:val="231F20"/>
        </w:rPr>
        <w:t>Los Angeles International Airport</w:t>
      </w:r>
    </w:p>
    <w:p>
      <w:pPr>
        <w:pStyle w:val="BodyText"/>
        <w:spacing w:before="5"/>
        <w:rPr>
          <w:b/>
          <w:sz w:val="21"/>
        </w:rPr>
      </w:pPr>
    </w:p>
    <w:p>
      <w:pPr>
        <w:pStyle w:val="BodyText"/>
        <w:spacing w:line="247" w:lineRule="auto"/>
        <w:ind w:left="100" w:right="117"/>
        <w:jc w:val="both"/>
      </w:pPr>
      <w:r>
        <w:rPr>
          <w:color w:val="231F20"/>
        </w:rPr>
        <w:t>In March 2013, the Company executed a lease agreement with Los Angeles World Airports (“LAWA”), which owns and operates Los Angeles International Airport (“LAX”).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 facility. Construction on the Project began during 2014 and is estimated to be completed during 2018. The Company believes that, due to its agreed upon role in overseeing and managing the Project, it is considered the owner of the Project for accounting purposes. LAWA will reimburse the Company for the non-proprietary renovations, while the Company will not be reimbursed for proprietary  renovations. As a result, the $196 million of costs incurred as of December 31, 2015, are included within Assets constructed for others, and all amounts that have been or will be reimbursed will be included within Construction obligation on the accompanying Consolidated Balance Sheet.</w:t>
      </w:r>
    </w:p>
    <w:p>
      <w:pPr>
        <w:spacing w:after="0" w:line="247" w:lineRule="auto"/>
        <w:jc w:val="both"/>
        <w:sectPr>
          <w:pgSz w:w="11880" w:h="15480"/>
          <w:pgMar w:header="0" w:footer="1240" w:top="1240" w:bottom="1420" w:left="1280" w:right="1260"/>
        </w:sectPr>
      </w:pPr>
    </w:p>
    <w:p>
      <w:pPr>
        <w:pStyle w:val="Heading1"/>
        <w:spacing w:before="74"/>
      </w:pPr>
      <w:r>
        <w:rPr>
          <w:color w:val="231F20"/>
        </w:rPr>
        <w:t>Dallas Love Field</w:t>
      </w:r>
    </w:p>
    <w:p>
      <w:pPr>
        <w:pStyle w:val="BodyText"/>
        <w:spacing w:before="4"/>
        <w:rPr>
          <w:b/>
          <w:sz w:val="21"/>
        </w:rPr>
      </w:pPr>
    </w:p>
    <w:p>
      <w:pPr>
        <w:pStyle w:val="BodyText"/>
        <w:spacing w:line="247" w:lineRule="auto" w:before="1"/>
        <w:ind w:left="100" w:right="117"/>
        <w:jc w:val="both"/>
      </w:pPr>
      <w:r>
        <w:rPr>
          <w:color w:val="231F20"/>
        </w:rPr>
        <w:t>During 2008, the City of Dallas approved the Love Field Modernization Program (“LFMP”), a project to reconstruct Dallas Love Field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 managed this project. Major construction was effectively completed by December 31, 2014. This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1"/>
        </w:rPr>
        <w:t> </w:t>
      </w:r>
      <w:r>
        <w:rPr>
          <w:color w:val="231F20"/>
        </w:rPr>
        <w:t>infrastructure.</w:t>
      </w:r>
    </w:p>
    <w:p>
      <w:pPr>
        <w:pStyle w:val="BodyText"/>
        <w:spacing w:before="9"/>
        <w:rPr>
          <w:sz w:val="20"/>
        </w:rPr>
      </w:pPr>
    </w:p>
    <w:p>
      <w:pPr>
        <w:pStyle w:val="BodyText"/>
        <w:spacing w:line="247" w:lineRule="auto"/>
        <w:ind w:left="100" w:right="117"/>
        <w:jc w:val="both"/>
      </w:pPr>
      <w:r>
        <w:rPr>
          <w:color w:val="231F20"/>
        </w:rPr>
        <w:t>Although the City of Dallas received commitments from various sources that are helping to fund portions of this LFMP project, including the Federal Aviation Administration (“FAA”), the Transportation Security Administration, and the City of Dallas’ Aviation Fund, the majority of the funds used were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w:t>
      </w:r>
    </w:p>
    <w:p>
      <w:pPr>
        <w:pStyle w:val="BodyText"/>
        <w:spacing w:before="8"/>
        <w:rPr>
          <w:sz w:val="20"/>
        </w:rPr>
      </w:pPr>
    </w:p>
    <w:p>
      <w:pPr>
        <w:pStyle w:val="BodyText"/>
        <w:spacing w:line="247" w:lineRule="auto" w:before="1"/>
        <w:ind w:left="100" w:right="117"/>
        <w:jc w:val="both"/>
      </w:pPr>
      <w:r>
        <w:rPr>
          <w:color w:val="231F20"/>
        </w:rPr>
        <w:t>In conjunction with the Company’s significant presence at Dallas Love Field, the Company agreed to manage the majority of the LFMP project. Based on the pertinent factors in place at the time the agreement was made, the Company utilized the accounting guidance provided for lessees involved in asset construction. As of December 31, 2015, the Company had recorded LFMP construction costs of</w:t>
      </w:r>
    </w:p>
    <w:p>
      <w:pPr>
        <w:pStyle w:val="BodyText"/>
        <w:spacing w:line="247" w:lineRule="auto"/>
        <w:ind w:left="100" w:right="117"/>
        <w:jc w:val="both"/>
      </w:pPr>
      <w:r>
        <w:rPr>
          <w:color w:val="231F20"/>
        </w:rPr>
        <w:t>$548 million within Assets constructed for others and had recorded a liability of $536 million within Construction obligation in its Consolidated Balance Sheet. Upon completion of different phases of the LFMP project, the Company has placed the associated assets in service and has begun depreciating the assets over their estimated useful lives. The amount of depreciation recorded for the year ended December 31, 2015, associated with the LFMP assets in service was $36 million. The corresponding LFMP liabilities are being reduced primarily through the Company’s airport rental payments to the  City of Dallas as the construction costs of the project are passed through to the Company via recurring airport rates and charges. A portion of these payments are reflected as Repayment of construction obligation in the Consolidated Statement of Cash Flows. The imputed interest rate associated with construction obligation was nominal for 2015 and 2014. During 2015, the City of Dallas issued additional bonds for the construction of a new parking garage. The Company has not guaranteed the principal or interest payments on these bonds, but remains the accounting owner of this</w:t>
      </w:r>
      <w:r>
        <w:rPr>
          <w:color w:val="231F20"/>
          <w:spacing w:val="-3"/>
        </w:rPr>
        <w:t> </w:t>
      </w:r>
      <w:r>
        <w:rPr>
          <w:color w:val="231F20"/>
        </w:rPr>
        <w:t>project.</w:t>
      </w:r>
    </w:p>
    <w:p>
      <w:pPr>
        <w:pStyle w:val="BodyText"/>
        <w:spacing w:before="9"/>
        <w:rPr>
          <w:sz w:val="20"/>
        </w:rPr>
      </w:pPr>
    </w:p>
    <w:p>
      <w:pPr>
        <w:pStyle w:val="Heading2"/>
        <w:spacing w:before="1"/>
        <w:ind w:left="100"/>
        <w:jc w:val="both"/>
        <w:rPr>
          <w:i/>
        </w:rPr>
      </w:pPr>
      <w:r>
        <w:rPr>
          <w:i/>
          <w:color w:val="231F20"/>
        </w:rPr>
        <w:t>Contingencies</w:t>
      </w:r>
    </w:p>
    <w:p>
      <w:pPr>
        <w:pStyle w:val="BodyText"/>
        <w:spacing w:before="5"/>
        <w:rPr>
          <w:b/>
          <w:i/>
          <w:sz w:val="21"/>
        </w:rPr>
      </w:pPr>
    </w:p>
    <w:p>
      <w:pPr>
        <w:pStyle w:val="BodyText"/>
        <w:spacing w:line="247" w:lineRule="auto"/>
        <w:ind w:left="100" w:right="118"/>
        <w:jc w:val="both"/>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spacing w:after="0" w:line="247" w:lineRule="auto"/>
        <w:jc w:val="both"/>
        <w:sectPr>
          <w:pgSz w:w="11880" w:h="15480"/>
          <w:pgMar w:header="0" w:footer="1240" w:top="1240" w:bottom="1420" w:left="1280" w:right="1260"/>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6"/>
        <w:gridCol w:w="160"/>
        <w:gridCol w:w="2078"/>
        <w:gridCol w:w="1856"/>
      </w:tblGrid>
      <w:tr>
        <w:trPr>
          <w:trHeight w:val="356" w:hRule="exact"/>
        </w:trPr>
        <w:tc>
          <w:tcPr>
            <w:tcW w:w="5026" w:type="dxa"/>
          </w:tcPr>
          <w:p>
            <w:pPr>
              <w:pStyle w:val="TableParagraph"/>
              <w:spacing w:line="248" w:lineRule="exact" w:before="0"/>
              <w:rPr>
                <w:b/>
                <w:sz w:val="22"/>
              </w:rPr>
            </w:pPr>
            <w:r>
              <w:rPr>
                <w:b/>
                <w:color w:val="231F20"/>
                <w:sz w:val="22"/>
              </w:rPr>
              <w:t>5. SUPPLEMENTAL FINANCIAL INFORMATION</w:t>
            </w:r>
          </w:p>
        </w:tc>
        <w:tc>
          <w:tcPr>
            <w:tcW w:w="4094" w:type="dxa"/>
            <w:gridSpan w:val="3"/>
          </w:tcPr>
          <w:p>
            <w:pPr/>
          </w:p>
        </w:tc>
      </w:tr>
      <w:tr>
        <w:trPr>
          <w:trHeight w:val="359" w:hRule="exact"/>
        </w:trPr>
        <w:tc>
          <w:tcPr>
            <w:tcW w:w="5026" w:type="dxa"/>
          </w:tcPr>
          <w:p>
            <w:pPr>
              <w:pStyle w:val="TableParagraph"/>
              <w:spacing w:before="97"/>
              <w:rPr>
                <w:b/>
                <w:sz w:val="20"/>
              </w:rPr>
            </w:pPr>
            <w:r>
              <w:rPr>
                <w:b/>
                <w:color w:val="231F20"/>
                <w:sz w:val="20"/>
              </w:rPr>
              <w:t>(in millions)</w:t>
            </w:r>
          </w:p>
        </w:tc>
        <w:tc>
          <w:tcPr>
            <w:tcW w:w="160" w:type="dxa"/>
          </w:tcPr>
          <w:p>
            <w:pPr/>
          </w:p>
        </w:tc>
        <w:tc>
          <w:tcPr>
            <w:tcW w:w="2078" w:type="dxa"/>
            <w:tcBorders>
              <w:bottom w:val="single" w:sz="8" w:space="0" w:color="231F20"/>
            </w:tcBorders>
          </w:tcPr>
          <w:p>
            <w:pPr>
              <w:pStyle w:val="TableParagraph"/>
              <w:spacing w:before="97"/>
              <w:ind w:left="100"/>
              <w:rPr>
                <w:b/>
                <w:sz w:val="20"/>
              </w:rPr>
            </w:pPr>
            <w:r>
              <w:rPr>
                <w:b/>
                <w:color w:val="231F20"/>
                <w:sz w:val="20"/>
              </w:rPr>
              <w:t>December 31, 2015</w:t>
            </w:r>
          </w:p>
        </w:tc>
        <w:tc>
          <w:tcPr>
            <w:tcW w:w="1856" w:type="dxa"/>
            <w:tcBorders>
              <w:bottom w:val="single" w:sz="8" w:space="0" w:color="231F20"/>
            </w:tcBorders>
          </w:tcPr>
          <w:p>
            <w:pPr>
              <w:pStyle w:val="TableParagraph"/>
              <w:spacing w:before="97"/>
              <w:ind w:right="97"/>
              <w:jc w:val="right"/>
              <w:rPr>
                <w:b/>
                <w:sz w:val="20"/>
              </w:rPr>
            </w:pPr>
            <w:r>
              <w:rPr>
                <w:b/>
                <w:color w:val="231F20"/>
                <w:sz w:val="20"/>
              </w:rPr>
              <w:t>December 31, 2014</w:t>
            </w:r>
          </w:p>
        </w:tc>
      </w:tr>
      <w:tr>
        <w:trPr>
          <w:trHeight w:val="300" w:hRule="exact"/>
        </w:trPr>
        <w:tc>
          <w:tcPr>
            <w:tcW w:w="5026" w:type="dxa"/>
            <w:shd w:val="clear" w:color="auto" w:fill="D1D3D4"/>
          </w:tcPr>
          <w:p>
            <w:pPr>
              <w:pStyle w:val="TableParagraph"/>
              <w:spacing w:before="38"/>
              <w:rPr>
                <w:sz w:val="20"/>
              </w:rPr>
            </w:pPr>
            <w:r>
              <w:rPr>
                <w:color w:val="231F20"/>
                <w:sz w:val="20"/>
              </w:rPr>
              <w:t>Intangible assets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38"/>
              <w:rPr>
                <w:sz w:val="20"/>
              </w:rPr>
            </w:pPr>
            <w:r>
              <w:rPr>
                <w:color w:val="231F20"/>
                <w:sz w:val="20"/>
              </w:rPr>
              <w:t>$</w:t>
              <w:tab/>
              <w:t>464</w:t>
            </w:r>
          </w:p>
        </w:tc>
        <w:tc>
          <w:tcPr>
            <w:tcW w:w="1856" w:type="dxa"/>
            <w:tcBorders>
              <w:top w:val="single" w:sz="8" w:space="0" w:color="231F20"/>
            </w:tcBorders>
            <w:shd w:val="clear" w:color="auto" w:fill="D1D3D4"/>
          </w:tcPr>
          <w:p>
            <w:pPr>
              <w:pStyle w:val="TableParagraph"/>
              <w:tabs>
                <w:tab w:pos="1449" w:val="left" w:leader="none"/>
              </w:tabs>
              <w:spacing w:before="38"/>
              <w:ind w:right="64"/>
              <w:jc w:val="right"/>
              <w:rPr>
                <w:sz w:val="20"/>
              </w:rPr>
            </w:pPr>
            <w:r>
              <w:rPr>
                <w:color w:val="231F20"/>
                <w:sz w:val="20"/>
              </w:rPr>
              <w:t>$</w:t>
              <w:tab/>
              <w:t>363</w:t>
            </w:r>
          </w:p>
        </w:tc>
      </w:tr>
      <w:tr>
        <w:trPr>
          <w:trHeight w:val="290" w:hRule="exact"/>
        </w:trPr>
        <w:tc>
          <w:tcPr>
            <w:tcW w:w="5026" w:type="dxa"/>
          </w:tcPr>
          <w:p>
            <w:pPr>
              <w:pStyle w:val="TableParagraph"/>
              <w:spacing w:before="38"/>
              <w:rPr>
                <w:sz w:val="20"/>
              </w:rPr>
            </w:pPr>
            <w:r>
              <w:rPr>
                <w:color w:val="231F20"/>
                <w:sz w:val="20"/>
              </w:rPr>
              <w:t>Non-current investments</w:t>
            </w:r>
          </w:p>
        </w:tc>
        <w:tc>
          <w:tcPr>
            <w:tcW w:w="160" w:type="dxa"/>
          </w:tcPr>
          <w:p>
            <w:pPr/>
          </w:p>
        </w:tc>
        <w:tc>
          <w:tcPr>
            <w:tcW w:w="2078" w:type="dxa"/>
          </w:tcPr>
          <w:p>
            <w:pPr>
              <w:pStyle w:val="TableParagraph"/>
              <w:spacing w:before="38"/>
              <w:ind w:right="325"/>
              <w:jc w:val="right"/>
              <w:rPr>
                <w:sz w:val="20"/>
              </w:rPr>
            </w:pPr>
            <w:r>
              <w:rPr>
                <w:color w:val="231F20"/>
                <w:sz w:val="20"/>
              </w:rPr>
              <w:t>40</w:t>
            </w:r>
          </w:p>
        </w:tc>
        <w:tc>
          <w:tcPr>
            <w:tcW w:w="1856" w:type="dxa"/>
          </w:tcPr>
          <w:p>
            <w:pPr>
              <w:pStyle w:val="TableParagraph"/>
              <w:spacing w:before="38"/>
              <w:ind w:right="64"/>
              <w:jc w:val="right"/>
              <w:rPr>
                <w:sz w:val="20"/>
              </w:rPr>
            </w:pPr>
            <w:r>
              <w:rPr>
                <w:color w:val="231F20"/>
                <w:sz w:val="20"/>
              </w:rPr>
              <w:t>35</w:t>
            </w:r>
          </w:p>
        </w:tc>
      </w:tr>
      <w:tr>
        <w:trPr>
          <w:trHeight w:val="305" w:hRule="exact"/>
        </w:trPr>
        <w:tc>
          <w:tcPr>
            <w:tcW w:w="5026" w:type="dxa"/>
            <w:shd w:val="clear" w:color="auto" w:fill="D1D3D4"/>
          </w:tcPr>
          <w:p>
            <w:pPr>
              <w:pStyle w:val="TableParagraph"/>
              <w:spacing w:before="3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38"/>
              <w:ind w:right="326"/>
              <w:jc w:val="right"/>
              <w:rPr>
                <w:sz w:val="20"/>
              </w:rPr>
            </w:pPr>
            <w:r>
              <w:rPr>
                <w:color w:val="231F20"/>
                <w:sz w:val="20"/>
              </w:rPr>
              <w:t>213</w:t>
            </w:r>
          </w:p>
        </w:tc>
        <w:tc>
          <w:tcPr>
            <w:tcW w:w="1856" w:type="dxa"/>
            <w:tcBorders>
              <w:bottom w:val="single" w:sz="4" w:space="0" w:color="231F20"/>
            </w:tcBorders>
            <w:shd w:val="clear" w:color="auto" w:fill="D1D3D4"/>
          </w:tcPr>
          <w:p>
            <w:pPr>
              <w:pStyle w:val="TableParagraph"/>
              <w:spacing w:before="38"/>
              <w:ind w:right="66"/>
              <w:jc w:val="right"/>
              <w:rPr>
                <w:sz w:val="20"/>
              </w:rPr>
            </w:pPr>
            <w:r>
              <w:rPr>
                <w:color w:val="231F20"/>
                <w:sz w:val="20"/>
              </w:rPr>
              <w:t>136</w:t>
            </w:r>
          </w:p>
        </w:tc>
      </w:tr>
      <w:tr>
        <w:trPr>
          <w:trHeight w:val="410" w:hRule="exact"/>
        </w:trPr>
        <w:tc>
          <w:tcPr>
            <w:tcW w:w="5026" w:type="dxa"/>
          </w:tcPr>
          <w:p>
            <w:pPr>
              <w:pStyle w:val="TableParagraph"/>
              <w:spacing w:before="118"/>
              <w:ind w:left="200"/>
              <w:rPr>
                <w:sz w:val="20"/>
              </w:rPr>
            </w:pPr>
            <w:r>
              <w:rPr>
                <w:color w:val="231F20"/>
                <w:sz w:val="20"/>
              </w:rPr>
              <w:t>Other assets</w:t>
            </w:r>
          </w:p>
        </w:tc>
        <w:tc>
          <w:tcPr>
            <w:tcW w:w="160" w:type="dxa"/>
          </w:tcPr>
          <w:p>
            <w:pPr/>
          </w:p>
        </w:tc>
        <w:tc>
          <w:tcPr>
            <w:tcW w:w="2078" w:type="dxa"/>
            <w:tcBorders>
              <w:top w:val="single" w:sz="4" w:space="0" w:color="231F20"/>
              <w:bottom w:val="single" w:sz="4" w:space="0" w:color="231F20"/>
            </w:tcBorders>
          </w:tcPr>
          <w:p>
            <w:pPr>
              <w:pStyle w:val="TableParagraph"/>
              <w:tabs>
                <w:tab w:pos="1449" w:val="left" w:leader="none"/>
              </w:tabs>
              <w:spacing w:before="98"/>
              <w:rPr>
                <w:sz w:val="20"/>
              </w:rPr>
            </w:pPr>
            <w:r>
              <w:rPr>
                <w:color w:val="231F20"/>
                <w:sz w:val="20"/>
              </w:rPr>
              <w:t>$</w:t>
              <w:tab/>
              <w:t>717</w:t>
            </w:r>
          </w:p>
        </w:tc>
        <w:tc>
          <w:tcPr>
            <w:tcW w:w="1856" w:type="dxa"/>
            <w:tcBorders>
              <w:top w:val="single" w:sz="4" w:space="0" w:color="231F20"/>
              <w:bottom w:val="single" w:sz="4" w:space="0" w:color="231F20"/>
            </w:tcBorders>
          </w:tcPr>
          <w:p>
            <w:pPr>
              <w:pStyle w:val="TableParagraph"/>
              <w:tabs>
                <w:tab w:pos="1449" w:val="left" w:leader="none"/>
              </w:tabs>
              <w:spacing w:before="98"/>
              <w:ind w:right="66"/>
              <w:jc w:val="right"/>
              <w:rPr>
                <w:sz w:val="20"/>
              </w:rPr>
            </w:pPr>
            <w:r>
              <w:rPr>
                <w:color w:val="231F20"/>
                <w:sz w:val="20"/>
              </w:rPr>
              <w:t>$</w:t>
              <w:tab/>
              <w:t>534</w:t>
            </w:r>
          </w:p>
        </w:tc>
      </w:tr>
      <w:tr>
        <w:trPr>
          <w:trHeight w:val="515" w:hRule="exact"/>
        </w:trPr>
        <w:tc>
          <w:tcPr>
            <w:tcW w:w="5026" w:type="dxa"/>
          </w:tcPr>
          <w:p>
            <w:pPr>
              <w:pStyle w:val="TableParagraph"/>
              <w:spacing w:before="0"/>
              <w:rPr>
                <w:sz w:val="22"/>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2015</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2014</w:t>
            </w:r>
          </w:p>
        </w:tc>
      </w:tr>
      <w:tr>
        <w:trPr>
          <w:trHeight w:val="310" w:hRule="exact"/>
        </w:trPr>
        <w:tc>
          <w:tcPr>
            <w:tcW w:w="5026" w:type="dxa"/>
            <w:shd w:val="clear" w:color="auto" w:fill="D1D3D4"/>
          </w:tcPr>
          <w:p>
            <w:pPr>
              <w:pStyle w:val="TableParagraph"/>
              <w:spacing w:before="48"/>
              <w:rPr>
                <w:sz w:val="20"/>
              </w:rPr>
            </w:pPr>
            <w:r>
              <w:rPr>
                <w:color w:val="231F20"/>
                <w:sz w:val="20"/>
              </w:rPr>
              <w:t>Accounts payable trade</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178</w:t>
            </w:r>
          </w:p>
        </w:tc>
        <w:tc>
          <w:tcPr>
            <w:tcW w:w="1856" w:type="dxa"/>
            <w:tcBorders>
              <w:top w:val="single" w:sz="8" w:space="0" w:color="231F20"/>
            </w:tcBorders>
            <w:shd w:val="clear" w:color="auto" w:fill="D1D3D4"/>
          </w:tcPr>
          <w:p>
            <w:pPr>
              <w:pStyle w:val="TableParagraph"/>
              <w:tabs>
                <w:tab w:pos="1449" w:val="left" w:leader="none"/>
              </w:tabs>
              <w:spacing w:before="48"/>
              <w:ind w:right="64"/>
              <w:jc w:val="right"/>
              <w:rPr>
                <w:sz w:val="20"/>
              </w:rPr>
            </w:pPr>
            <w:r>
              <w:rPr>
                <w:color w:val="231F20"/>
                <w:sz w:val="20"/>
              </w:rPr>
              <w:t>$</w:t>
              <w:tab/>
              <w:t>123</w:t>
            </w:r>
          </w:p>
        </w:tc>
      </w:tr>
      <w:tr>
        <w:trPr>
          <w:trHeight w:val="300" w:hRule="exact"/>
        </w:trPr>
        <w:tc>
          <w:tcPr>
            <w:tcW w:w="5026" w:type="dxa"/>
          </w:tcPr>
          <w:p>
            <w:pPr>
              <w:pStyle w:val="TableParagraph"/>
              <w:spacing w:before="48"/>
              <w:rPr>
                <w:sz w:val="20"/>
              </w:rPr>
            </w:pPr>
            <w:r>
              <w:rPr>
                <w:color w:val="231F20"/>
                <w:sz w:val="20"/>
              </w:rPr>
              <w:t>Salaries payable</w:t>
            </w:r>
          </w:p>
        </w:tc>
        <w:tc>
          <w:tcPr>
            <w:tcW w:w="160" w:type="dxa"/>
          </w:tcPr>
          <w:p>
            <w:pPr/>
          </w:p>
        </w:tc>
        <w:tc>
          <w:tcPr>
            <w:tcW w:w="2078" w:type="dxa"/>
          </w:tcPr>
          <w:p>
            <w:pPr>
              <w:pStyle w:val="TableParagraph"/>
              <w:spacing w:before="48"/>
              <w:ind w:right="326"/>
              <w:jc w:val="right"/>
              <w:rPr>
                <w:sz w:val="20"/>
              </w:rPr>
            </w:pPr>
            <w:r>
              <w:rPr>
                <w:color w:val="231F20"/>
                <w:sz w:val="20"/>
              </w:rPr>
              <w:t>173</w:t>
            </w:r>
          </w:p>
        </w:tc>
        <w:tc>
          <w:tcPr>
            <w:tcW w:w="1856" w:type="dxa"/>
          </w:tcPr>
          <w:p>
            <w:pPr>
              <w:pStyle w:val="TableParagraph"/>
              <w:spacing w:before="48"/>
              <w:ind w:right="66"/>
              <w:jc w:val="right"/>
              <w:rPr>
                <w:sz w:val="20"/>
              </w:rPr>
            </w:pPr>
            <w:r>
              <w:rPr>
                <w:color w:val="231F20"/>
                <w:sz w:val="20"/>
              </w:rPr>
              <w:t>160</w:t>
            </w:r>
          </w:p>
        </w:tc>
      </w:tr>
      <w:tr>
        <w:trPr>
          <w:trHeight w:val="300" w:hRule="exact"/>
        </w:trPr>
        <w:tc>
          <w:tcPr>
            <w:tcW w:w="5026" w:type="dxa"/>
            <w:shd w:val="clear" w:color="auto" w:fill="D1D3D4"/>
          </w:tcPr>
          <w:p>
            <w:pPr>
              <w:pStyle w:val="TableParagraph"/>
              <w:spacing w:before="48"/>
              <w:rPr>
                <w:sz w:val="20"/>
              </w:rPr>
            </w:pPr>
            <w:r>
              <w:rPr>
                <w:color w:val="231F20"/>
                <w:sz w:val="20"/>
              </w:rPr>
              <w:t>Taxes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179</w:t>
            </w:r>
          </w:p>
        </w:tc>
        <w:tc>
          <w:tcPr>
            <w:tcW w:w="1856" w:type="dxa"/>
            <w:shd w:val="clear" w:color="auto" w:fill="D1D3D4"/>
          </w:tcPr>
          <w:p>
            <w:pPr>
              <w:pStyle w:val="TableParagraph"/>
              <w:spacing w:before="48"/>
              <w:ind w:right="66"/>
              <w:jc w:val="right"/>
              <w:rPr>
                <w:sz w:val="20"/>
              </w:rPr>
            </w:pPr>
            <w:r>
              <w:rPr>
                <w:color w:val="231F20"/>
                <w:sz w:val="20"/>
              </w:rPr>
              <w:t>163</w:t>
            </w:r>
          </w:p>
        </w:tc>
      </w:tr>
      <w:tr>
        <w:trPr>
          <w:trHeight w:val="300" w:hRule="exact"/>
        </w:trPr>
        <w:tc>
          <w:tcPr>
            <w:tcW w:w="5026" w:type="dxa"/>
          </w:tcPr>
          <w:p>
            <w:pPr>
              <w:pStyle w:val="TableParagraph"/>
              <w:spacing w:before="48"/>
              <w:rPr>
                <w:sz w:val="20"/>
              </w:rPr>
            </w:pPr>
            <w:r>
              <w:rPr>
                <w:color w:val="231F20"/>
                <w:sz w:val="20"/>
              </w:rPr>
              <w:t>Aircraft maintenance payable</w:t>
            </w:r>
          </w:p>
        </w:tc>
        <w:tc>
          <w:tcPr>
            <w:tcW w:w="160" w:type="dxa"/>
          </w:tcPr>
          <w:p>
            <w:pPr/>
          </w:p>
        </w:tc>
        <w:tc>
          <w:tcPr>
            <w:tcW w:w="2078" w:type="dxa"/>
          </w:tcPr>
          <w:p>
            <w:pPr>
              <w:pStyle w:val="TableParagraph"/>
              <w:spacing w:before="48"/>
              <w:ind w:right="325"/>
              <w:jc w:val="right"/>
              <w:rPr>
                <w:sz w:val="20"/>
              </w:rPr>
            </w:pPr>
            <w:r>
              <w:rPr>
                <w:color w:val="231F20"/>
                <w:sz w:val="20"/>
              </w:rPr>
              <w:t>168</w:t>
            </w:r>
          </w:p>
        </w:tc>
        <w:tc>
          <w:tcPr>
            <w:tcW w:w="1856" w:type="dxa"/>
          </w:tcPr>
          <w:p>
            <w:pPr>
              <w:pStyle w:val="TableParagraph"/>
              <w:spacing w:before="48"/>
              <w:ind w:right="64"/>
              <w:jc w:val="right"/>
              <w:rPr>
                <w:sz w:val="20"/>
              </w:rPr>
            </w:pPr>
            <w:r>
              <w:rPr>
                <w:color w:val="231F20"/>
                <w:sz w:val="20"/>
              </w:rPr>
              <w:t>314</w:t>
            </w:r>
          </w:p>
        </w:tc>
      </w:tr>
      <w:tr>
        <w:trPr>
          <w:trHeight w:val="300" w:hRule="exact"/>
        </w:trPr>
        <w:tc>
          <w:tcPr>
            <w:tcW w:w="5026" w:type="dxa"/>
            <w:shd w:val="clear" w:color="auto" w:fill="D1D3D4"/>
          </w:tcPr>
          <w:p>
            <w:pPr>
              <w:pStyle w:val="TableParagraph"/>
              <w:spacing w:before="48"/>
              <w:rPr>
                <w:sz w:val="20"/>
              </w:rPr>
            </w:pPr>
            <w:r>
              <w:rPr>
                <w:color w:val="231F20"/>
                <w:sz w:val="20"/>
              </w:rPr>
              <w:t>Fuel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48</w:t>
            </w:r>
          </w:p>
        </w:tc>
        <w:tc>
          <w:tcPr>
            <w:tcW w:w="1856" w:type="dxa"/>
            <w:shd w:val="clear" w:color="auto" w:fill="D1D3D4"/>
          </w:tcPr>
          <w:p>
            <w:pPr>
              <w:pStyle w:val="TableParagraph"/>
              <w:spacing w:before="48"/>
              <w:ind w:right="66"/>
              <w:jc w:val="right"/>
              <w:rPr>
                <w:sz w:val="20"/>
              </w:rPr>
            </w:pPr>
            <w:r>
              <w:rPr>
                <w:color w:val="231F20"/>
                <w:sz w:val="20"/>
              </w:rPr>
              <w:t>85</w:t>
            </w:r>
          </w:p>
        </w:tc>
      </w:tr>
      <w:tr>
        <w:trPr>
          <w:trHeight w:val="315" w:hRule="exact"/>
        </w:trPr>
        <w:tc>
          <w:tcPr>
            <w:tcW w:w="5026" w:type="dxa"/>
          </w:tcPr>
          <w:p>
            <w:pPr>
              <w:pStyle w:val="TableParagraph"/>
              <w:spacing w:before="48"/>
              <w:rPr>
                <w:sz w:val="20"/>
              </w:rPr>
            </w:pPr>
            <w:r>
              <w:rPr>
                <w:color w:val="231F20"/>
                <w:sz w:val="20"/>
              </w:rPr>
              <w:t>Other payable</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442</w:t>
            </w:r>
          </w:p>
        </w:tc>
        <w:tc>
          <w:tcPr>
            <w:tcW w:w="1856" w:type="dxa"/>
            <w:tcBorders>
              <w:bottom w:val="single" w:sz="4" w:space="0" w:color="231F20"/>
            </w:tcBorders>
          </w:tcPr>
          <w:p>
            <w:pPr>
              <w:pStyle w:val="TableParagraph"/>
              <w:spacing w:before="48"/>
              <w:ind w:right="66"/>
              <w:jc w:val="right"/>
              <w:rPr>
                <w:sz w:val="20"/>
              </w:rPr>
            </w:pPr>
            <w:r>
              <w:rPr>
                <w:color w:val="231F20"/>
                <w:sz w:val="20"/>
              </w:rPr>
              <w:t>358</w:t>
            </w:r>
          </w:p>
        </w:tc>
      </w:tr>
      <w:tr>
        <w:trPr>
          <w:trHeight w:val="360" w:hRule="exact"/>
        </w:trPr>
        <w:tc>
          <w:tcPr>
            <w:tcW w:w="5026" w:type="dxa"/>
            <w:shd w:val="clear" w:color="auto" w:fill="D1D3D4"/>
          </w:tcPr>
          <w:p>
            <w:pPr>
              <w:pStyle w:val="TableParagraph"/>
              <w:spacing w:before="48"/>
              <w:ind w:left="200"/>
              <w:rPr>
                <w:sz w:val="20"/>
              </w:rPr>
            </w:pPr>
            <w:r>
              <w:rPr>
                <w:color w:val="231F20"/>
                <w:sz w:val="20"/>
              </w:rPr>
              <w:t>Accounts payable</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299" w:val="left" w:leader="none"/>
              </w:tabs>
              <w:spacing w:before="48"/>
              <w:rPr>
                <w:sz w:val="20"/>
              </w:rPr>
            </w:pPr>
            <w:r>
              <w:rPr>
                <w:color w:val="231F20"/>
                <w:sz w:val="20"/>
              </w:rPr>
              <w:t>$</w:t>
              <w:tab/>
              <w:t>1,188</w:t>
            </w:r>
          </w:p>
        </w:tc>
        <w:tc>
          <w:tcPr>
            <w:tcW w:w="1856" w:type="dxa"/>
            <w:tcBorders>
              <w:top w:val="single" w:sz="4" w:space="0" w:color="231F20"/>
              <w:bottom w:val="single" w:sz="4" w:space="0" w:color="231F20"/>
            </w:tcBorders>
            <w:shd w:val="clear" w:color="auto" w:fill="D1D3D4"/>
          </w:tcPr>
          <w:p>
            <w:pPr>
              <w:pStyle w:val="TableParagraph"/>
              <w:tabs>
                <w:tab w:pos="1299" w:val="left" w:leader="none"/>
              </w:tabs>
              <w:spacing w:before="48"/>
              <w:ind w:right="64"/>
              <w:jc w:val="right"/>
              <w:rPr>
                <w:sz w:val="20"/>
              </w:rPr>
            </w:pPr>
            <w:r>
              <w:rPr>
                <w:color w:val="231F20"/>
                <w:sz w:val="20"/>
              </w:rPr>
              <w:t>$</w:t>
              <w:tab/>
              <w:t>1,203</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2015</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2014</w:t>
            </w:r>
          </w:p>
        </w:tc>
      </w:tr>
      <w:tr>
        <w:trPr>
          <w:trHeight w:val="310" w:hRule="exact"/>
        </w:trPr>
        <w:tc>
          <w:tcPr>
            <w:tcW w:w="5026" w:type="dxa"/>
            <w:shd w:val="clear" w:color="auto" w:fill="D1D3D4"/>
          </w:tcPr>
          <w:p>
            <w:pPr>
              <w:pStyle w:val="TableParagraph"/>
              <w:spacing w:before="48"/>
              <w:rPr>
                <w:sz w:val="20"/>
              </w:rPr>
            </w:pPr>
            <w:r>
              <w:rPr>
                <w:color w:val="231F20"/>
                <w:sz w:val="20"/>
              </w:rPr>
              <w:t>Profitsharing and savings plans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655</w:t>
            </w:r>
          </w:p>
        </w:tc>
        <w:tc>
          <w:tcPr>
            <w:tcW w:w="1856" w:type="dxa"/>
            <w:tcBorders>
              <w:top w:val="single" w:sz="8" w:space="0" w:color="231F20"/>
            </w:tcBorders>
            <w:shd w:val="clear" w:color="auto" w:fill="D1D3D4"/>
          </w:tcPr>
          <w:p>
            <w:pPr>
              <w:pStyle w:val="TableParagraph"/>
              <w:tabs>
                <w:tab w:pos="1449" w:val="left" w:leader="none"/>
              </w:tabs>
              <w:spacing w:before="48"/>
              <w:ind w:right="64"/>
              <w:jc w:val="right"/>
              <w:rPr>
                <w:sz w:val="20"/>
              </w:rPr>
            </w:pPr>
            <w:r>
              <w:rPr>
                <w:color w:val="231F20"/>
                <w:sz w:val="20"/>
              </w:rPr>
              <w:t>$</w:t>
              <w:tab/>
              <w:t>374</w:t>
            </w:r>
          </w:p>
        </w:tc>
      </w:tr>
      <w:tr>
        <w:trPr>
          <w:trHeight w:val="300" w:hRule="exact"/>
        </w:trPr>
        <w:tc>
          <w:tcPr>
            <w:tcW w:w="5026" w:type="dxa"/>
          </w:tcPr>
          <w:p>
            <w:pPr>
              <w:pStyle w:val="TableParagraph"/>
              <w:spacing w:before="48"/>
              <w:rPr>
                <w:sz w:val="20"/>
              </w:rPr>
            </w:pPr>
            <w:r>
              <w:rPr>
                <w:color w:val="231F20"/>
                <w:sz w:val="20"/>
              </w:rPr>
              <w:t>Aircraft and other lease related obligations</w:t>
            </w:r>
          </w:p>
        </w:tc>
        <w:tc>
          <w:tcPr>
            <w:tcW w:w="160" w:type="dxa"/>
          </w:tcPr>
          <w:p>
            <w:pPr/>
          </w:p>
        </w:tc>
        <w:tc>
          <w:tcPr>
            <w:tcW w:w="2078" w:type="dxa"/>
          </w:tcPr>
          <w:p>
            <w:pPr>
              <w:pStyle w:val="TableParagraph"/>
              <w:spacing w:before="48"/>
              <w:ind w:right="325"/>
              <w:jc w:val="right"/>
              <w:rPr>
                <w:sz w:val="20"/>
              </w:rPr>
            </w:pPr>
            <w:r>
              <w:rPr>
                <w:color w:val="231F20"/>
                <w:sz w:val="20"/>
              </w:rPr>
              <w:t>74</w:t>
            </w:r>
          </w:p>
        </w:tc>
        <w:tc>
          <w:tcPr>
            <w:tcW w:w="1856" w:type="dxa"/>
          </w:tcPr>
          <w:p>
            <w:pPr>
              <w:pStyle w:val="TableParagraph"/>
              <w:spacing w:before="48"/>
              <w:ind w:right="64"/>
              <w:jc w:val="right"/>
              <w:rPr>
                <w:sz w:val="20"/>
              </w:rPr>
            </w:pPr>
            <w:r>
              <w:rPr>
                <w:color w:val="231F20"/>
                <w:sz w:val="20"/>
              </w:rPr>
              <w:t>159</w:t>
            </w:r>
          </w:p>
        </w:tc>
      </w:tr>
      <w:tr>
        <w:trPr>
          <w:trHeight w:val="300" w:hRule="exact"/>
        </w:trPr>
        <w:tc>
          <w:tcPr>
            <w:tcW w:w="5026" w:type="dxa"/>
            <w:shd w:val="clear" w:color="auto" w:fill="D1D3D4"/>
          </w:tcPr>
          <w:p>
            <w:pPr>
              <w:pStyle w:val="TableParagraph"/>
              <w:spacing w:before="48"/>
              <w:rPr>
                <w:sz w:val="20"/>
              </w:rPr>
            </w:pPr>
            <w:r>
              <w:rPr>
                <w:color w:val="231F20"/>
                <w:sz w:val="20"/>
              </w:rPr>
              <w:t>Vacation pay</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309</w:t>
            </w:r>
          </w:p>
        </w:tc>
        <w:tc>
          <w:tcPr>
            <w:tcW w:w="1856" w:type="dxa"/>
            <w:shd w:val="clear" w:color="auto" w:fill="D1D3D4"/>
          </w:tcPr>
          <w:p>
            <w:pPr>
              <w:pStyle w:val="TableParagraph"/>
              <w:spacing w:before="48"/>
              <w:ind w:right="66"/>
              <w:jc w:val="right"/>
              <w:rPr>
                <w:sz w:val="20"/>
              </w:rPr>
            </w:pPr>
            <w:r>
              <w:rPr>
                <w:color w:val="231F20"/>
                <w:sz w:val="20"/>
              </w:rPr>
              <w:t>292</w:t>
            </w:r>
          </w:p>
        </w:tc>
      </w:tr>
      <w:tr>
        <w:trPr>
          <w:trHeight w:val="300" w:hRule="exact"/>
        </w:trPr>
        <w:tc>
          <w:tcPr>
            <w:tcW w:w="5026" w:type="dxa"/>
          </w:tcPr>
          <w:p>
            <w:pPr>
              <w:pStyle w:val="TableParagraph"/>
              <w:spacing w:before="48"/>
              <w:rPr>
                <w:sz w:val="20"/>
              </w:rPr>
            </w:pPr>
            <w:r>
              <w:rPr>
                <w:color w:val="231F20"/>
                <w:sz w:val="20"/>
              </w:rPr>
              <w:t>Accrued union bonuses</w:t>
            </w:r>
          </w:p>
        </w:tc>
        <w:tc>
          <w:tcPr>
            <w:tcW w:w="160" w:type="dxa"/>
          </w:tcPr>
          <w:p>
            <w:pPr/>
          </w:p>
        </w:tc>
        <w:tc>
          <w:tcPr>
            <w:tcW w:w="2078" w:type="dxa"/>
          </w:tcPr>
          <w:p>
            <w:pPr>
              <w:pStyle w:val="TableParagraph"/>
              <w:spacing w:before="48"/>
              <w:ind w:right="38"/>
              <w:jc w:val="right"/>
              <w:rPr>
                <w:sz w:val="20"/>
              </w:rPr>
            </w:pPr>
            <w:r>
              <w:rPr>
                <w:color w:val="231F20"/>
                <w:sz w:val="20"/>
              </w:rPr>
              <w:t>329 (a)</w:t>
            </w:r>
          </w:p>
        </w:tc>
        <w:tc>
          <w:tcPr>
            <w:tcW w:w="1856" w:type="dxa"/>
          </w:tcPr>
          <w:p>
            <w:pPr>
              <w:pStyle w:val="TableParagraph"/>
              <w:spacing w:before="48"/>
              <w:ind w:right="66"/>
              <w:jc w:val="right"/>
              <w:rPr>
                <w:sz w:val="20"/>
              </w:rPr>
            </w:pPr>
            <w:r>
              <w:rPr>
                <w:color w:val="231F20"/>
                <w:sz w:val="20"/>
              </w:rPr>
              <w:t>9</w:t>
            </w:r>
          </w:p>
        </w:tc>
      </w:tr>
      <w:tr>
        <w:trPr>
          <w:trHeight w:val="300" w:hRule="exact"/>
        </w:trPr>
        <w:tc>
          <w:tcPr>
            <w:tcW w:w="5026" w:type="dxa"/>
            <w:shd w:val="clear" w:color="auto" w:fill="D1D3D4"/>
          </w:tcPr>
          <w:p>
            <w:pPr>
              <w:pStyle w:val="TableParagraph"/>
              <w:spacing w:before="48"/>
              <w:rPr>
                <w:sz w:val="20"/>
              </w:rPr>
            </w:pPr>
            <w:r>
              <w:rPr>
                <w:color w:val="231F20"/>
                <w:sz w:val="20"/>
              </w:rPr>
              <w:t>Health</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86</w:t>
            </w:r>
          </w:p>
        </w:tc>
        <w:tc>
          <w:tcPr>
            <w:tcW w:w="1856" w:type="dxa"/>
            <w:shd w:val="clear" w:color="auto" w:fill="D1D3D4"/>
          </w:tcPr>
          <w:p>
            <w:pPr>
              <w:pStyle w:val="TableParagraph"/>
              <w:spacing w:before="48"/>
              <w:ind w:right="66"/>
              <w:jc w:val="right"/>
              <w:rPr>
                <w:sz w:val="20"/>
              </w:rPr>
            </w:pPr>
            <w:r>
              <w:rPr>
                <w:color w:val="231F20"/>
                <w:sz w:val="20"/>
              </w:rPr>
              <w:t>84</w:t>
            </w:r>
          </w:p>
        </w:tc>
      </w:tr>
      <w:tr>
        <w:trPr>
          <w:trHeight w:val="300" w:hRule="exact"/>
        </w:trPr>
        <w:tc>
          <w:tcPr>
            <w:tcW w:w="5026" w:type="dxa"/>
          </w:tcPr>
          <w:p>
            <w:pPr>
              <w:pStyle w:val="TableParagraph"/>
              <w:spacing w:before="48"/>
              <w:rPr>
                <w:sz w:val="20"/>
              </w:rPr>
            </w:pPr>
            <w:r>
              <w:rPr>
                <w:color w:val="231F20"/>
                <w:sz w:val="20"/>
              </w:rPr>
              <w:t>Derivative contracts</w:t>
            </w:r>
          </w:p>
        </w:tc>
        <w:tc>
          <w:tcPr>
            <w:tcW w:w="160" w:type="dxa"/>
          </w:tcPr>
          <w:p>
            <w:pPr/>
          </w:p>
        </w:tc>
        <w:tc>
          <w:tcPr>
            <w:tcW w:w="2078" w:type="dxa"/>
          </w:tcPr>
          <w:p>
            <w:pPr>
              <w:pStyle w:val="TableParagraph"/>
              <w:spacing w:before="48"/>
              <w:ind w:right="325"/>
              <w:jc w:val="right"/>
              <w:rPr>
                <w:sz w:val="20"/>
              </w:rPr>
            </w:pPr>
            <w:r>
              <w:rPr>
                <w:color w:val="231F20"/>
                <w:sz w:val="20"/>
              </w:rPr>
              <w:t>643</w:t>
            </w:r>
          </w:p>
        </w:tc>
        <w:tc>
          <w:tcPr>
            <w:tcW w:w="1856" w:type="dxa"/>
          </w:tcPr>
          <w:p>
            <w:pPr>
              <w:pStyle w:val="TableParagraph"/>
              <w:spacing w:before="48"/>
              <w:ind w:right="64"/>
              <w:jc w:val="right"/>
              <w:rPr>
                <w:sz w:val="20"/>
              </w:rPr>
            </w:pPr>
            <w:r>
              <w:rPr>
                <w:color w:val="231F20"/>
                <w:sz w:val="20"/>
              </w:rPr>
              <w:t>174</w:t>
            </w:r>
          </w:p>
        </w:tc>
      </w:tr>
      <w:tr>
        <w:trPr>
          <w:trHeight w:val="300" w:hRule="exact"/>
        </w:trPr>
        <w:tc>
          <w:tcPr>
            <w:tcW w:w="5026" w:type="dxa"/>
            <w:shd w:val="clear" w:color="auto" w:fill="D1D3D4"/>
          </w:tcPr>
          <w:p>
            <w:pPr>
              <w:pStyle w:val="TableParagraph"/>
              <w:spacing w:before="48"/>
              <w:rPr>
                <w:sz w:val="20"/>
              </w:rPr>
            </w:pPr>
            <w:r>
              <w:rPr>
                <w:color w:val="231F20"/>
                <w:sz w:val="20"/>
              </w:rPr>
              <w:t>Workers compensation</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187</w:t>
            </w:r>
          </w:p>
        </w:tc>
        <w:tc>
          <w:tcPr>
            <w:tcW w:w="1856" w:type="dxa"/>
            <w:shd w:val="clear" w:color="auto" w:fill="D1D3D4"/>
          </w:tcPr>
          <w:p>
            <w:pPr>
              <w:pStyle w:val="TableParagraph"/>
              <w:spacing w:before="48"/>
              <w:ind w:right="64"/>
              <w:jc w:val="right"/>
              <w:rPr>
                <w:sz w:val="20"/>
              </w:rPr>
            </w:pPr>
            <w:r>
              <w:rPr>
                <w:color w:val="231F20"/>
                <w:sz w:val="20"/>
              </w:rPr>
              <w:t>165</w:t>
            </w:r>
          </w:p>
        </w:tc>
      </w:tr>
      <w:tr>
        <w:trPr>
          <w:trHeight w:val="300" w:hRule="exact"/>
        </w:trPr>
        <w:tc>
          <w:tcPr>
            <w:tcW w:w="5026" w:type="dxa"/>
          </w:tcPr>
          <w:p>
            <w:pPr>
              <w:pStyle w:val="TableParagraph"/>
              <w:spacing w:before="48"/>
              <w:rPr>
                <w:sz w:val="20"/>
              </w:rPr>
            </w:pPr>
            <w:r>
              <w:rPr>
                <w:color w:val="231F20"/>
                <w:sz w:val="20"/>
              </w:rPr>
              <w:t>Property and other taxes</w:t>
            </w:r>
          </w:p>
        </w:tc>
        <w:tc>
          <w:tcPr>
            <w:tcW w:w="160" w:type="dxa"/>
          </w:tcPr>
          <w:p>
            <w:pPr/>
          </w:p>
        </w:tc>
        <w:tc>
          <w:tcPr>
            <w:tcW w:w="2078" w:type="dxa"/>
          </w:tcPr>
          <w:p>
            <w:pPr>
              <w:pStyle w:val="TableParagraph"/>
              <w:spacing w:before="48"/>
              <w:ind w:right="327"/>
              <w:jc w:val="right"/>
              <w:rPr>
                <w:sz w:val="20"/>
              </w:rPr>
            </w:pPr>
            <w:r>
              <w:rPr>
                <w:color w:val="231F20"/>
                <w:sz w:val="20"/>
              </w:rPr>
              <w:t>62</w:t>
            </w:r>
          </w:p>
        </w:tc>
        <w:tc>
          <w:tcPr>
            <w:tcW w:w="1856" w:type="dxa"/>
          </w:tcPr>
          <w:p>
            <w:pPr>
              <w:pStyle w:val="TableParagraph"/>
              <w:spacing w:before="48"/>
              <w:ind w:right="66"/>
              <w:jc w:val="right"/>
              <w:rPr>
                <w:sz w:val="20"/>
              </w:rPr>
            </w:pPr>
            <w:r>
              <w:rPr>
                <w:color w:val="231F20"/>
                <w:sz w:val="20"/>
              </w:rPr>
              <w:t>81</w:t>
            </w:r>
          </w:p>
        </w:tc>
      </w:tr>
      <w:tr>
        <w:trPr>
          <w:trHeight w:val="315" w:hRule="exact"/>
        </w:trPr>
        <w:tc>
          <w:tcPr>
            <w:tcW w:w="5026" w:type="dxa"/>
            <w:shd w:val="clear" w:color="auto" w:fill="D1D3D4"/>
          </w:tcPr>
          <w:p>
            <w:pPr>
              <w:pStyle w:val="TableParagraph"/>
              <w:spacing w:before="4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48"/>
              <w:ind w:right="326"/>
              <w:jc w:val="right"/>
              <w:rPr>
                <w:sz w:val="20"/>
              </w:rPr>
            </w:pPr>
            <w:r>
              <w:rPr>
                <w:color w:val="231F20"/>
                <w:sz w:val="20"/>
              </w:rPr>
              <w:t>246</w:t>
            </w:r>
          </w:p>
        </w:tc>
        <w:tc>
          <w:tcPr>
            <w:tcW w:w="1856" w:type="dxa"/>
            <w:tcBorders>
              <w:bottom w:val="single" w:sz="4" w:space="0" w:color="231F20"/>
            </w:tcBorders>
            <w:shd w:val="clear" w:color="auto" w:fill="D1D3D4"/>
          </w:tcPr>
          <w:p>
            <w:pPr>
              <w:pStyle w:val="TableParagraph"/>
              <w:spacing w:before="48"/>
              <w:ind w:right="66"/>
              <w:jc w:val="right"/>
              <w:rPr>
                <w:sz w:val="20"/>
              </w:rPr>
            </w:pPr>
            <w:r>
              <w:rPr>
                <w:color w:val="231F20"/>
                <w:sz w:val="20"/>
              </w:rPr>
              <w:t>227</w:t>
            </w:r>
          </w:p>
        </w:tc>
      </w:tr>
      <w:tr>
        <w:trPr>
          <w:trHeight w:val="360" w:hRule="exact"/>
        </w:trPr>
        <w:tc>
          <w:tcPr>
            <w:tcW w:w="5026" w:type="dxa"/>
          </w:tcPr>
          <w:p>
            <w:pPr>
              <w:pStyle w:val="TableParagraph"/>
              <w:spacing w:before="68"/>
              <w:ind w:left="200"/>
              <w:rPr>
                <w:sz w:val="20"/>
              </w:rPr>
            </w:pPr>
            <w:r>
              <w:rPr>
                <w:color w:val="231F20"/>
                <w:sz w:val="20"/>
              </w:rPr>
              <w:t>Accrued liabilities</w:t>
            </w:r>
          </w:p>
        </w:tc>
        <w:tc>
          <w:tcPr>
            <w:tcW w:w="160" w:type="dxa"/>
          </w:tcPr>
          <w:p>
            <w:pPr/>
          </w:p>
        </w:tc>
        <w:tc>
          <w:tcPr>
            <w:tcW w:w="2078" w:type="dxa"/>
            <w:tcBorders>
              <w:top w:val="single" w:sz="4" w:space="0" w:color="231F20"/>
              <w:bottom w:val="single" w:sz="4" w:space="0" w:color="231F20"/>
            </w:tcBorders>
          </w:tcPr>
          <w:p>
            <w:pPr>
              <w:pStyle w:val="TableParagraph"/>
              <w:tabs>
                <w:tab w:pos="1299" w:val="left" w:leader="none"/>
              </w:tabs>
              <w:spacing w:before="48"/>
              <w:rPr>
                <w:sz w:val="20"/>
              </w:rPr>
            </w:pPr>
            <w:r>
              <w:rPr>
                <w:color w:val="231F20"/>
                <w:sz w:val="20"/>
              </w:rPr>
              <w:t>$</w:t>
              <w:tab/>
              <w:t>2,591</w:t>
            </w:r>
          </w:p>
        </w:tc>
        <w:tc>
          <w:tcPr>
            <w:tcW w:w="1856" w:type="dxa"/>
            <w:tcBorders>
              <w:top w:val="single" w:sz="4" w:space="0" w:color="231F20"/>
              <w:bottom w:val="single" w:sz="4" w:space="0" w:color="231F20"/>
            </w:tcBorders>
          </w:tcPr>
          <w:p>
            <w:pPr>
              <w:pStyle w:val="TableParagraph"/>
              <w:tabs>
                <w:tab w:pos="1299" w:val="left" w:leader="none"/>
              </w:tabs>
              <w:spacing w:before="48"/>
              <w:ind w:right="64"/>
              <w:jc w:val="right"/>
              <w:rPr>
                <w:sz w:val="20"/>
              </w:rPr>
            </w:pPr>
            <w:r>
              <w:rPr>
                <w:color w:val="231F20"/>
                <w:sz w:val="20"/>
              </w:rPr>
              <w:t>$</w:t>
              <w:tab/>
              <w:t>1,565</w:t>
            </w:r>
          </w:p>
        </w:tc>
      </w:tr>
    </w:tbl>
    <w:p>
      <w:pPr>
        <w:spacing w:line="254" w:lineRule="auto" w:before="162"/>
        <w:ind w:left="120" w:right="117" w:firstLine="0"/>
        <w:jc w:val="both"/>
        <w:rPr>
          <w:sz w:val="18"/>
        </w:rPr>
      </w:pPr>
      <w:r>
        <w:rPr/>
        <w:pict>
          <v:line style="position:absolute;mso-position-horizontal-relative:page;mso-position-vertical-relative:page;z-index:-390928" from="69pt,101.5pt" to="318.3pt,101.5pt" stroked="true" strokeweight="1pt" strokecolor="#231f20">
            <v:stroke dashstyle="solid"/>
            <w10:wrap type="none"/>
          </v:line>
        </w:pict>
      </w:r>
      <w:r>
        <w:rPr/>
        <w:pict>
          <v:line style="position:absolute;mso-position-horizontal-relative:page;mso-position-vertical-relative:page;z-index:-390904" from="328.299988pt,164.75pt" to="419.149988pt,164.75pt" stroked="true" strokeweight=".5pt" strokecolor="#231f20">
            <v:stroke dashstyle="solid"/>
            <w10:wrap type="none"/>
          </v:line>
        </w:pict>
      </w:r>
      <w:r>
        <w:rPr/>
        <w:pict>
          <v:line style="position:absolute;mso-position-horizontal-relative:page;mso-position-vertical-relative:page;z-index:-390880" from="434.149994pt,164.75pt" to="524.999994pt,164.75pt" stroked="true" strokeweight=".5pt" strokecolor="#231f20">
            <v:stroke dashstyle="solid"/>
            <w10:wrap type="none"/>
          </v:line>
        </w:pict>
      </w:r>
      <w:r>
        <w:rPr/>
        <w:pict>
          <v:line style="position:absolute;mso-position-horizontal-relative:page;mso-position-vertical-relative:page;z-index:-390856" from="69pt,192.5pt" to="318.3pt,192.5pt" stroked="true" strokeweight="1pt" strokecolor="#231f20">
            <v:stroke dashstyle="solid"/>
            <w10:wrap type="none"/>
          </v:line>
        </w:pict>
      </w:r>
      <w:r>
        <w:rPr/>
        <w:pict>
          <v:line style="position:absolute;mso-position-horizontal-relative:page;mso-position-vertical-relative:page;z-index:-390832" from="328.299988pt,299.75pt" to="419.149988pt,299.75pt" stroked="true" strokeweight=".5pt" strokecolor="#231f20">
            <v:stroke dashstyle="solid"/>
            <w10:wrap type="none"/>
          </v:line>
        </w:pict>
      </w:r>
      <w:r>
        <w:rPr/>
        <w:pict>
          <v:line style="position:absolute;mso-position-horizontal-relative:page;mso-position-vertical-relative:page;z-index:-390808" from="434.149994pt,299.75pt" to="524.999994pt,299.75pt" stroked="true" strokeweight=".5pt" strokecolor="#231f20">
            <v:stroke dashstyle="solid"/>
            <w10:wrap type="none"/>
          </v:line>
        </w:pict>
      </w:r>
      <w:r>
        <w:rPr/>
        <w:pict>
          <v:line style="position:absolute;mso-position-horizontal-relative:page;mso-position-vertical-relative:page;z-index:-390784" from="69pt,327.5pt" to="318.3pt,327.5pt" stroked="true" strokeweight="1pt" strokecolor="#231f20">
            <v:stroke dashstyle="solid"/>
            <w10:wrap type="none"/>
          </v:line>
        </w:pict>
      </w:r>
      <w:r>
        <w:rPr/>
        <w:pict>
          <v:line style="position:absolute;mso-position-horizontal-relative:page;mso-position-vertical-relative:paragraph;z-index:-390760" from="328.299988pt,-2.747656pt" to="419.149988pt,-2.747656pt" stroked="true" strokeweight=".5pt" strokecolor="#231f20">
            <v:stroke dashstyle="solid"/>
            <w10:wrap type="none"/>
          </v:line>
        </w:pict>
      </w:r>
      <w:r>
        <w:rPr/>
        <w:pict>
          <v:line style="position:absolute;mso-position-horizontal-relative:page;mso-position-vertical-relative:paragraph;z-index:-390736" from="434.149994pt,-2.747656pt" to="524.999994pt,-2.747656pt" stroked="true" strokeweight=".5pt" strokecolor="#231f20">
            <v:stroke dashstyle="solid"/>
            <w10:wrap type="none"/>
          </v:line>
        </w:pict>
      </w:r>
      <w:r>
        <w:rPr/>
        <w:pict>
          <v:line style="position:absolute;mso-position-horizontal-relative:page;mso-position-vertical-relative:paragraph;z-index:-390712" from="69pt,75.002342pt" to="318.3pt,75.002342pt" stroked="true" strokeweight="1pt" strokecolor="#231f20">
            <v:stroke dashstyle="solid"/>
            <w10:wrap type="none"/>
          </v:line>
        </w:pict>
      </w:r>
      <w:r>
        <w:rPr/>
        <w:pict>
          <v:line style="position:absolute;mso-position-horizontal-relative:page;mso-position-vertical-relative:page;z-index:-390688" from="328.299988pt,664.75pt" to="419.149988pt,664.75pt" stroked="true" strokeweight=".5pt" strokecolor="#231f20">
            <v:stroke dashstyle="solid"/>
            <w10:wrap type="none"/>
          </v:line>
        </w:pict>
      </w:r>
      <w:r>
        <w:rPr>
          <w:color w:val="231F20"/>
          <w:sz w:val="18"/>
        </w:rPr>
        <w:t>(a) As part of the ongoing negotiations with various union contract groups during 2015, the Company has recorded a liability for estimated bonuses that would be paid out to union members upon ratification of labor agreements. The liability excludes certain immaterial benefit costs that are included as a component of Accounts payable. The amount accrued is subject to change based on subsequent negotiations, and any changes would be recorded on a prospective basis.</w:t>
      </w:r>
    </w:p>
    <w:p>
      <w:pPr>
        <w:pStyle w:val="BodyText"/>
        <w:spacing w:before="7"/>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86"/>
        <w:gridCol w:w="200"/>
        <w:gridCol w:w="1817"/>
        <w:gridCol w:w="300"/>
        <w:gridCol w:w="1817"/>
      </w:tblGrid>
      <w:tr>
        <w:trPr>
          <w:trHeight w:val="256" w:hRule="exact"/>
        </w:trPr>
        <w:tc>
          <w:tcPr>
            <w:tcW w:w="4986" w:type="dxa"/>
          </w:tcPr>
          <w:p>
            <w:pPr>
              <w:pStyle w:val="TableParagraph"/>
              <w:spacing w:line="229" w:lineRule="exact" w:before="0"/>
              <w:rPr>
                <w:b/>
                <w:sz w:val="20"/>
              </w:rPr>
            </w:pPr>
            <w:r>
              <w:rPr>
                <w:b/>
                <w:color w:val="231F20"/>
                <w:sz w:val="20"/>
              </w:rPr>
              <w:t>(in millions)</w:t>
            </w:r>
          </w:p>
        </w:tc>
        <w:tc>
          <w:tcPr>
            <w:tcW w:w="2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2015</w:t>
            </w:r>
          </w:p>
        </w:tc>
        <w:tc>
          <w:tcPr>
            <w:tcW w:w="3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2014</w:t>
            </w:r>
          </w:p>
        </w:tc>
      </w:tr>
      <w:tr>
        <w:trPr>
          <w:trHeight w:val="310" w:hRule="exact"/>
        </w:trPr>
        <w:tc>
          <w:tcPr>
            <w:tcW w:w="4986" w:type="dxa"/>
            <w:shd w:val="clear" w:color="auto" w:fill="D1D3D4"/>
          </w:tcPr>
          <w:p>
            <w:pPr>
              <w:pStyle w:val="TableParagraph"/>
              <w:rPr>
                <w:sz w:val="20"/>
              </w:rPr>
            </w:pPr>
            <w:r>
              <w:rPr>
                <w:color w:val="231F20"/>
                <w:sz w:val="20"/>
              </w:rPr>
              <w:t>Postretirement obligation</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201</w:t>
            </w:r>
          </w:p>
        </w:tc>
        <w:tc>
          <w:tcPr>
            <w:tcW w:w="3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169</w:t>
            </w:r>
          </w:p>
        </w:tc>
      </w:tr>
      <w:tr>
        <w:trPr>
          <w:trHeight w:val="300" w:hRule="exact"/>
        </w:trPr>
        <w:tc>
          <w:tcPr>
            <w:tcW w:w="4986" w:type="dxa"/>
          </w:tcPr>
          <w:p>
            <w:pPr>
              <w:pStyle w:val="TableParagraph"/>
              <w:rPr>
                <w:sz w:val="20"/>
              </w:rPr>
            </w:pPr>
            <w:r>
              <w:rPr>
                <w:color w:val="231F20"/>
                <w:sz w:val="20"/>
              </w:rPr>
              <w:t>Non-current lease-related obligations</w:t>
            </w:r>
          </w:p>
        </w:tc>
        <w:tc>
          <w:tcPr>
            <w:tcW w:w="200" w:type="dxa"/>
          </w:tcPr>
          <w:p>
            <w:pPr/>
          </w:p>
        </w:tc>
        <w:tc>
          <w:tcPr>
            <w:tcW w:w="1817" w:type="dxa"/>
          </w:tcPr>
          <w:p>
            <w:pPr>
              <w:pStyle w:val="TableParagraph"/>
              <w:ind w:right="64"/>
              <w:jc w:val="right"/>
              <w:rPr>
                <w:sz w:val="20"/>
              </w:rPr>
            </w:pPr>
            <w:r>
              <w:rPr>
                <w:color w:val="231F20"/>
                <w:sz w:val="20"/>
              </w:rPr>
              <w:t>165</w:t>
            </w:r>
          </w:p>
        </w:tc>
        <w:tc>
          <w:tcPr>
            <w:tcW w:w="300" w:type="dxa"/>
          </w:tcPr>
          <w:p>
            <w:pPr/>
          </w:p>
        </w:tc>
        <w:tc>
          <w:tcPr>
            <w:tcW w:w="1817" w:type="dxa"/>
          </w:tcPr>
          <w:p>
            <w:pPr>
              <w:pStyle w:val="TableParagraph"/>
              <w:ind w:right="64"/>
              <w:jc w:val="right"/>
              <w:rPr>
                <w:sz w:val="20"/>
              </w:rPr>
            </w:pPr>
            <w:r>
              <w:rPr>
                <w:color w:val="231F20"/>
                <w:sz w:val="20"/>
              </w:rPr>
              <w:t>193</w:t>
            </w:r>
          </w:p>
        </w:tc>
      </w:tr>
      <w:tr>
        <w:trPr>
          <w:trHeight w:val="300" w:hRule="exact"/>
        </w:trPr>
        <w:tc>
          <w:tcPr>
            <w:tcW w:w="4986" w:type="dxa"/>
            <w:shd w:val="clear" w:color="auto" w:fill="D1D3D4"/>
          </w:tcPr>
          <w:p>
            <w:pPr>
              <w:pStyle w:val="TableParagraph"/>
              <w:rPr>
                <w:sz w:val="20"/>
              </w:rPr>
            </w:pPr>
            <w:r>
              <w:rPr>
                <w:color w:val="231F20"/>
                <w:sz w:val="20"/>
              </w:rPr>
              <w:t>Other deferred compensation</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179</w:t>
            </w:r>
          </w:p>
        </w:tc>
        <w:tc>
          <w:tcPr>
            <w:tcW w:w="3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174</w:t>
            </w:r>
          </w:p>
        </w:tc>
      </w:tr>
      <w:tr>
        <w:trPr>
          <w:trHeight w:val="300" w:hRule="exact"/>
        </w:trPr>
        <w:tc>
          <w:tcPr>
            <w:tcW w:w="4986" w:type="dxa"/>
          </w:tcPr>
          <w:p>
            <w:pPr>
              <w:pStyle w:val="TableParagraph"/>
              <w:rPr>
                <w:sz w:val="20"/>
              </w:rPr>
            </w:pPr>
            <w:r>
              <w:rPr>
                <w:color w:val="231F20"/>
                <w:sz w:val="20"/>
              </w:rPr>
              <w:t>Deferred gains from sale and leaseback of aircraft</w:t>
            </w:r>
          </w:p>
        </w:tc>
        <w:tc>
          <w:tcPr>
            <w:tcW w:w="200" w:type="dxa"/>
          </w:tcPr>
          <w:p>
            <w:pPr/>
          </w:p>
        </w:tc>
        <w:tc>
          <w:tcPr>
            <w:tcW w:w="1817" w:type="dxa"/>
          </w:tcPr>
          <w:p>
            <w:pPr>
              <w:pStyle w:val="TableParagraph"/>
              <w:ind w:right="64"/>
              <w:jc w:val="right"/>
              <w:rPr>
                <w:sz w:val="20"/>
              </w:rPr>
            </w:pPr>
            <w:r>
              <w:rPr>
                <w:color w:val="231F20"/>
                <w:sz w:val="20"/>
              </w:rPr>
              <w:t>43</w:t>
            </w:r>
          </w:p>
        </w:tc>
        <w:tc>
          <w:tcPr>
            <w:tcW w:w="300" w:type="dxa"/>
          </w:tcPr>
          <w:p>
            <w:pPr/>
          </w:p>
        </w:tc>
        <w:tc>
          <w:tcPr>
            <w:tcW w:w="1817" w:type="dxa"/>
          </w:tcPr>
          <w:p>
            <w:pPr>
              <w:pStyle w:val="TableParagraph"/>
              <w:ind w:right="64"/>
              <w:jc w:val="right"/>
              <w:rPr>
                <w:sz w:val="20"/>
              </w:rPr>
            </w:pPr>
            <w:r>
              <w:rPr>
                <w:color w:val="231F20"/>
                <w:sz w:val="20"/>
              </w:rPr>
              <w:t>53</w:t>
            </w:r>
          </w:p>
        </w:tc>
      </w:tr>
      <w:tr>
        <w:trPr>
          <w:trHeight w:val="300" w:hRule="exact"/>
        </w:trPr>
        <w:tc>
          <w:tcPr>
            <w:tcW w:w="4986" w:type="dxa"/>
            <w:shd w:val="clear" w:color="auto" w:fill="D1D3D4"/>
          </w:tcPr>
          <w:p>
            <w:pPr>
              <w:pStyle w:val="TableParagraph"/>
              <w:rPr>
                <w:sz w:val="20"/>
              </w:rPr>
            </w:pPr>
            <w:r>
              <w:rPr>
                <w:color w:val="231F20"/>
                <w:sz w:val="20"/>
              </w:rPr>
              <w:t>Derivative contracts</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74</w:t>
            </w:r>
          </w:p>
        </w:tc>
        <w:tc>
          <w:tcPr>
            <w:tcW w:w="300" w:type="dxa"/>
            <w:shd w:val="clear" w:color="auto" w:fill="D1D3D4"/>
          </w:tcPr>
          <w:p>
            <w:pPr/>
          </w:p>
        </w:tc>
        <w:tc>
          <w:tcPr>
            <w:tcW w:w="1817" w:type="dxa"/>
            <w:shd w:val="clear" w:color="auto" w:fill="D1D3D4"/>
          </w:tcPr>
          <w:p>
            <w:pPr>
              <w:pStyle w:val="TableParagraph"/>
              <w:ind w:right="64"/>
              <w:jc w:val="right"/>
              <w:rPr>
                <w:sz w:val="20"/>
              </w:rPr>
            </w:pPr>
            <w:r>
              <w:rPr>
                <w:color w:val="231F20"/>
                <w:sz w:val="20"/>
              </w:rPr>
              <w:t>622</w:t>
            </w:r>
          </w:p>
        </w:tc>
      </w:tr>
      <w:tr>
        <w:trPr>
          <w:trHeight w:val="315" w:hRule="exact"/>
        </w:trPr>
        <w:tc>
          <w:tcPr>
            <w:tcW w:w="4986" w:type="dxa"/>
          </w:tcPr>
          <w:p>
            <w:pPr>
              <w:pStyle w:val="TableParagraph"/>
              <w:rPr>
                <w:sz w:val="20"/>
              </w:rPr>
            </w:pPr>
            <w:r>
              <w:rPr>
                <w:color w:val="231F20"/>
                <w:sz w:val="20"/>
              </w:rPr>
              <w:t>Other</w:t>
            </w:r>
          </w:p>
        </w:tc>
        <w:tc>
          <w:tcPr>
            <w:tcW w:w="200" w:type="dxa"/>
          </w:tcPr>
          <w:p>
            <w:pPr/>
          </w:p>
        </w:tc>
        <w:tc>
          <w:tcPr>
            <w:tcW w:w="1817" w:type="dxa"/>
            <w:tcBorders>
              <w:bottom w:val="single" w:sz="4" w:space="0" w:color="231F20"/>
            </w:tcBorders>
          </w:tcPr>
          <w:p>
            <w:pPr>
              <w:pStyle w:val="TableParagraph"/>
              <w:ind w:right="66"/>
              <w:jc w:val="right"/>
              <w:rPr>
                <w:sz w:val="20"/>
              </w:rPr>
            </w:pPr>
            <w:r>
              <w:rPr>
                <w:color w:val="231F20"/>
                <w:sz w:val="20"/>
              </w:rPr>
              <w:t>98</w:t>
            </w:r>
          </w:p>
        </w:tc>
        <w:tc>
          <w:tcPr>
            <w:tcW w:w="300" w:type="dxa"/>
          </w:tcPr>
          <w:p>
            <w:pPr/>
          </w:p>
        </w:tc>
        <w:tc>
          <w:tcPr>
            <w:tcW w:w="1817" w:type="dxa"/>
            <w:tcBorders>
              <w:bottom w:val="single" w:sz="4" w:space="0" w:color="231F20"/>
            </w:tcBorders>
          </w:tcPr>
          <w:p>
            <w:pPr>
              <w:pStyle w:val="TableParagraph"/>
              <w:ind w:right="66"/>
              <w:jc w:val="right"/>
              <w:rPr>
                <w:sz w:val="20"/>
              </w:rPr>
            </w:pPr>
            <w:r>
              <w:rPr>
                <w:color w:val="231F20"/>
                <w:sz w:val="20"/>
              </w:rPr>
              <w:t>44</w:t>
            </w:r>
          </w:p>
        </w:tc>
      </w:tr>
      <w:tr>
        <w:trPr>
          <w:trHeight w:val="360" w:hRule="exact"/>
        </w:trPr>
        <w:tc>
          <w:tcPr>
            <w:tcW w:w="4986" w:type="dxa"/>
            <w:shd w:val="clear" w:color="auto" w:fill="D1D3D4"/>
          </w:tcPr>
          <w:p>
            <w:pPr>
              <w:pStyle w:val="TableParagraph"/>
              <w:ind w:left="200"/>
              <w:rPr>
                <w:sz w:val="20"/>
              </w:rPr>
            </w:pPr>
            <w:r>
              <w:rPr>
                <w:color w:val="231F20"/>
                <w:sz w:val="20"/>
              </w:rPr>
              <w:t>Other non-current liabilities</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49" w:val="left" w:leader="none"/>
              </w:tabs>
              <w:ind w:right="64"/>
              <w:jc w:val="right"/>
              <w:rPr>
                <w:sz w:val="20"/>
              </w:rPr>
            </w:pPr>
            <w:r>
              <w:rPr>
                <w:color w:val="231F20"/>
                <w:sz w:val="20"/>
              </w:rPr>
              <w:t>$</w:t>
              <w:tab/>
              <w:t>760</w:t>
            </w:r>
          </w:p>
        </w:tc>
        <w:tc>
          <w:tcPr>
            <w:tcW w:w="3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spacing w:before="48"/>
              <w:ind w:right="64"/>
              <w:jc w:val="right"/>
              <w:rPr>
                <w:sz w:val="20"/>
              </w:rPr>
            </w:pPr>
            <w:r>
              <w:rPr>
                <w:color w:val="231F20"/>
                <w:sz w:val="20"/>
              </w:rPr>
              <w:t>$</w:t>
              <w:tab/>
              <w:t>1,255</w:t>
            </w:r>
          </w:p>
        </w:tc>
      </w:tr>
    </w:tbl>
    <w:p>
      <w:pPr>
        <w:spacing w:after="0"/>
        <w:jc w:val="right"/>
        <w:rPr>
          <w:sz w:val="20"/>
        </w:rPr>
        <w:sectPr>
          <w:pgSz w:w="11880" w:h="15480"/>
          <w:pgMar w:header="0" w:footer="1240" w:top="1320" w:bottom="1420" w:left="1260" w:right="1260"/>
        </w:sectPr>
      </w:pPr>
    </w:p>
    <w:p>
      <w:pPr>
        <w:pStyle w:val="Heading2"/>
        <w:spacing w:before="74"/>
        <w:ind w:left="480"/>
        <w:rPr>
          <w:i/>
        </w:rPr>
      </w:pPr>
      <w:r>
        <w:rPr>
          <w:i/>
          <w:color w:val="231F20"/>
        </w:rPr>
        <w:t>Other Operating Expenses</w:t>
      </w:r>
    </w:p>
    <w:p>
      <w:pPr>
        <w:pStyle w:val="BodyText"/>
        <w:spacing w:line="247" w:lineRule="auto" w:before="195"/>
        <w:ind w:left="119" w:right="118"/>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8"/>
        <w:rPr>
          <w:sz w:val="24"/>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6"/>
        <w:gridCol w:w="1817"/>
        <w:gridCol w:w="200"/>
        <w:gridCol w:w="1817"/>
      </w:tblGrid>
      <w:tr>
        <w:trPr>
          <w:trHeight w:val="330" w:hRule="exact"/>
        </w:trPr>
        <w:tc>
          <w:tcPr>
            <w:tcW w:w="5286" w:type="dxa"/>
          </w:tcPr>
          <w:p>
            <w:pPr>
              <w:pStyle w:val="TableParagraph"/>
              <w:spacing w:line="252" w:lineRule="exact" w:before="0"/>
              <w:rPr>
                <w:b/>
                <w:sz w:val="22"/>
              </w:rPr>
            </w:pPr>
            <w:r>
              <w:rPr>
                <w:b/>
                <w:color w:val="231F20"/>
                <w:sz w:val="22"/>
              </w:rPr>
              <w:t>6. LONG-TERM DEBT</w:t>
            </w:r>
          </w:p>
        </w:tc>
        <w:tc>
          <w:tcPr>
            <w:tcW w:w="3834" w:type="dxa"/>
            <w:gridSpan w:val="3"/>
          </w:tcPr>
          <w:p>
            <w:pPr/>
          </w:p>
        </w:tc>
      </w:tr>
      <w:tr>
        <w:trPr>
          <w:trHeight w:val="334" w:hRule="exact"/>
        </w:trPr>
        <w:tc>
          <w:tcPr>
            <w:tcW w:w="5286" w:type="dxa"/>
          </w:tcPr>
          <w:p>
            <w:pPr>
              <w:pStyle w:val="TableParagraph"/>
              <w:spacing w:before="77"/>
              <w:rPr>
                <w:b/>
                <w:sz w:val="20"/>
              </w:rPr>
            </w:pPr>
            <w:r>
              <w:rPr>
                <w:b/>
                <w:color w:val="231F20"/>
                <w:sz w:val="20"/>
              </w:rPr>
              <w:t>(in millions)</w:t>
            </w:r>
          </w:p>
        </w:tc>
        <w:tc>
          <w:tcPr>
            <w:tcW w:w="1817" w:type="dxa"/>
            <w:tcBorders>
              <w:bottom w:val="single" w:sz="8" w:space="0" w:color="231F20"/>
            </w:tcBorders>
          </w:tcPr>
          <w:p>
            <w:pPr>
              <w:pStyle w:val="TableParagraph"/>
              <w:spacing w:before="77"/>
              <w:ind w:right="97"/>
              <w:jc w:val="right"/>
              <w:rPr>
                <w:b/>
                <w:sz w:val="20"/>
              </w:rPr>
            </w:pPr>
            <w:r>
              <w:rPr>
                <w:b/>
                <w:color w:val="231F20"/>
                <w:sz w:val="20"/>
              </w:rPr>
              <w:t>December 31, 2015</w:t>
            </w:r>
          </w:p>
        </w:tc>
        <w:tc>
          <w:tcPr>
            <w:tcW w:w="200" w:type="dxa"/>
          </w:tcPr>
          <w:p>
            <w:pPr/>
          </w:p>
        </w:tc>
        <w:tc>
          <w:tcPr>
            <w:tcW w:w="1817" w:type="dxa"/>
            <w:tcBorders>
              <w:bottom w:val="single" w:sz="8" w:space="0" w:color="231F20"/>
            </w:tcBorders>
          </w:tcPr>
          <w:p>
            <w:pPr>
              <w:pStyle w:val="TableParagraph"/>
              <w:spacing w:before="77"/>
              <w:ind w:right="97"/>
              <w:jc w:val="right"/>
              <w:rPr>
                <w:b/>
                <w:sz w:val="20"/>
              </w:rPr>
            </w:pPr>
            <w:r>
              <w:rPr>
                <w:b/>
                <w:color w:val="231F20"/>
                <w:sz w:val="20"/>
              </w:rPr>
              <w:t>December 31, 2014</w:t>
            </w:r>
          </w:p>
        </w:tc>
      </w:tr>
      <w:tr>
        <w:trPr>
          <w:trHeight w:val="305" w:hRule="exact"/>
        </w:trPr>
        <w:tc>
          <w:tcPr>
            <w:tcW w:w="5286" w:type="dxa"/>
            <w:shd w:val="clear" w:color="auto" w:fill="D1D3D4"/>
          </w:tcPr>
          <w:p>
            <w:pPr>
              <w:pStyle w:val="TableParagraph"/>
              <w:spacing w:before="48"/>
              <w:rPr>
                <w:sz w:val="20"/>
              </w:rPr>
            </w:pPr>
            <w:r>
              <w:rPr>
                <w:color w:val="231F20"/>
                <w:sz w:val="20"/>
              </w:rPr>
              <w:t>5.75% Notes due 2016</w:t>
            </w:r>
          </w:p>
        </w:tc>
        <w:tc>
          <w:tcPr>
            <w:tcW w:w="1817" w:type="dxa"/>
            <w:tcBorders>
              <w:top w:val="single" w:sz="8" w:space="0" w:color="231F20"/>
            </w:tcBorders>
            <w:shd w:val="clear" w:color="auto" w:fill="D1D3D4"/>
          </w:tcPr>
          <w:p>
            <w:pPr>
              <w:pStyle w:val="TableParagraph"/>
              <w:tabs>
                <w:tab w:pos="1449" w:val="left" w:leader="none"/>
              </w:tabs>
              <w:spacing w:before="48"/>
              <w:ind w:right="66"/>
              <w:jc w:val="right"/>
              <w:rPr>
                <w:sz w:val="20"/>
              </w:rPr>
            </w:pPr>
            <w:r>
              <w:rPr>
                <w:color w:val="231F20"/>
                <w:sz w:val="20"/>
              </w:rPr>
              <w:t>$</w:t>
              <w:tab/>
              <w:t>307</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spacing w:before="48"/>
              <w:ind w:right="66"/>
              <w:jc w:val="right"/>
              <w:rPr>
                <w:sz w:val="20"/>
              </w:rPr>
            </w:pPr>
            <w:r>
              <w:rPr>
                <w:color w:val="231F20"/>
                <w:sz w:val="20"/>
              </w:rPr>
              <w:t>$</w:t>
              <w:tab/>
              <w:t>313</w:t>
            </w:r>
          </w:p>
        </w:tc>
      </w:tr>
      <w:tr>
        <w:trPr>
          <w:trHeight w:val="295" w:hRule="exact"/>
        </w:trPr>
        <w:tc>
          <w:tcPr>
            <w:tcW w:w="5286" w:type="dxa"/>
          </w:tcPr>
          <w:p>
            <w:pPr>
              <w:pStyle w:val="TableParagraph"/>
              <w:spacing w:before="48"/>
              <w:rPr>
                <w:sz w:val="20"/>
              </w:rPr>
            </w:pPr>
            <w:r>
              <w:rPr>
                <w:color w:val="231F20"/>
                <w:sz w:val="20"/>
              </w:rPr>
              <w:t>5.25% Convertible Senior Notes due 2016</w:t>
            </w:r>
          </w:p>
        </w:tc>
        <w:tc>
          <w:tcPr>
            <w:tcW w:w="1817" w:type="dxa"/>
          </w:tcPr>
          <w:p>
            <w:pPr>
              <w:pStyle w:val="TableParagraph"/>
              <w:spacing w:before="48"/>
              <w:ind w:right="64"/>
              <w:jc w:val="right"/>
              <w:rPr>
                <w:sz w:val="20"/>
              </w:rPr>
            </w:pPr>
            <w:r>
              <w:rPr>
                <w:color w:val="231F20"/>
                <w:sz w:val="20"/>
              </w:rPr>
              <w:t>111</w:t>
            </w:r>
          </w:p>
        </w:tc>
        <w:tc>
          <w:tcPr>
            <w:tcW w:w="200" w:type="dxa"/>
          </w:tcPr>
          <w:p>
            <w:pPr/>
          </w:p>
        </w:tc>
        <w:tc>
          <w:tcPr>
            <w:tcW w:w="1817" w:type="dxa"/>
          </w:tcPr>
          <w:p>
            <w:pPr>
              <w:pStyle w:val="TableParagraph"/>
              <w:spacing w:before="48"/>
              <w:ind w:right="64"/>
              <w:jc w:val="right"/>
              <w:rPr>
                <w:sz w:val="20"/>
              </w:rPr>
            </w:pPr>
            <w:r>
              <w:rPr>
                <w:color w:val="231F20"/>
                <w:sz w:val="20"/>
              </w:rPr>
              <w:t>113</w:t>
            </w:r>
          </w:p>
        </w:tc>
      </w:tr>
      <w:tr>
        <w:trPr>
          <w:trHeight w:val="295" w:hRule="exact"/>
        </w:trPr>
        <w:tc>
          <w:tcPr>
            <w:tcW w:w="5286" w:type="dxa"/>
            <w:shd w:val="clear" w:color="auto" w:fill="D1D3D4"/>
          </w:tcPr>
          <w:p>
            <w:pPr>
              <w:pStyle w:val="TableParagraph"/>
              <w:spacing w:before="48"/>
              <w:rPr>
                <w:sz w:val="20"/>
              </w:rPr>
            </w:pPr>
            <w:r>
              <w:rPr>
                <w:color w:val="231F20"/>
                <w:sz w:val="20"/>
              </w:rPr>
              <w:t>5.125% Notes due 2017</w:t>
            </w:r>
          </w:p>
        </w:tc>
        <w:tc>
          <w:tcPr>
            <w:tcW w:w="1817" w:type="dxa"/>
            <w:shd w:val="clear" w:color="auto" w:fill="D1D3D4"/>
          </w:tcPr>
          <w:p>
            <w:pPr>
              <w:pStyle w:val="TableParagraph"/>
              <w:spacing w:before="48"/>
              <w:ind w:right="66"/>
              <w:jc w:val="right"/>
              <w:rPr>
                <w:sz w:val="20"/>
              </w:rPr>
            </w:pPr>
            <w:r>
              <w:rPr>
                <w:color w:val="231F20"/>
                <w:sz w:val="20"/>
              </w:rPr>
              <w:t>309</w:t>
            </w:r>
          </w:p>
        </w:tc>
        <w:tc>
          <w:tcPr>
            <w:tcW w:w="200" w:type="dxa"/>
            <w:shd w:val="clear" w:color="auto" w:fill="D1D3D4"/>
          </w:tcPr>
          <w:p>
            <w:pPr/>
          </w:p>
        </w:tc>
        <w:tc>
          <w:tcPr>
            <w:tcW w:w="1817" w:type="dxa"/>
            <w:shd w:val="clear" w:color="auto" w:fill="D1D3D4"/>
          </w:tcPr>
          <w:p>
            <w:pPr>
              <w:pStyle w:val="TableParagraph"/>
              <w:spacing w:before="48"/>
              <w:ind w:right="66"/>
              <w:jc w:val="right"/>
              <w:rPr>
                <w:sz w:val="20"/>
              </w:rPr>
            </w:pPr>
            <w:r>
              <w:rPr>
                <w:color w:val="231F20"/>
                <w:sz w:val="20"/>
              </w:rPr>
              <w:t>316</w:t>
            </w:r>
          </w:p>
        </w:tc>
      </w:tr>
      <w:tr>
        <w:trPr>
          <w:trHeight w:val="295" w:hRule="exact"/>
        </w:trPr>
        <w:tc>
          <w:tcPr>
            <w:tcW w:w="5286" w:type="dxa"/>
          </w:tcPr>
          <w:p>
            <w:pPr>
              <w:pStyle w:val="TableParagraph"/>
              <w:spacing w:before="48"/>
              <w:rPr>
                <w:sz w:val="20"/>
              </w:rPr>
            </w:pPr>
            <w:r>
              <w:rPr>
                <w:color w:val="231F20"/>
                <w:sz w:val="20"/>
              </w:rPr>
              <w:t>French Credit Agreements due 2018—1.53%</w:t>
            </w:r>
          </w:p>
        </w:tc>
        <w:tc>
          <w:tcPr>
            <w:tcW w:w="1817" w:type="dxa"/>
          </w:tcPr>
          <w:p>
            <w:pPr>
              <w:pStyle w:val="TableParagraph"/>
              <w:spacing w:before="48"/>
              <w:ind w:right="64"/>
              <w:jc w:val="right"/>
              <w:rPr>
                <w:sz w:val="20"/>
              </w:rPr>
            </w:pPr>
            <w:r>
              <w:rPr>
                <w:color w:val="231F20"/>
                <w:sz w:val="20"/>
              </w:rPr>
              <w:t>25</w:t>
            </w:r>
          </w:p>
        </w:tc>
        <w:tc>
          <w:tcPr>
            <w:tcW w:w="200" w:type="dxa"/>
          </w:tcPr>
          <w:p>
            <w:pPr/>
          </w:p>
        </w:tc>
        <w:tc>
          <w:tcPr>
            <w:tcW w:w="1817" w:type="dxa"/>
          </w:tcPr>
          <w:p>
            <w:pPr>
              <w:pStyle w:val="TableParagraph"/>
              <w:spacing w:before="48"/>
              <w:ind w:right="64"/>
              <w:jc w:val="right"/>
              <w:rPr>
                <w:sz w:val="20"/>
              </w:rPr>
            </w:pPr>
            <w:r>
              <w:rPr>
                <w:color w:val="231F20"/>
                <w:sz w:val="20"/>
              </w:rPr>
              <w:t>36</w:t>
            </w:r>
          </w:p>
        </w:tc>
      </w:tr>
      <w:tr>
        <w:trPr>
          <w:trHeight w:val="295" w:hRule="exact"/>
        </w:trPr>
        <w:tc>
          <w:tcPr>
            <w:tcW w:w="5286" w:type="dxa"/>
            <w:shd w:val="clear" w:color="auto" w:fill="D1D3D4"/>
          </w:tcPr>
          <w:p>
            <w:pPr>
              <w:pStyle w:val="TableParagraph"/>
              <w:spacing w:before="48"/>
              <w:rPr>
                <w:sz w:val="20"/>
              </w:rPr>
            </w:pPr>
            <w:r>
              <w:rPr>
                <w:color w:val="231F20"/>
                <w:sz w:val="20"/>
              </w:rPr>
              <w:t>Fixed-rate 737 Aircraft Notes payable through 2018—7.02%</w:t>
            </w:r>
          </w:p>
        </w:tc>
        <w:tc>
          <w:tcPr>
            <w:tcW w:w="1817" w:type="dxa"/>
            <w:shd w:val="clear" w:color="auto" w:fill="D1D3D4"/>
          </w:tcPr>
          <w:p>
            <w:pPr>
              <w:pStyle w:val="TableParagraph"/>
              <w:spacing w:before="48"/>
              <w:ind w:right="64"/>
              <w:jc w:val="right"/>
              <w:rPr>
                <w:sz w:val="20"/>
              </w:rPr>
            </w:pPr>
            <w:r>
              <w:rPr>
                <w:color w:val="231F20"/>
                <w:sz w:val="20"/>
              </w:rPr>
              <w:t>17</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24</w:t>
            </w:r>
          </w:p>
        </w:tc>
      </w:tr>
      <w:tr>
        <w:trPr>
          <w:trHeight w:val="295" w:hRule="exact"/>
        </w:trPr>
        <w:tc>
          <w:tcPr>
            <w:tcW w:w="5286" w:type="dxa"/>
          </w:tcPr>
          <w:p>
            <w:pPr>
              <w:pStyle w:val="TableParagraph"/>
              <w:spacing w:before="48"/>
              <w:rPr>
                <w:sz w:val="20"/>
              </w:rPr>
            </w:pPr>
            <w:r>
              <w:rPr>
                <w:color w:val="231F20"/>
                <w:sz w:val="20"/>
              </w:rPr>
              <w:t>2.75% Notes due 2019</w:t>
            </w:r>
          </w:p>
        </w:tc>
        <w:tc>
          <w:tcPr>
            <w:tcW w:w="1817" w:type="dxa"/>
          </w:tcPr>
          <w:p>
            <w:pPr>
              <w:pStyle w:val="TableParagraph"/>
              <w:spacing w:before="48"/>
              <w:ind w:right="66"/>
              <w:jc w:val="right"/>
              <w:rPr>
                <w:sz w:val="20"/>
              </w:rPr>
            </w:pPr>
            <w:r>
              <w:rPr>
                <w:color w:val="231F20"/>
                <w:sz w:val="20"/>
              </w:rPr>
              <w:t>303</w:t>
            </w:r>
          </w:p>
        </w:tc>
        <w:tc>
          <w:tcPr>
            <w:tcW w:w="200" w:type="dxa"/>
          </w:tcPr>
          <w:p>
            <w:pPr/>
          </w:p>
        </w:tc>
        <w:tc>
          <w:tcPr>
            <w:tcW w:w="1817" w:type="dxa"/>
          </w:tcPr>
          <w:p>
            <w:pPr>
              <w:pStyle w:val="TableParagraph"/>
              <w:spacing w:before="48"/>
              <w:ind w:right="66"/>
              <w:jc w:val="right"/>
              <w:rPr>
                <w:sz w:val="20"/>
              </w:rPr>
            </w:pPr>
            <w:r>
              <w:rPr>
                <w:color w:val="231F20"/>
                <w:sz w:val="20"/>
              </w:rPr>
              <w:t>300</w:t>
            </w:r>
          </w:p>
        </w:tc>
      </w:tr>
      <w:tr>
        <w:trPr>
          <w:trHeight w:val="295" w:hRule="exact"/>
        </w:trPr>
        <w:tc>
          <w:tcPr>
            <w:tcW w:w="5286" w:type="dxa"/>
            <w:shd w:val="clear" w:color="auto" w:fill="D1D3D4"/>
          </w:tcPr>
          <w:p>
            <w:pPr>
              <w:pStyle w:val="TableParagraph"/>
              <w:spacing w:before="48"/>
              <w:rPr>
                <w:sz w:val="20"/>
              </w:rPr>
            </w:pPr>
            <w:r>
              <w:rPr>
                <w:color w:val="231F20"/>
                <w:sz w:val="20"/>
              </w:rPr>
              <w:t>Term Loan Agreement due 2019—6.315%</w:t>
            </w:r>
          </w:p>
        </w:tc>
        <w:tc>
          <w:tcPr>
            <w:tcW w:w="1817" w:type="dxa"/>
            <w:shd w:val="clear" w:color="auto" w:fill="D1D3D4"/>
          </w:tcPr>
          <w:p>
            <w:pPr>
              <w:pStyle w:val="TableParagraph"/>
              <w:spacing w:before="48"/>
              <w:ind w:right="64"/>
              <w:jc w:val="right"/>
              <w:rPr>
                <w:sz w:val="20"/>
              </w:rPr>
            </w:pPr>
            <w:r>
              <w:rPr>
                <w:color w:val="231F20"/>
                <w:sz w:val="20"/>
              </w:rPr>
              <w:t>143</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178</w:t>
            </w:r>
          </w:p>
        </w:tc>
      </w:tr>
      <w:tr>
        <w:trPr>
          <w:trHeight w:val="295" w:hRule="exact"/>
        </w:trPr>
        <w:tc>
          <w:tcPr>
            <w:tcW w:w="5286" w:type="dxa"/>
          </w:tcPr>
          <w:p>
            <w:pPr>
              <w:pStyle w:val="TableParagraph"/>
              <w:spacing w:before="48"/>
              <w:rPr>
                <w:sz w:val="20"/>
              </w:rPr>
            </w:pPr>
            <w:r>
              <w:rPr>
                <w:color w:val="231F20"/>
                <w:sz w:val="20"/>
              </w:rPr>
              <w:t>Term Loan Agreement due 2019—4.84%</w:t>
            </w:r>
          </w:p>
        </w:tc>
        <w:tc>
          <w:tcPr>
            <w:tcW w:w="1817" w:type="dxa"/>
          </w:tcPr>
          <w:p>
            <w:pPr>
              <w:pStyle w:val="TableParagraph"/>
              <w:spacing w:before="48"/>
              <w:ind w:right="64"/>
              <w:jc w:val="right"/>
              <w:rPr>
                <w:sz w:val="20"/>
              </w:rPr>
            </w:pPr>
            <w:r>
              <w:rPr>
                <w:color w:val="231F20"/>
                <w:sz w:val="20"/>
              </w:rPr>
              <w:t>36</w:t>
            </w:r>
          </w:p>
        </w:tc>
        <w:tc>
          <w:tcPr>
            <w:tcW w:w="200" w:type="dxa"/>
          </w:tcPr>
          <w:p>
            <w:pPr/>
          </w:p>
        </w:tc>
        <w:tc>
          <w:tcPr>
            <w:tcW w:w="1817" w:type="dxa"/>
          </w:tcPr>
          <w:p>
            <w:pPr>
              <w:pStyle w:val="TableParagraph"/>
              <w:spacing w:before="48"/>
              <w:ind w:right="64"/>
              <w:jc w:val="right"/>
              <w:rPr>
                <w:sz w:val="20"/>
              </w:rPr>
            </w:pPr>
            <w:r>
              <w:rPr>
                <w:color w:val="231F20"/>
                <w:sz w:val="20"/>
              </w:rPr>
              <w:t>73</w:t>
            </w:r>
          </w:p>
        </w:tc>
      </w:tr>
      <w:tr>
        <w:trPr>
          <w:trHeight w:val="295" w:hRule="exact"/>
        </w:trPr>
        <w:tc>
          <w:tcPr>
            <w:tcW w:w="5286" w:type="dxa"/>
            <w:shd w:val="clear" w:color="auto" w:fill="D1D3D4"/>
          </w:tcPr>
          <w:p>
            <w:pPr>
              <w:pStyle w:val="TableParagraph"/>
              <w:spacing w:before="48"/>
              <w:rPr>
                <w:sz w:val="20"/>
              </w:rPr>
            </w:pPr>
            <w:r>
              <w:rPr>
                <w:color w:val="231F20"/>
                <w:sz w:val="20"/>
              </w:rPr>
              <w:t>2.65% Notes due 2020</w:t>
            </w:r>
          </w:p>
        </w:tc>
        <w:tc>
          <w:tcPr>
            <w:tcW w:w="1817" w:type="dxa"/>
            <w:shd w:val="clear" w:color="auto" w:fill="D1D3D4"/>
          </w:tcPr>
          <w:p>
            <w:pPr>
              <w:pStyle w:val="TableParagraph"/>
              <w:spacing w:before="48"/>
              <w:ind w:right="66"/>
              <w:jc w:val="right"/>
              <w:rPr>
                <w:sz w:val="20"/>
              </w:rPr>
            </w:pPr>
            <w:r>
              <w:rPr>
                <w:color w:val="231F20"/>
                <w:sz w:val="20"/>
              </w:rPr>
              <w:t>494</w:t>
            </w:r>
          </w:p>
        </w:tc>
        <w:tc>
          <w:tcPr>
            <w:tcW w:w="200" w:type="dxa"/>
            <w:shd w:val="clear" w:color="auto" w:fill="D1D3D4"/>
          </w:tcPr>
          <w:p>
            <w:pPr/>
          </w:p>
        </w:tc>
        <w:tc>
          <w:tcPr>
            <w:tcW w:w="1817" w:type="dxa"/>
            <w:shd w:val="clear" w:color="auto" w:fill="D1D3D4"/>
          </w:tcPr>
          <w:p>
            <w:pPr>
              <w:pStyle w:val="TableParagraph"/>
              <w:spacing w:before="48"/>
              <w:ind w:right="66"/>
              <w:jc w:val="right"/>
              <w:rPr>
                <w:sz w:val="20"/>
              </w:rPr>
            </w:pPr>
            <w:r>
              <w:rPr>
                <w:color w:val="231F20"/>
                <w:sz w:val="20"/>
              </w:rPr>
              <w:t>—</w:t>
            </w:r>
          </w:p>
        </w:tc>
      </w:tr>
      <w:tr>
        <w:trPr>
          <w:trHeight w:val="295" w:hRule="exact"/>
        </w:trPr>
        <w:tc>
          <w:tcPr>
            <w:tcW w:w="5286" w:type="dxa"/>
          </w:tcPr>
          <w:p>
            <w:pPr>
              <w:pStyle w:val="TableParagraph"/>
              <w:spacing w:before="48"/>
              <w:rPr>
                <w:sz w:val="20"/>
              </w:rPr>
            </w:pPr>
            <w:r>
              <w:rPr>
                <w:color w:val="231F20"/>
                <w:sz w:val="20"/>
              </w:rPr>
              <w:t>Term Loan Agreement due 2020—5.223%</w:t>
            </w:r>
          </w:p>
        </w:tc>
        <w:tc>
          <w:tcPr>
            <w:tcW w:w="1817" w:type="dxa"/>
          </w:tcPr>
          <w:p>
            <w:pPr>
              <w:pStyle w:val="TableParagraph"/>
              <w:spacing w:before="48"/>
              <w:ind w:right="64"/>
              <w:jc w:val="right"/>
              <w:rPr>
                <w:sz w:val="20"/>
              </w:rPr>
            </w:pPr>
            <w:r>
              <w:rPr>
                <w:color w:val="231F20"/>
                <w:sz w:val="20"/>
              </w:rPr>
              <w:t>329</w:t>
            </w:r>
          </w:p>
        </w:tc>
        <w:tc>
          <w:tcPr>
            <w:tcW w:w="200" w:type="dxa"/>
          </w:tcPr>
          <w:p>
            <w:pPr/>
          </w:p>
        </w:tc>
        <w:tc>
          <w:tcPr>
            <w:tcW w:w="1817" w:type="dxa"/>
          </w:tcPr>
          <w:p>
            <w:pPr>
              <w:pStyle w:val="TableParagraph"/>
              <w:spacing w:before="48"/>
              <w:ind w:right="64"/>
              <w:jc w:val="right"/>
              <w:rPr>
                <w:sz w:val="20"/>
              </w:rPr>
            </w:pPr>
            <w:r>
              <w:rPr>
                <w:color w:val="231F20"/>
                <w:sz w:val="20"/>
              </w:rPr>
              <w:t>372</w:t>
            </w:r>
          </w:p>
        </w:tc>
      </w:tr>
      <w:tr>
        <w:trPr>
          <w:trHeight w:val="295" w:hRule="exact"/>
        </w:trPr>
        <w:tc>
          <w:tcPr>
            <w:tcW w:w="5286" w:type="dxa"/>
            <w:shd w:val="clear" w:color="auto" w:fill="D1D3D4"/>
          </w:tcPr>
          <w:p>
            <w:pPr>
              <w:pStyle w:val="TableParagraph"/>
              <w:spacing w:before="48"/>
              <w:rPr>
                <w:sz w:val="20"/>
              </w:rPr>
            </w:pPr>
            <w:r>
              <w:rPr>
                <w:color w:val="231F20"/>
                <w:sz w:val="20"/>
              </w:rPr>
              <w:t>Floating-rate 737 Aircraft Notes payable through 2020</w:t>
            </w:r>
          </w:p>
        </w:tc>
        <w:tc>
          <w:tcPr>
            <w:tcW w:w="1817" w:type="dxa"/>
            <w:shd w:val="clear" w:color="auto" w:fill="D1D3D4"/>
          </w:tcPr>
          <w:p>
            <w:pPr>
              <w:pStyle w:val="TableParagraph"/>
              <w:spacing w:before="48"/>
              <w:ind w:right="64"/>
              <w:jc w:val="right"/>
              <w:rPr>
                <w:sz w:val="20"/>
              </w:rPr>
            </w:pPr>
            <w:r>
              <w:rPr>
                <w:color w:val="231F20"/>
                <w:sz w:val="20"/>
              </w:rPr>
              <w:t>257</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300</w:t>
            </w:r>
          </w:p>
        </w:tc>
      </w:tr>
      <w:tr>
        <w:trPr>
          <w:trHeight w:val="295" w:hRule="exact"/>
        </w:trPr>
        <w:tc>
          <w:tcPr>
            <w:tcW w:w="5286" w:type="dxa"/>
          </w:tcPr>
          <w:p>
            <w:pPr>
              <w:pStyle w:val="TableParagraph"/>
              <w:spacing w:before="48"/>
              <w:rPr>
                <w:sz w:val="20"/>
              </w:rPr>
            </w:pPr>
            <w:r>
              <w:rPr>
                <w:color w:val="231F20"/>
                <w:sz w:val="20"/>
              </w:rPr>
              <w:t>Pass Through Certificates due 2022—6.24%</w:t>
            </w:r>
          </w:p>
        </w:tc>
        <w:tc>
          <w:tcPr>
            <w:tcW w:w="1817" w:type="dxa"/>
          </w:tcPr>
          <w:p>
            <w:pPr>
              <w:pStyle w:val="TableParagraph"/>
              <w:spacing w:before="48"/>
              <w:ind w:right="64"/>
              <w:jc w:val="right"/>
              <w:rPr>
                <w:sz w:val="20"/>
              </w:rPr>
            </w:pPr>
            <w:r>
              <w:rPr>
                <w:color w:val="231F20"/>
                <w:sz w:val="20"/>
              </w:rPr>
              <w:t>340</w:t>
            </w:r>
          </w:p>
        </w:tc>
        <w:tc>
          <w:tcPr>
            <w:tcW w:w="200" w:type="dxa"/>
          </w:tcPr>
          <w:p>
            <w:pPr/>
          </w:p>
        </w:tc>
        <w:tc>
          <w:tcPr>
            <w:tcW w:w="1817" w:type="dxa"/>
          </w:tcPr>
          <w:p>
            <w:pPr>
              <w:pStyle w:val="TableParagraph"/>
              <w:spacing w:before="48"/>
              <w:ind w:right="64"/>
              <w:jc w:val="right"/>
              <w:rPr>
                <w:sz w:val="20"/>
              </w:rPr>
            </w:pPr>
            <w:r>
              <w:rPr>
                <w:color w:val="231F20"/>
                <w:sz w:val="20"/>
              </w:rPr>
              <w:t>355</w:t>
            </w:r>
          </w:p>
        </w:tc>
      </w:tr>
      <w:tr>
        <w:trPr>
          <w:trHeight w:val="295" w:hRule="exact"/>
        </w:trPr>
        <w:tc>
          <w:tcPr>
            <w:tcW w:w="5286" w:type="dxa"/>
            <w:shd w:val="clear" w:color="auto" w:fill="D1D3D4"/>
          </w:tcPr>
          <w:p>
            <w:pPr>
              <w:pStyle w:val="TableParagraph"/>
              <w:spacing w:before="48"/>
              <w:rPr>
                <w:sz w:val="20"/>
              </w:rPr>
            </w:pPr>
            <w:r>
              <w:rPr>
                <w:color w:val="231F20"/>
                <w:sz w:val="20"/>
              </w:rPr>
              <w:t>7.375% Debentures due 2027</w:t>
            </w:r>
          </w:p>
        </w:tc>
        <w:tc>
          <w:tcPr>
            <w:tcW w:w="1817" w:type="dxa"/>
            <w:shd w:val="clear" w:color="auto" w:fill="D1D3D4"/>
          </w:tcPr>
          <w:p>
            <w:pPr>
              <w:pStyle w:val="TableParagraph"/>
              <w:spacing w:before="48"/>
              <w:ind w:right="64"/>
              <w:jc w:val="right"/>
              <w:rPr>
                <w:sz w:val="20"/>
              </w:rPr>
            </w:pPr>
            <w:r>
              <w:rPr>
                <w:color w:val="231F20"/>
                <w:sz w:val="20"/>
              </w:rPr>
              <w:t>132</w:t>
            </w:r>
          </w:p>
        </w:tc>
        <w:tc>
          <w:tcPr>
            <w:tcW w:w="200" w:type="dxa"/>
            <w:shd w:val="clear" w:color="auto" w:fill="D1D3D4"/>
          </w:tcPr>
          <w:p>
            <w:pPr/>
          </w:p>
        </w:tc>
        <w:tc>
          <w:tcPr>
            <w:tcW w:w="1817" w:type="dxa"/>
            <w:shd w:val="clear" w:color="auto" w:fill="D1D3D4"/>
          </w:tcPr>
          <w:p>
            <w:pPr>
              <w:pStyle w:val="TableParagraph"/>
              <w:spacing w:before="48"/>
              <w:ind w:right="64"/>
              <w:jc w:val="right"/>
              <w:rPr>
                <w:sz w:val="20"/>
              </w:rPr>
            </w:pPr>
            <w:r>
              <w:rPr>
                <w:color w:val="231F20"/>
                <w:sz w:val="20"/>
              </w:rPr>
              <w:t>134</w:t>
            </w:r>
          </w:p>
        </w:tc>
      </w:tr>
      <w:tr>
        <w:trPr>
          <w:trHeight w:val="310" w:hRule="exact"/>
        </w:trPr>
        <w:tc>
          <w:tcPr>
            <w:tcW w:w="5286" w:type="dxa"/>
          </w:tcPr>
          <w:p>
            <w:pPr>
              <w:pStyle w:val="TableParagraph"/>
              <w:spacing w:before="48"/>
              <w:rPr>
                <w:sz w:val="20"/>
              </w:rPr>
            </w:pPr>
            <w:r>
              <w:rPr>
                <w:color w:val="231F20"/>
                <w:sz w:val="20"/>
              </w:rPr>
              <w:t>Capital leases</w:t>
            </w:r>
          </w:p>
        </w:tc>
        <w:tc>
          <w:tcPr>
            <w:tcW w:w="1817" w:type="dxa"/>
            <w:tcBorders>
              <w:bottom w:val="single" w:sz="4" w:space="0" w:color="231F20"/>
            </w:tcBorders>
          </w:tcPr>
          <w:p>
            <w:pPr>
              <w:pStyle w:val="TableParagraph"/>
              <w:spacing w:before="48"/>
              <w:ind w:right="66"/>
              <w:jc w:val="right"/>
              <w:rPr>
                <w:sz w:val="20"/>
              </w:rPr>
            </w:pPr>
            <w:r>
              <w:rPr>
                <w:color w:val="231F20"/>
                <w:sz w:val="20"/>
              </w:rPr>
              <w:t>395</w:t>
            </w:r>
          </w:p>
        </w:tc>
        <w:tc>
          <w:tcPr>
            <w:tcW w:w="200" w:type="dxa"/>
          </w:tcPr>
          <w:p>
            <w:pPr/>
          </w:p>
        </w:tc>
        <w:tc>
          <w:tcPr>
            <w:tcW w:w="1817" w:type="dxa"/>
            <w:tcBorders>
              <w:bottom w:val="single" w:sz="4" w:space="0" w:color="231F20"/>
            </w:tcBorders>
          </w:tcPr>
          <w:p>
            <w:pPr>
              <w:pStyle w:val="TableParagraph"/>
              <w:spacing w:before="48"/>
              <w:ind w:right="66"/>
              <w:jc w:val="right"/>
              <w:rPr>
                <w:sz w:val="20"/>
              </w:rPr>
            </w:pPr>
            <w:r>
              <w:rPr>
                <w:color w:val="231F20"/>
                <w:sz w:val="20"/>
              </w:rPr>
              <w:t>199</w:t>
            </w:r>
          </w:p>
        </w:tc>
      </w:tr>
      <w:tr>
        <w:trPr>
          <w:trHeight w:val="300" w:hRule="exact"/>
        </w:trPr>
        <w:tc>
          <w:tcPr>
            <w:tcW w:w="5286" w:type="dxa"/>
            <w:shd w:val="clear" w:color="auto" w:fill="D1D3D4"/>
          </w:tcPr>
          <w:p>
            <w:pPr/>
          </w:p>
        </w:tc>
        <w:tc>
          <w:tcPr>
            <w:tcW w:w="1817" w:type="dxa"/>
            <w:tcBorders>
              <w:top w:val="single" w:sz="4" w:space="0" w:color="231F20"/>
            </w:tcBorders>
            <w:shd w:val="clear" w:color="auto" w:fill="D1D3D4"/>
          </w:tcPr>
          <w:p>
            <w:pPr>
              <w:pStyle w:val="TableParagraph"/>
              <w:tabs>
                <w:tab w:pos="1299" w:val="left" w:leader="none"/>
              </w:tabs>
              <w:spacing w:before="48"/>
              <w:ind w:right="66"/>
              <w:jc w:val="right"/>
              <w:rPr>
                <w:sz w:val="20"/>
              </w:rPr>
            </w:pPr>
            <w:r>
              <w:rPr>
                <w:color w:val="231F20"/>
                <w:sz w:val="20"/>
              </w:rPr>
              <w:t>$</w:t>
              <w:tab/>
              <w:t>3,198</w:t>
            </w:r>
          </w:p>
        </w:tc>
        <w:tc>
          <w:tcPr>
            <w:tcW w:w="200" w:type="dxa"/>
            <w:shd w:val="clear" w:color="auto" w:fill="D1D3D4"/>
          </w:tcPr>
          <w:p>
            <w:pPr/>
          </w:p>
        </w:tc>
        <w:tc>
          <w:tcPr>
            <w:tcW w:w="1817" w:type="dxa"/>
            <w:tcBorders>
              <w:top w:val="single" w:sz="4" w:space="0" w:color="231F20"/>
            </w:tcBorders>
            <w:shd w:val="clear" w:color="auto" w:fill="D1D3D4"/>
          </w:tcPr>
          <w:p>
            <w:pPr>
              <w:pStyle w:val="TableParagraph"/>
              <w:tabs>
                <w:tab w:pos="1299" w:val="left" w:leader="none"/>
              </w:tabs>
              <w:spacing w:before="43"/>
              <w:ind w:right="66"/>
              <w:jc w:val="right"/>
              <w:rPr>
                <w:sz w:val="20"/>
              </w:rPr>
            </w:pPr>
            <w:r>
              <w:rPr>
                <w:color w:val="231F20"/>
                <w:sz w:val="20"/>
              </w:rPr>
              <w:t>$</w:t>
              <w:tab/>
              <w:t>2,713</w:t>
            </w:r>
          </w:p>
        </w:tc>
      </w:tr>
      <w:tr>
        <w:trPr>
          <w:trHeight w:val="295" w:hRule="exact"/>
        </w:trPr>
        <w:tc>
          <w:tcPr>
            <w:tcW w:w="5286" w:type="dxa"/>
          </w:tcPr>
          <w:p>
            <w:pPr>
              <w:pStyle w:val="TableParagraph"/>
              <w:spacing w:before="48"/>
              <w:rPr>
                <w:sz w:val="20"/>
              </w:rPr>
            </w:pPr>
            <w:r>
              <w:rPr>
                <w:color w:val="231F20"/>
                <w:sz w:val="20"/>
              </w:rPr>
              <w:t>Less current maturities</w:t>
            </w:r>
          </w:p>
        </w:tc>
        <w:tc>
          <w:tcPr>
            <w:tcW w:w="1817" w:type="dxa"/>
          </w:tcPr>
          <w:p>
            <w:pPr>
              <w:pStyle w:val="TableParagraph"/>
              <w:spacing w:before="48"/>
              <w:ind w:right="64"/>
              <w:jc w:val="right"/>
              <w:rPr>
                <w:sz w:val="20"/>
              </w:rPr>
            </w:pPr>
            <w:r>
              <w:rPr>
                <w:color w:val="231F20"/>
                <w:sz w:val="20"/>
              </w:rPr>
              <w:t>637</w:t>
            </w:r>
          </w:p>
        </w:tc>
        <w:tc>
          <w:tcPr>
            <w:tcW w:w="200" w:type="dxa"/>
          </w:tcPr>
          <w:p>
            <w:pPr/>
          </w:p>
        </w:tc>
        <w:tc>
          <w:tcPr>
            <w:tcW w:w="1817" w:type="dxa"/>
          </w:tcPr>
          <w:p>
            <w:pPr>
              <w:pStyle w:val="TableParagraph"/>
              <w:spacing w:before="48"/>
              <w:ind w:right="64"/>
              <w:jc w:val="right"/>
              <w:rPr>
                <w:sz w:val="20"/>
              </w:rPr>
            </w:pPr>
            <w:r>
              <w:rPr>
                <w:color w:val="231F20"/>
                <w:sz w:val="20"/>
              </w:rPr>
              <w:t>258</w:t>
            </w:r>
          </w:p>
        </w:tc>
      </w:tr>
      <w:tr>
        <w:trPr>
          <w:trHeight w:val="310" w:hRule="exact"/>
        </w:trPr>
        <w:tc>
          <w:tcPr>
            <w:tcW w:w="5286" w:type="dxa"/>
            <w:shd w:val="clear" w:color="auto" w:fill="D1D3D4"/>
          </w:tcPr>
          <w:p>
            <w:pPr>
              <w:pStyle w:val="TableParagraph"/>
              <w:spacing w:before="48"/>
              <w:rPr>
                <w:sz w:val="20"/>
              </w:rPr>
            </w:pPr>
            <w:r>
              <w:rPr>
                <w:color w:val="231F20"/>
                <w:sz w:val="20"/>
              </w:rPr>
              <w:t>Less debt discount and issuance costs</w:t>
            </w:r>
          </w:p>
        </w:tc>
        <w:tc>
          <w:tcPr>
            <w:tcW w:w="1817" w:type="dxa"/>
            <w:tcBorders>
              <w:bottom w:val="single" w:sz="4" w:space="0" w:color="231F20"/>
            </w:tcBorders>
            <w:shd w:val="clear" w:color="auto" w:fill="D1D3D4"/>
          </w:tcPr>
          <w:p>
            <w:pPr>
              <w:pStyle w:val="TableParagraph"/>
              <w:spacing w:before="48"/>
              <w:ind w:right="66"/>
              <w:jc w:val="right"/>
              <w:rPr>
                <w:sz w:val="20"/>
              </w:rPr>
            </w:pPr>
            <w:r>
              <w:rPr>
                <w:color w:val="231F20"/>
                <w:sz w:val="20"/>
              </w:rPr>
              <w:t>20</w:t>
            </w:r>
          </w:p>
        </w:tc>
        <w:tc>
          <w:tcPr>
            <w:tcW w:w="200" w:type="dxa"/>
            <w:shd w:val="clear" w:color="auto" w:fill="D1D3D4"/>
          </w:tcPr>
          <w:p>
            <w:pPr/>
          </w:p>
        </w:tc>
        <w:tc>
          <w:tcPr>
            <w:tcW w:w="1817" w:type="dxa"/>
            <w:tcBorders>
              <w:bottom w:val="single" w:sz="4" w:space="0" w:color="231F20"/>
            </w:tcBorders>
            <w:shd w:val="clear" w:color="auto" w:fill="D1D3D4"/>
          </w:tcPr>
          <w:p>
            <w:pPr>
              <w:pStyle w:val="TableParagraph"/>
              <w:spacing w:before="48"/>
              <w:ind w:right="66"/>
              <w:jc w:val="right"/>
              <w:rPr>
                <w:sz w:val="20"/>
              </w:rPr>
            </w:pPr>
            <w:r>
              <w:rPr>
                <w:color w:val="231F20"/>
                <w:sz w:val="20"/>
              </w:rPr>
              <w:t>21</w:t>
            </w:r>
          </w:p>
        </w:tc>
      </w:tr>
      <w:tr>
        <w:trPr>
          <w:trHeight w:val="355" w:hRule="exact"/>
        </w:trPr>
        <w:tc>
          <w:tcPr>
            <w:tcW w:w="5286" w:type="dxa"/>
          </w:tcPr>
          <w:p>
            <w:pPr/>
          </w:p>
        </w:tc>
        <w:tc>
          <w:tcPr>
            <w:tcW w:w="1817" w:type="dxa"/>
            <w:tcBorders>
              <w:top w:val="single" w:sz="4" w:space="0" w:color="231F20"/>
              <w:bottom w:val="single" w:sz="4" w:space="0" w:color="231F20"/>
            </w:tcBorders>
          </w:tcPr>
          <w:p>
            <w:pPr>
              <w:pStyle w:val="TableParagraph"/>
              <w:tabs>
                <w:tab w:pos="1299" w:val="left" w:leader="none"/>
              </w:tabs>
              <w:spacing w:before="48"/>
              <w:ind w:right="66"/>
              <w:jc w:val="right"/>
              <w:rPr>
                <w:sz w:val="20"/>
              </w:rPr>
            </w:pPr>
            <w:r>
              <w:rPr>
                <w:color w:val="231F20"/>
                <w:sz w:val="20"/>
              </w:rPr>
              <w:t>$</w:t>
              <w:tab/>
              <w:t>2,541</w:t>
            </w:r>
          </w:p>
        </w:tc>
        <w:tc>
          <w:tcPr>
            <w:tcW w:w="200" w:type="dxa"/>
          </w:tcPr>
          <w:p>
            <w:pPr/>
          </w:p>
        </w:tc>
        <w:tc>
          <w:tcPr>
            <w:tcW w:w="1817" w:type="dxa"/>
            <w:tcBorders>
              <w:top w:val="single" w:sz="4" w:space="0" w:color="231F20"/>
              <w:bottom w:val="single" w:sz="4" w:space="0" w:color="231F20"/>
            </w:tcBorders>
          </w:tcPr>
          <w:p>
            <w:pPr>
              <w:pStyle w:val="TableParagraph"/>
              <w:tabs>
                <w:tab w:pos="1299" w:val="left" w:leader="none"/>
              </w:tabs>
              <w:spacing w:before="63"/>
              <w:ind w:right="66"/>
              <w:jc w:val="right"/>
              <w:rPr>
                <w:sz w:val="20"/>
              </w:rPr>
            </w:pPr>
            <w:r>
              <w:rPr>
                <w:color w:val="231F20"/>
                <w:sz w:val="20"/>
              </w:rPr>
              <w:t>$</w:t>
              <w:tab/>
              <w:t>2,434</w:t>
            </w:r>
          </w:p>
        </w:tc>
      </w:tr>
    </w:tbl>
    <w:p>
      <w:pPr>
        <w:pStyle w:val="BodyText"/>
        <w:rPr>
          <w:sz w:val="29"/>
        </w:rPr>
      </w:pPr>
    </w:p>
    <w:p>
      <w:pPr>
        <w:pStyle w:val="Heading2"/>
        <w:ind w:left="480"/>
        <w:rPr>
          <w:i/>
        </w:rPr>
      </w:pPr>
      <w:r>
        <w:rPr/>
        <w:pict>
          <v:line style="position:absolute;mso-position-horizontal-relative:page;mso-position-vertical-relative:paragraph;z-index:-390664" from="333.299988pt,-19.180456pt" to="424.149988pt,-19.180456pt" stroked="true" strokeweight=".5pt" strokecolor="#231f20">
            <v:stroke dashstyle="solid"/>
            <w10:wrap type="none"/>
          </v:line>
        </w:pict>
      </w:r>
      <w:r>
        <w:rPr/>
        <w:pict>
          <v:line style="position:absolute;mso-position-horizontal-relative:page;mso-position-vertical-relative:paragraph;z-index:-390640" from="434.149994pt,-19.180456pt" to="524.999994pt,-19.180456pt" stroked="true" strokeweight=".5pt" strokecolor="#231f20">
            <v:stroke dashstyle="solid"/>
            <w10:wrap type="none"/>
          </v:line>
        </w:pict>
      </w:r>
      <w:r>
        <w:rPr>
          <w:i/>
          <w:color w:val="231F20"/>
        </w:rPr>
        <w:t>AirTran Long-Term Debt</w:t>
      </w:r>
    </w:p>
    <w:p>
      <w:pPr>
        <w:pStyle w:val="BodyText"/>
        <w:spacing w:line="247" w:lineRule="auto" w:before="196"/>
        <w:ind w:left="119" w:right="117"/>
        <w:jc w:val="both"/>
      </w:pPr>
      <w:r>
        <w:rPr>
          <w:color w:val="231F20"/>
        </w:rPr>
        <w:t>AirTran Holdings previously entered into aircraft purchase financing facilities, and as of December 31, 2015, 19 Boeing 737 aircraft remained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2015, the  weighted average interest rate was 1.86 percent. Principal and interest under the notes are payable semi-annually or every three months as applicable. As of December 31, 2015, the remaining debt outstanding may be prepaid without penalty under all aircraft loans provided under such facilities. The notes mature in years 2016 to 2020. As discussed further in Note 10, a portion of the above floating-rate debt has been effectively converted to a fixed rate via interest rate swap agreements which expire between 2016 and 2020.</w:t>
      </w:r>
    </w:p>
    <w:p>
      <w:pPr>
        <w:pStyle w:val="BodyText"/>
        <w:spacing w:line="247" w:lineRule="auto" w:before="189"/>
        <w:ind w:left="119" w:right="118"/>
        <w:jc w:val="both"/>
      </w:pPr>
      <w:r>
        <w:rPr>
          <w:color w:val="231F20"/>
        </w:rPr>
        <w:t>As of December 31, 2015, three Boeing 737 aircraft were financed under a fixed-rate facility. Each  note is secured by a first mortgage on the aircraft to which it relates. As of December 31, 2015, the weighted average interest rate was 7.02 percent. Payments of principal and interest under the notes are due semi-annually. The notes mature in years 2016 to</w:t>
      </w:r>
      <w:r>
        <w:rPr>
          <w:color w:val="231F20"/>
          <w:spacing w:val="-3"/>
        </w:rPr>
        <w:t> </w:t>
      </w:r>
      <w:r>
        <w:rPr>
          <w:color w:val="231F20"/>
        </w:rPr>
        <w:t>2018.</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In October 2009, AirTran Holdings completed a public offering of $115 million of convertible senior notes due November 1, 2016. Such notes bear interest at 5.25 percent payable semi-annually, in  arrears, on May 1 and November 1. As a result of the acquisition and subsequent dividends declared by the Company, the convertible senior notes are convertible  into  AirTran  conversion  units  of  168.6576 per $1,000 in principal amount of such notes. Based on the terms of the merger agreement, the holders of these notes would receive shares of the Company’s common stock at a conversion rate  of 54.1391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convertible senior notes into cash and shares of common stock at their option at any time. The convertible senior notes are not redeemable at the Company’s option prior to maturity. The holders of the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w:t>
      </w:r>
      <w:r>
        <w:rPr>
          <w:color w:val="231F20"/>
          <w:spacing w:val="-1"/>
        </w:rPr>
        <w:t> </w:t>
      </w:r>
      <w:r>
        <w:rPr>
          <w:color w:val="231F20"/>
        </w:rPr>
        <w:t>interest.</w:t>
      </w:r>
    </w:p>
    <w:p>
      <w:pPr>
        <w:pStyle w:val="BodyText"/>
        <w:spacing w:before="5"/>
        <w:rPr>
          <w:sz w:val="20"/>
        </w:rPr>
      </w:pPr>
    </w:p>
    <w:p>
      <w:pPr>
        <w:pStyle w:val="BodyText"/>
        <w:spacing w:line="247" w:lineRule="auto"/>
        <w:ind w:left="100" w:right="117"/>
        <w:jc w:val="both"/>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1"/>
        </w:rPr>
        <w:t> </w:t>
      </w:r>
      <w:r>
        <w:rPr>
          <w:color w:val="231F20"/>
        </w:rPr>
        <w:t>3.</w:t>
      </w:r>
    </w:p>
    <w:p>
      <w:pPr>
        <w:pStyle w:val="BodyText"/>
        <w:spacing w:before="8"/>
        <w:rPr>
          <w:sz w:val="30"/>
        </w:rPr>
      </w:pPr>
    </w:p>
    <w:p>
      <w:pPr>
        <w:pStyle w:val="Heading2"/>
        <w:rPr>
          <w:i/>
        </w:rPr>
      </w:pPr>
      <w:r>
        <w:rPr>
          <w:i/>
          <w:color w:val="231F20"/>
        </w:rPr>
        <w:t>Other Company Long-Term Debt</w:t>
      </w:r>
    </w:p>
    <w:p>
      <w:pPr>
        <w:pStyle w:val="BodyText"/>
        <w:rPr>
          <w:b/>
          <w:i/>
          <w:sz w:val="21"/>
        </w:rPr>
      </w:pPr>
    </w:p>
    <w:p>
      <w:pPr>
        <w:pStyle w:val="BodyText"/>
        <w:spacing w:line="247" w:lineRule="auto" w:before="1"/>
        <w:ind w:left="100" w:right="118"/>
        <w:jc w:val="both"/>
      </w:pPr>
      <w:r>
        <w:rPr>
          <w:color w:val="231F20"/>
        </w:rPr>
        <w:t>During November 2015, the Company issued $500 million senior unsecured notes due 2020. The notes bear interest at 2.65 percent, and are payable semi-annually in arrears on May 5 and November 5.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5"/>
        <w:rPr>
          <w:sz w:val="20"/>
        </w:rPr>
      </w:pPr>
    </w:p>
    <w:p>
      <w:pPr>
        <w:pStyle w:val="BodyText"/>
        <w:spacing w:line="247" w:lineRule="auto" w:before="1"/>
        <w:ind w:left="100" w:right="118"/>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before="5"/>
        <w:rPr>
          <w:sz w:val="20"/>
        </w:rPr>
      </w:pPr>
    </w:p>
    <w:p>
      <w:pPr>
        <w:pStyle w:val="BodyText"/>
        <w:spacing w:line="247" w:lineRule="auto" w:before="1"/>
        <w:ind w:left="100" w:right="117"/>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4.84 percent, and interest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is payable semi-annually, which payments began on January 1, 2010. In September 2015, the  Company prepaid $24 million on the loan agreement, which in turn released one of the encumbered aircraft. As such, the remaining four aircraft related to this transaction are still encumbered as of December 31,</w:t>
      </w:r>
      <w:r>
        <w:rPr>
          <w:color w:val="231F20"/>
          <w:spacing w:val="1"/>
        </w:rPr>
        <w:t> </w:t>
      </w:r>
      <w:r>
        <w:rPr>
          <w:color w:val="231F20"/>
        </w:rPr>
        <w:t>2015.</w:t>
      </w:r>
    </w:p>
    <w:p>
      <w:pPr>
        <w:pStyle w:val="BodyText"/>
        <w:spacing w:before="9"/>
        <w:rPr>
          <w:sz w:val="20"/>
        </w:rPr>
      </w:pPr>
    </w:p>
    <w:p>
      <w:pPr>
        <w:pStyle w:val="BodyText"/>
        <w:spacing w:line="247" w:lineRule="auto"/>
        <w:ind w:left="100" w:right="117"/>
        <w:jc w:val="both"/>
      </w:pPr>
      <w:r>
        <w:rPr>
          <w:color w:val="231F20"/>
        </w:rPr>
        <w:t>On April 29, 2009, the Company entered into a term loan agreement providing for loans to the Company aggregating up to $332 million, to be secured by mortgages on 14 of the Company’s 737- 700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 6.315 percent until maturity.</w:t>
      </w:r>
    </w:p>
    <w:p>
      <w:pPr>
        <w:pStyle w:val="BodyText"/>
        <w:spacing w:before="9"/>
        <w:rPr>
          <w:sz w:val="20"/>
        </w:rPr>
      </w:pPr>
    </w:p>
    <w:p>
      <w:pPr>
        <w:pStyle w:val="BodyText"/>
        <w:spacing w:line="247" w:lineRule="auto"/>
        <w:ind w:left="100" w:right="117"/>
        <w:jc w:val="both"/>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percent, and interest is payable quarterly. Pursuant to the terms of the term loan agreement, the Company entered into an interest rate swap agreement to convert the variable rate on the term loan to a fixed 5.223 percent until</w:t>
      </w:r>
      <w:r>
        <w:rPr>
          <w:color w:val="231F20"/>
          <w:spacing w:val="-4"/>
        </w:rPr>
        <w:t> </w:t>
      </w:r>
      <w:r>
        <w:rPr>
          <w:color w:val="231F20"/>
        </w:rPr>
        <w:t>maturity.</w:t>
      </w:r>
    </w:p>
    <w:p>
      <w:pPr>
        <w:pStyle w:val="BodyText"/>
        <w:spacing w:before="9"/>
        <w:rPr>
          <w:sz w:val="20"/>
        </w:rPr>
      </w:pPr>
    </w:p>
    <w:p>
      <w:pPr>
        <w:pStyle w:val="BodyText"/>
        <w:spacing w:line="247" w:lineRule="auto"/>
        <w:ind w:left="100" w:right="117"/>
        <w:jc w:val="both"/>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9"/>
        <w:rPr>
          <w:sz w:val="20"/>
        </w:rPr>
      </w:pPr>
    </w:p>
    <w:p>
      <w:pPr>
        <w:pStyle w:val="BodyText"/>
        <w:spacing w:line="247" w:lineRule="auto"/>
        <w:ind w:left="100" w:right="116"/>
        <w:jc w:val="both"/>
      </w:pPr>
      <w:r>
        <w:rPr>
          <w:color w:val="231F20"/>
        </w:rPr>
        <w:t>During December 2006, the Company issued $300 million senior unsecured notes due December 15, 2016. The notes bear interest at 5.75 percent, payable semi-annually in arrears, with the first payment made on June 15, 2007. During fourth quarter 2009, the Company entered into a fixed-to-floating interest rate swap to convert the interest on these unsecured notes to a floating rate; however, the interest rate swap was terminated in 2015. See Note 10 for further information on the interest-rate swap agreement and termination.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9"/>
        <w:rPr>
          <w:sz w:val="20"/>
        </w:rPr>
      </w:pPr>
    </w:p>
    <w:p>
      <w:pPr>
        <w:pStyle w:val="BodyText"/>
        <w:spacing w:line="247" w:lineRule="auto"/>
        <w:ind w:left="100" w:right="118"/>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9"/>
        <w:rPr>
          <w:sz w:val="20"/>
        </w:rPr>
      </w:pPr>
    </w:p>
    <w:p>
      <w:pPr>
        <w:pStyle w:val="BodyText"/>
        <w:spacing w:line="247" w:lineRule="auto"/>
        <w:ind w:left="100" w:right="117"/>
        <w:jc w:val="both"/>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w:t>
      </w:r>
    </w:p>
    <w:p>
      <w:pPr>
        <w:pStyle w:val="BodyText"/>
        <w:spacing w:before="9"/>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$184 million at December 31,</w:t>
      </w:r>
      <w:r>
        <w:rPr>
          <w:color w:val="231F20"/>
          <w:spacing w:val="-1"/>
        </w:rPr>
        <w:t> </w:t>
      </w:r>
      <w:r>
        <w:rPr>
          <w:color w:val="231F20"/>
        </w:rPr>
        <w:t>2015.</w:t>
      </w:r>
    </w:p>
    <w:p>
      <w:pPr>
        <w:pStyle w:val="BodyText"/>
        <w:spacing w:before="9"/>
        <w:rPr>
          <w:sz w:val="20"/>
        </w:rPr>
      </w:pPr>
    </w:p>
    <w:p>
      <w:pPr>
        <w:pStyle w:val="BodyText"/>
        <w:spacing w:line="247" w:lineRule="auto"/>
        <w:ind w:left="100" w:right="117"/>
        <w:jc w:val="both"/>
      </w:pPr>
      <w:r>
        <w:rPr>
          <w:color w:val="231F20"/>
        </w:rPr>
        <w:t>The net book value of the assets pledged as collateral for the Company’s secured borrowings, primarily aircraft and engines, was $1.9 billion at December 31, 2015. In addition, the Company has pledged a total of up to 88 of its Boeing 737-700 and 12 of its Boeing 737-800 aircraft at a net book value of $2.5 billion, in the case that it has obligations related to its fuel derivative instruments with counterparties that exceed certain thresholds. See Note 10 for further information on these collateral arrangements.</w:t>
      </w:r>
    </w:p>
    <w:p>
      <w:pPr>
        <w:pStyle w:val="BodyText"/>
        <w:spacing w:before="9"/>
        <w:rPr>
          <w:sz w:val="20"/>
        </w:rPr>
      </w:pPr>
    </w:p>
    <w:p>
      <w:pPr>
        <w:pStyle w:val="BodyText"/>
        <w:spacing w:line="247" w:lineRule="auto"/>
        <w:ind w:left="100" w:right="117"/>
        <w:jc w:val="both"/>
      </w:pPr>
      <w:r>
        <w:rPr>
          <w:color w:val="231F20"/>
        </w:rPr>
        <w:t>As of December 31, 2015, aggregate annual principal maturities of debt and capital leases (not including amounts associated with interest rate swap agreements, interest on capital leases, amortization of capital lease incentives, and amortization of purchase accounting adjustments) for the five-year period ending December 31, 2020, and thereafter, were $617 million in 2016, $528 million in 2017, $272 million in 2018, $522 million in 2019, $751 million in 2020, and $424 million</w:t>
      </w:r>
      <w:r>
        <w:rPr>
          <w:color w:val="231F20"/>
          <w:spacing w:val="-6"/>
        </w:rPr>
        <w:t> </w:t>
      </w:r>
      <w:r>
        <w:rPr>
          <w:color w:val="231F20"/>
        </w:rPr>
        <w:t>thereafter.</w:t>
      </w:r>
    </w:p>
    <w:p>
      <w:pPr>
        <w:spacing w:after="0" w:line="247" w:lineRule="auto"/>
        <w:jc w:val="both"/>
        <w:sectPr>
          <w:pgSz w:w="11880" w:h="15480"/>
          <w:pgMar w:header="0" w:footer="1240" w:top="1240" w:bottom="1420" w:left="1280" w:right="1260"/>
        </w:sectPr>
      </w:pPr>
    </w:p>
    <w:p>
      <w:pPr>
        <w:pStyle w:val="Heading1"/>
        <w:numPr>
          <w:ilvl w:val="0"/>
          <w:numId w:val="14"/>
        </w:numPr>
        <w:tabs>
          <w:tab w:pos="340" w:val="left" w:leader="none"/>
        </w:tabs>
        <w:spacing w:line="240" w:lineRule="auto" w:before="74" w:after="0"/>
        <w:ind w:left="340" w:right="0" w:hanging="220"/>
        <w:jc w:val="both"/>
      </w:pPr>
      <w:r>
        <w:rPr>
          <w:color w:val="231F20"/>
        </w:rPr>
        <w:t>LEASES</w:t>
      </w:r>
    </w:p>
    <w:p>
      <w:pPr>
        <w:pStyle w:val="BodyText"/>
        <w:spacing w:before="3"/>
        <w:rPr>
          <w:b/>
          <w:sz w:val="26"/>
        </w:rPr>
      </w:pPr>
    </w:p>
    <w:p>
      <w:pPr>
        <w:pStyle w:val="BodyText"/>
        <w:spacing w:line="247" w:lineRule="auto"/>
        <w:ind w:left="120" w:right="118"/>
        <w:jc w:val="both"/>
      </w:pPr>
      <w:r>
        <w:rPr/>
        <w:pict>
          <v:line style="position:absolute;mso-position-horizontal-relative:page;mso-position-vertical-relative:paragraph;z-index:-390592" from="69pt,64.569237pt" to="325pt,64.569237pt" stroked="true" strokeweight="1pt" strokecolor="#231f20">
            <v:stroke dashstyle="solid"/>
            <w10:wrap type="none"/>
          </v:line>
        </w:pict>
      </w:r>
      <w:r>
        <w:rPr>
          <w:color w:val="231F20"/>
        </w:rPr>
        <w:t>The Company’s fleet included 28 aircraft on capital lease as of December 31, 2015, compared with 16 aircraft on capital lease, including two B717s, as of December 31, 2014. Amounts applicable to these aircraft that are included in property and equipment were:</w:t>
      </w:r>
    </w:p>
    <w:p>
      <w:pPr>
        <w:pStyle w:val="BodyText"/>
        <w:spacing w:before="1"/>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533"/>
        <w:gridCol w:w="1437"/>
        <w:gridCol w:w="563"/>
      </w:tblGrid>
      <w:tr>
        <w:trPr>
          <w:trHeight w:val="256" w:hRule="exact"/>
        </w:trPr>
        <w:tc>
          <w:tcPr>
            <w:tcW w:w="5120" w:type="dxa"/>
          </w:tcPr>
          <w:p>
            <w:pPr>
              <w:pStyle w:val="TableParagraph"/>
              <w:spacing w:line="229" w:lineRule="exact" w:before="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2015</w:t>
            </w:r>
          </w:p>
        </w:tc>
        <w:tc>
          <w:tcPr>
            <w:tcW w:w="533" w:type="dxa"/>
            <w:tcBorders>
              <w:bottom w:val="single" w:sz="8" w:space="0" w:color="231F20"/>
            </w:tcBorders>
          </w:tcPr>
          <w:p>
            <w:pPr/>
          </w:p>
        </w:tc>
        <w:tc>
          <w:tcPr>
            <w:tcW w:w="1437" w:type="dxa"/>
            <w:tcBorders>
              <w:bottom w:val="single" w:sz="8" w:space="0" w:color="231F20"/>
            </w:tcBorders>
          </w:tcPr>
          <w:p>
            <w:pPr>
              <w:pStyle w:val="TableParagraph"/>
              <w:spacing w:line="229" w:lineRule="exact" w:before="0"/>
              <w:ind w:left="840"/>
              <w:rPr>
                <w:b/>
                <w:sz w:val="20"/>
              </w:rPr>
            </w:pPr>
            <w:r>
              <w:rPr>
                <w:b/>
                <w:color w:val="231F20"/>
                <w:sz w:val="20"/>
              </w:rPr>
              <w:t>2014</w:t>
            </w:r>
          </w:p>
        </w:tc>
        <w:tc>
          <w:tcPr>
            <w:tcW w:w="563" w:type="dxa"/>
            <w:tcBorders>
              <w:bottom w:val="single" w:sz="8" w:space="0" w:color="231F20"/>
            </w:tcBorders>
          </w:tcPr>
          <w:p>
            <w:pPr/>
          </w:p>
        </w:tc>
      </w:tr>
      <w:tr>
        <w:trPr>
          <w:trHeight w:val="310" w:hRule="exact"/>
        </w:trPr>
        <w:tc>
          <w:tcPr>
            <w:tcW w:w="5120" w:type="dxa"/>
            <w:shd w:val="clear" w:color="auto" w:fill="D1D3D4"/>
          </w:tcPr>
          <w:p>
            <w:pPr>
              <w:pStyle w:val="TableParagraph"/>
              <w:rPr>
                <w:sz w:val="20"/>
              </w:rPr>
            </w:pPr>
            <w:r>
              <w:rPr>
                <w:color w:val="231F20"/>
                <w:sz w:val="20"/>
              </w:rPr>
              <w:t>Flight equipment</w:t>
            </w:r>
          </w:p>
        </w:tc>
        <w:tc>
          <w:tcPr>
            <w:tcW w:w="200" w:type="dxa"/>
            <w:shd w:val="clear" w:color="auto" w:fill="D1D3D4"/>
          </w:tcPr>
          <w:p>
            <w:pPr/>
          </w:p>
        </w:tc>
        <w:tc>
          <w:tcPr>
            <w:tcW w:w="1267" w:type="dxa"/>
            <w:tcBorders>
              <w:top w:val="single" w:sz="8" w:space="0" w:color="231F20"/>
            </w:tcBorders>
            <w:shd w:val="clear" w:color="auto" w:fill="D1D3D4"/>
          </w:tcPr>
          <w:p>
            <w:pPr>
              <w:pStyle w:val="TableParagraph"/>
              <w:rPr>
                <w:sz w:val="20"/>
              </w:rPr>
            </w:pPr>
            <w:r>
              <w:rPr>
                <w:color w:val="231F20"/>
                <w:sz w:val="20"/>
              </w:rPr>
              <w:t>$</w:t>
            </w:r>
          </w:p>
        </w:tc>
        <w:tc>
          <w:tcPr>
            <w:tcW w:w="533" w:type="dxa"/>
            <w:tcBorders>
              <w:top w:val="single" w:sz="8" w:space="0" w:color="231F20"/>
            </w:tcBorders>
            <w:shd w:val="clear" w:color="auto" w:fill="D1D3D4"/>
          </w:tcPr>
          <w:p>
            <w:pPr>
              <w:pStyle w:val="TableParagraph"/>
              <w:ind w:right="64"/>
              <w:jc w:val="right"/>
              <w:rPr>
                <w:sz w:val="20"/>
              </w:rPr>
            </w:pPr>
            <w:r>
              <w:rPr>
                <w:color w:val="231F20"/>
                <w:sz w:val="20"/>
              </w:rPr>
              <w:t>435</w:t>
            </w:r>
          </w:p>
        </w:tc>
        <w:tc>
          <w:tcPr>
            <w:tcW w:w="1437" w:type="dxa"/>
            <w:tcBorders>
              <w:top w:val="single" w:sz="8" w:space="0" w:color="231F20"/>
            </w:tcBorders>
            <w:shd w:val="clear" w:color="auto" w:fill="D1D3D4"/>
          </w:tcPr>
          <w:p>
            <w:pPr>
              <w:pStyle w:val="TableParagraph"/>
              <w:ind w:left="80"/>
              <w:rPr>
                <w:sz w:val="20"/>
              </w:rPr>
            </w:pPr>
            <w:r>
              <w:rPr>
                <w:color w:val="231F20"/>
                <w:sz w:val="20"/>
              </w:rPr>
              <w:t>$</w:t>
            </w:r>
          </w:p>
        </w:tc>
        <w:tc>
          <w:tcPr>
            <w:tcW w:w="563" w:type="dxa"/>
            <w:tcBorders>
              <w:top w:val="single" w:sz="8" w:space="0" w:color="231F20"/>
            </w:tcBorders>
            <w:shd w:val="clear" w:color="auto" w:fill="D1D3D4"/>
          </w:tcPr>
          <w:p>
            <w:pPr>
              <w:pStyle w:val="TableParagraph"/>
              <w:ind w:right="64"/>
              <w:jc w:val="right"/>
              <w:rPr>
                <w:sz w:val="20"/>
              </w:rPr>
            </w:pPr>
            <w:r>
              <w:rPr>
                <w:color w:val="231F20"/>
                <w:sz w:val="20"/>
              </w:rPr>
              <w:t>214</w:t>
            </w:r>
          </w:p>
        </w:tc>
      </w:tr>
      <w:tr>
        <w:trPr>
          <w:trHeight w:val="315" w:hRule="exact"/>
        </w:trPr>
        <w:tc>
          <w:tcPr>
            <w:tcW w:w="5120" w:type="dxa"/>
          </w:tcPr>
          <w:p>
            <w:pPr>
              <w:pStyle w:val="TableParagraph"/>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533" w:type="dxa"/>
            <w:tcBorders>
              <w:bottom w:val="single" w:sz="4" w:space="0" w:color="231F20"/>
            </w:tcBorders>
          </w:tcPr>
          <w:p>
            <w:pPr>
              <w:pStyle w:val="TableParagraph"/>
              <w:ind w:right="64"/>
              <w:jc w:val="right"/>
              <w:rPr>
                <w:sz w:val="20"/>
              </w:rPr>
            </w:pPr>
            <w:r>
              <w:rPr>
                <w:color w:val="231F20"/>
                <w:sz w:val="20"/>
              </w:rPr>
              <w:t>29</w:t>
            </w:r>
          </w:p>
        </w:tc>
        <w:tc>
          <w:tcPr>
            <w:tcW w:w="1437" w:type="dxa"/>
            <w:tcBorders>
              <w:bottom w:val="single" w:sz="4" w:space="0" w:color="231F20"/>
            </w:tcBorders>
          </w:tcPr>
          <w:p>
            <w:pPr/>
          </w:p>
        </w:tc>
        <w:tc>
          <w:tcPr>
            <w:tcW w:w="563" w:type="dxa"/>
            <w:tcBorders>
              <w:bottom w:val="single" w:sz="4" w:space="0" w:color="231F20"/>
            </w:tcBorders>
          </w:tcPr>
          <w:p>
            <w:pPr>
              <w:pStyle w:val="TableParagraph"/>
              <w:ind w:right="64"/>
              <w:jc w:val="right"/>
              <w:rPr>
                <w:sz w:val="20"/>
              </w:rPr>
            </w:pPr>
            <w:r>
              <w:rPr>
                <w:color w:val="231F20"/>
                <w:sz w:val="20"/>
              </w:rPr>
              <w:t>22</w:t>
            </w:r>
          </w:p>
        </w:tc>
      </w:tr>
      <w:tr>
        <w:trPr>
          <w:trHeight w:val="360" w:hRule="exact"/>
        </w:trPr>
        <w:tc>
          <w:tcPr>
            <w:tcW w:w="5120" w:type="dxa"/>
            <w:shd w:val="clear" w:color="auto" w:fill="D1D3D4"/>
          </w:tcPr>
          <w:p>
            <w:pPr/>
          </w:p>
        </w:tc>
        <w:tc>
          <w:tcPr>
            <w:tcW w:w="200" w:type="dxa"/>
            <w:shd w:val="clear" w:color="auto" w:fill="D1D3D4"/>
          </w:tcPr>
          <w:p>
            <w:pPr/>
          </w:p>
        </w:tc>
        <w:tc>
          <w:tcPr>
            <w:tcW w:w="1267"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3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406</w:t>
            </w:r>
          </w:p>
        </w:tc>
        <w:tc>
          <w:tcPr>
            <w:tcW w:w="1437" w:type="dxa"/>
            <w:tcBorders>
              <w:top w:val="single" w:sz="4" w:space="0" w:color="231F20"/>
              <w:bottom w:val="single" w:sz="4" w:space="0" w:color="231F20"/>
            </w:tcBorders>
            <w:shd w:val="clear" w:color="auto" w:fill="D1D3D4"/>
          </w:tcPr>
          <w:p>
            <w:pPr>
              <w:pStyle w:val="TableParagraph"/>
              <w:ind w:left="80"/>
              <w:rPr>
                <w:sz w:val="20"/>
              </w:rPr>
            </w:pPr>
            <w:r>
              <w:rPr>
                <w:color w:val="231F20"/>
                <w:sz w:val="20"/>
              </w:rPr>
              <w:t>$</w:t>
            </w:r>
          </w:p>
        </w:tc>
        <w:tc>
          <w:tcPr>
            <w:tcW w:w="56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192</w:t>
            </w:r>
          </w:p>
        </w:tc>
      </w:tr>
    </w:tbl>
    <w:p>
      <w:pPr>
        <w:pStyle w:val="BodyText"/>
        <w:rPr>
          <w:sz w:val="30"/>
        </w:rPr>
      </w:pPr>
    </w:p>
    <w:p>
      <w:pPr>
        <w:pStyle w:val="BodyText"/>
        <w:spacing w:line="247" w:lineRule="auto"/>
        <w:ind w:left="120" w:right="117"/>
        <w:jc w:val="both"/>
      </w:pPr>
      <w:r>
        <w:rPr/>
        <w:pict>
          <v:line style="position:absolute;mso-position-horizontal-relative:page;mso-position-vertical-relative:paragraph;z-index:-390568" from="335pt,-19.780493pt" to="425pt,-19.780493pt" stroked="true" strokeweight=".5pt" strokecolor="#231f20">
            <v:stroke dashstyle="solid"/>
            <w10:wrap type="none"/>
          </v:line>
        </w:pict>
      </w:r>
      <w:r>
        <w:rPr/>
        <w:pict>
          <v:line style="position:absolute;mso-position-horizontal-relative:page;mso-position-vertical-relative:paragraph;z-index:-390544" from="429pt,-19.780493pt" to="525pt,-19.780493pt" stroked="true" strokeweight=".5pt" strokecolor="#231f20">
            <v:stroke dashstyle="solid"/>
            <w10:wrap type="none"/>
          </v:line>
        </w:pict>
      </w:r>
      <w:r>
        <w:rPr>
          <w:color w:val="231F20"/>
        </w:rPr>
        <w:t>Total rental expense for operating leases, both aircraft and other, charged to operations in 2015, 2014, and 2013 was $909 million, $931 million, and $997 million, respectively. The majority of the Company’s terminal operations space, as well as 95 aircraft, were under operating  leases  at  December 31, 2015.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2015,</w:t>
      </w:r>
      <w:r>
        <w:rPr>
          <w:color w:val="231F20"/>
          <w:spacing w:val="1"/>
        </w:rPr>
        <w:t> </w:t>
      </w:r>
      <w:r>
        <w:rPr>
          <w:color w:val="231F20"/>
        </w:rPr>
        <w:t>were:</w:t>
      </w:r>
    </w:p>
    <w:p>
      <w:pPr>
        <w:pStyle w:val="BodyText"/>
        <w:spacing w:before="5"/>
        <w:rPr>
          <w:sz w:val="13"/>
        </w:rPr>
      </w:pPr>
    </w:p>
    <w:p>
      <w:pPr>
        <w:spacing w:after="0"/>
        <w:rPr>
          <w:sz w:val="13"/>
        </w:rPr>
        <w:sectPr>
          <w:pgSz w:w="11880" w:h="15480"/>
          <w:pgMar w:header="0" w:footer="1240" w:top="1240" w:bottom="1420" w:left="1260" w:right="1260"/>
        </w:sectPr>
      </w:pPr>
    </w:p>
    <w:p>
      <w:pPr>
        <w:tabs>
          <w:tab w:pos="4559" w:val="left" w:leader="none"/>
        </w:tabs>
        <w:spacing w:line="201" w:lineRule="exact" w:before="99"/>
        <w:ind w:left="3483" w:right="0" w:firstLine="0"/>
        <w:jc w:val="left"/>
        <w:rPr>
          <w:b/>
          <w:sz w:val="20"/>
        </w:rPr>
      </w:pPr>
      <w:r>
        <w:rPr>
          <w:b/>
          <w:color w:val="231F20"/>
          <w:sz w:val="20"/>
        </w:rPr>
        <w:t>Capital</w:t>
        <w:tab/>
        <w:t>Operating</w:t>
      </w:r>
    </w:p>
    <w:p>
      <w:pPr>
        <w:spacing w:line="201" w:lineRule="exact" w:before="99"/>
        <w:ind w:left="0" w:right="0" w:firstLine="0"/>
        <w:jc w:val="right"/>
        <w:rPr>
          <w:b/>
          <w:sz w:val="20"/>
        </w:rPr>
      </w:pPr>
      <w:r>
        <w:rPr/>
        <w:br w:type="column"/>
      </w:r>
      <w:r>
        <w:rPr>
          <w:b/>
          <w:color w:val="231F20"/>
          <w:sz w:val="20"/>
        </w:rPr>
        <w:t>LFMP</w:t>
      </w:r>
    </w:p>
    <w:p>
      <w:pPr>
        <w:spacing w:line="201" w:lineRule="exact" w:before="99"/>
        <w:ind w:left="476" w:right="0" w:firstLine="0"/>
        <w:jc w:val="left"/>
        <w:rPr>
          <w:b/>
          <w:sz w:val="20"/>
        </w:rPr>
      </w:pPr>
      <w:r>
        <w:rPr/>
        <w:br w:type="column"/>
      </w:r>
      <w:r>
        <w:rPr>
          <w:b/>
          <w:color w:val="231F20"/>
          <w:sz w:val="20"/>
        </w:rPr>
        <w:t>Operating</w:t>
      </w:r>
    </w:p>
    <w:p>
      <w:pPr>
        <w:spacing w:after="0" w:line="201" w:lineRule="exact"/>
        <w:jc w:val="left"/>
        <w:rPr>
          <w:sz w:val="20"/>
        </w:rPr>
        <w:sectPr>
          <w:type w:val="continuous"/>
          <w:pgSz w:w="11880" w:h="15480"/>
          <w:pgMar w:top="1260" w:bottom="280" w:left="1260" w:right="1260"/>
          <w:cols w:num="3" w:equalWidth="0">
            <w:col w:w="5438" w:space="40"/>
            <w:col w:w="2246" w:space="40"/>
            <w:col w:w="1596"/>
          </w:cols>
        </w:sectPr>
      </w:pPr>
    </w:p>
    <w:p>
      <w:pPr>
        <w:spacing w:line="229" w:lineRule="exact" w:before="0"/>
        <w:ind w:left="120" w:right="0" w:firstLine="0"/>
        <w:jc w:val="left"/>
        <w:rPr>
          <w:b/>
          <w:sz w:val="20"/>
        </w:rPr>
      </w:pPr>
      <w:r>
        <w:rPr>
          <w:b/>
          <w:color w:val="231F20"/>
          <w:sz w:val="20"/>
        </w:rPr>
        <w:t>(in millions)</w:t>
      </w:r>
    </w:p>
    <w:p>
      <w:pPr>
        <w:tabs>
          <w:tab w:pos="434" w:val="left" w:leader="none"/>
          <w:tab w:pos="1239" w:val="left" w:leader="none"/>
          <w:tab w:pos="1634" w:val="left" w:leader="none"/>
          <w:tab w:pos="2439" w:val="left" w:leader="none"/>
        </w:tabs>
        <w:spacing w:line="229" w:lineRule="exact" w:before="0"/>
        <w:ind w:left="120" w:right="0" w:firstLine="0"/>
        <w:jc w:val="left"/>
        <w:rPr>
          <w:b/>
          <w:sz w:val="20"/>
        </w:rPr>
      </w:pPr>
      <w:r>
        <w:rPr/>
        <w:br w:type="column"/>
      </w:r>
      <w:r>
        <w:rPr>
          <w:b/>
          <w:color w:val="231F20"/>
          <w:sz w:val="20"/>
          <w:u w:val="single" w:color="231F20"/>
        </w:rPr>
        <w:t> </w:t>
        <w:tab/>
        <w:t>leases</w:t>
        <w:tab/>
        <w:t> </w:t>
        <w:tab/>
        <w:t>leases</w:t>
        <w:tab/>
        <w:t>Subleases</w:t>
      </w:r>
      <w:r>
        <w:rPr>
          <w:b/>
          <w:color w:val="231F20"/>
          <w:spacing w:val="-1"/>
          <w:sz w:val="20"/>
          <w:u w:val="single" w:color="231F20"/>
        </w:rPr>
        <w:t> </w:t>
      </w:r>
    </w:p>
    <w:p>
      <w:pPr>
        <w:spacing w:line="229" w:lineRule="exact" w:before="0"/>
        <w:ind w:left="63" w:right="0" w:firstLine="0"/>
        <w:jc w:val="left"/>
        <w:rPr>
          <w:b/>
          <w:sz w:val="20"/>
        </w:rPr>
      </w:pPr>
      <w:r>
        <w:rPr/>
        <w:br w:type="column"/>
      </w:r>
      <w:r>
        <w:rPr>
          <w:b/>
          <w:color w:val="231F20"/>
          <w:sz w:val="20"/>
        </w:rPr>
        <w:t>facility lease*</w:t>
      </w:r>
    </w:p>
    <w:p>
      <w:pPr>
        <w:spacing w:line="229" w:lineRule="exact" w:before="0"/>
        <w:ind w:left="120" w:right="0" w:firstLine="0"/>
        <w:jc w:val="left"/>
        <w:rPr>
          <w:b/>
          <w:sz w:val="20"/>
        </w:rPr>
      </w:pPr>
      <w:r>
        <w:rPr/>
        <w:br w:type="column"/>
      </w:r>
      <w:r>
        <w:rPr>
          <w:b/>
          <w:color w:val="231F20"/>
          <w:sz w:val="20"/>
        </w:rPr>
        <w:t>leases, net</w:t>
      </w:r>
    </w:p>
    <w:p>
      <w:pPr>
        <w:spacing w:after="0" w:line="229" w:lineRule="exact"/>
        <w:jc w:val="left"/>
        <w:rPr>
          <w:sz w:val="20"/>
        </w:rPr>
        <w:sectPr>
          <w:type w:val="continuous"/>
          <w:pgSz w:w="11880" w:h="15480"/>
          <w:pgMar w:top="1260" w:bottom="280" w:left="1260" w:right="1260"/>
          <w:cols w:num="4" w:equalWidth="0">
            <w:col w:w="1149" w:space="1971"/>
            <w:col w:w="3640" w:space="40"/>
            <w:col w:w="1216" w:space="115"/>
            <w:col w:w="1229"/>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1200"/>
        <w:gridCol w:w="1200"/>
        <w:gridCol w:w="1747"/>
        <w:gridCol w:w="733"/>
        <w:gridCol w:w="1200"/>
      </w:tblGrid>
      <w:tr>
        <w:trPr>
          <w:trHeight w:val="305" w:hRule="exact"/>
        </w:trPr>
        <w:tc>
          <w:tcPr>
            <w:tcW w:w="3040" w:type="dxa"/>
            <w:tcBorders>
              <w:top w:val="single" w:sz="4" w:space="0" w:color="231F20"/>
            </w:tcBorders>
            <w:shd w:val="clear" w:color="auto" w:fill="D1D3D4"/>
          </w:tcPr>
          <w:p>
            <w:pPr>
              <w:pStyle w:val="TableParagraph"/>
              <w:rPr>
                <w:sz w:val="20"/>
              </w:rPr>
            </w:pPr>
            <w:r>
              <w:rPr>
                <w:color w:val="231F20"/>
                <w:sz w:val="20"/>
              </w:rPr>
              <w:t>2016</w:t>
            </w:r>
          </w:p>
        </w:tc>
        <w:tc>
          <w:tcPr>
            <w:tcW w:w="1200" w:type="dxa"/>
            <w:shd w:val="clear" w:color="auto" w:fill="D1D3D4"/>
          </w:tcPr>
          <w:p>
            <w:pPr>
              <w:pStyle w:val="TableParagraph"/>
              <w:tabs>
                <w:tab w:pos="852" w:val="left" w:leader="none"/>
              </w:tabs>
              <w:spacing w:before="58"/>
              <w:ind w:right="66"/>
              <w:jc w:val="right"/>
              <w:rPr>
                <w:sz w:val="20"/>
              </w:rPr>
            </w:pPr>
            <w:r>
              <w:rPr>
                <w:color w:val="231F20"/>
                <w:sz w:val="20"/>
              </w:rPr>
              <w:t>$</w:t>
              <w:tab/>
              <w:t>46</w:t>
            </w:r>
          </w:p>
        </w:tc>
        <w:tc>
          <w:tcPr>
            <w:tcW w:w="1200" w:type="dxa"/>
            <w:shd w:val="clear" w:color="auto" w:fill="D1D3D4"/>
          </w:tcPr>
          <w:p>
            <w:pPr>
              <w:pStyle w:val="TableParagraph"/>
              <w:tabs>
                <w:tab w:pos="752" w:val="left" w:leader="none"/>
              </w:tabs>
              <w:spacing w:before="58"/>
              <w:ind w:right="66"/>
              <w:jc w:val="right"/>
              <w:rPr>
                <w:sz w:val="20"/>
              </w:rPr>
            </w:pPr>
            <w:r>
              <w:rPr>
                <w:color w:val="231F20"/>
                <w:sz w:val="20"/>
              </w:rPr>
              <w:t>$</w:t>
              <w:tab/>
              <w:t>636</w:t>
            </w:r>
          </w:p>
        </w:tc>
        <w:tc>
          <w:tcPr>
            <w:tcW w:w="1747" w:type="dxa"/>
            <w:tcBorders>
              <w:top w:val="single" w:sz="4" w:space="0" w:color="231F20"/>
            </w:tcBorders>
            <w:shd w:val="clear" w:color="auto" w:fill="D1D3D4"/>
          </w:tcPr>
          <w:p>
            <w:pPr>
              <w:pStyle w:val="TableParagraph"/>
              <w:tabs>
                <w:tab w:pos="832" w:val="left" w:leader="none"/>
              </w:tabs>
              <w:ind w:left="80"/>
              <w:rPr>
                <w:sz w:val="20"/>
              </w:rPr>
            </w:pPr>
            <w:r>
              <w:rPr>
                <w:color w:val="231F20"/>
                <w:sz w:val="20"/>
              </w:rPr>
              <w:t>$</w:t>
              <w:tab/>
            </w:r>
            <w:r>
              <w:rPr>
                <w:color w:val="231F20"/>
                <w:spacing w:val="2"/>
                <w:sz w:val="20"/>
              </w:rPr>
              <w:t>(103)$</w:t>
            </w:r>
          </w:p>
        </w:tc>
        <w:tc>
          <w:tcPr>
            <w:tcW w:w="733" w:type="dxa"/>
            <w:tcBorders>
              <w:top w:val="single" w:sz="4" w:space="0" w:color="231F20"/>
            </w:tcBorders>
            <w:shd w:val="clear" w:color="auto" w:fill="D1D3D4"/>
          </w:tcPr>
          <w:p>
            <w:pPr>
              <w:pStyle w:val="TableParagraph"/>
              <w:ind w:right="66"/>
              <w:jc w:val="right"/>
              <w:rPr>
                <w:sz w:val="20"/>
              </w:rPr>
            </w:pPr>
            <w:r>
              <w:rPr>
                <w:color w:val="231F20"/>
                <w:sz w:val="20"/>
              </w:rPr>
              <w:t>24</w:t>
            </w:r>
          </w:p>
        </w:tc>
        <w:tc>
          <w:tcPr>
            <w:tcW w:w="1200" w:type="dxa"/>
            <w:tcBorders>
              <w:top w:val="single" w:sz="4" w:space="0" w:color="231F20"/>
            </w:tcBorders>
            <w:shd w:val="clear" w:color="auto" w:fill="D1D3D4"/>
          </w:tcPr>
          <w:p>
            <w:pPr>
              <w:pStyle w:val="TableParagraph"/>
              <w:tabs>
                <w:tab w:pos="752" w:val="left" w:leader="none"/>
              </w:tabs>
              <w:ind w:right="66"/>
              <w:jc w:val="right"/>
              <w:rPr>
                <w:sz w:val="20"/>
              </w:rPr>
            </w:pPr>
            <w:r>
              <w:rPr>
                <w:color w:val="231F20"/>
                <w:sz w:val="20"/>
              </w:rPr>
              <w:t>$</w:t>
              <w:tab/>
              <w:t>557</w:t>
            </w:r>
          </w:p>
        </w:tc>
      </w:tr>
      <w:tr>
        <w:trPr>
          <w:trHeight w:val="300" w:hRule="exact"/>
        </w:trPr>
        <w:tc>
          <w:tcPr>
            <w:tcW w:w="3040" w:type="dxa"/>
          </w:tcPr>
          <w:p>
            <w:pPr>
              <w:pStyle w:val="TableParagraph"/>
              <w:rPr>
                <w:sz w:val="20"/>
              </w:rPr>
            </w:pPr>
            <w:r>
              <w:rPr>
                <w:color w:val="231F20"/>
                <w:sz w:val="20"/>
              </w:rPr>
              <w:t>2017</w:t>
            </w:r>
          </w:p>
        </w:tc>
        <w:tc>
          <w:tcPr>
            <w:tcW w:w="1200" w:type="dxa"/>
          </w:tcPr>
          <w:p>
            <w:pPr>
              <w:pStyle w:val="TableParagraph"/>
              <w:ind w:right="66"/>
              <w:jc w:val="right"/>
              <w:rPr>
                <w:sz w:val="20"/>
              </w:rPr>
            </w:pPr>
            <w:r>
              <w:rPr>
                <w:color w:val="231F20"/>
                <w:sz w:val="20"/>
              </w:rPr>
              <w:t>46</w:t>
            </w:r>
          </w:p>
        </w:tc>
        <w:tc>
          <w:tcPr>
            <w:tcW w:w="1200" w:type="dxa"/>
          </w:tcPr>
          <w:p>
            <w:pPr>
              <w:pStyle w:val="TableParagraph"/>
              <w:ind w:right="66"/>
              <w:jc w:val="right"/>
              <w:rPr>
                <w:sz w:val="20"/>
              </w:rPr>
            </w:pPr>
            <w:r>
              <w:rPr>
                <w:color w:val="231F20"/>
                <w:sz w:val="20"/>
              </w:rPr>
              <w:t>624</w:t>
            </w:r>
          </w:p>
        </w:tc>
        <w:tc>
          <w:tcPr>
            <w:tcW w:w="1747" w:type="dxa"/>
          </w:tcPr>
          <w:p>
            <w:pPr>
              <w:pStyle w:val="TableParagraph"/>
              <w:ind w:left="833"/>
              <w:rPr>
                <w:sz w:val="20"/>
              </w:rPr>
            </w:pPr>
            <w:r>
              <w:rPr>
                <w:color w:val="231F20"/>
                <w:sz w:val="20"/>
              </w:rPr>
              <w:t>(103)</w:t>
            </w:r>
          </w:p>
        </w:tc>
        <w:tc>
          <w:tcPr>
            <w:tcW w:w="733" w:type="dxa"/>
          </w:tcPr>
          <w:p>
            <w:pPr>
              <w:pStyle w:val="TableParagraph"/>
              <w:ind w:right="66"/>
              <w:jc w:val="right"/>
              <w:rPr>
                <w:sz w:val="20"/>
              </w:rPr>
            </w:pPr>
            <w:r>
              <w:rPr>
                <w:color w:val="231F20"/>
                <w:sz w:val="20"/>
              </w:rPr>
              <w:t>24</w:t>
            </w:r>
          </w:p>
        </w:tc>
        <w:tc>
          <w:tcPr>
            <w:tcW w:w="1200" w:type="dxa"/>
          </w:tcPr>
          <w:p>
            <w:pPr>
              <w:pStyle w:val="TableParagraph"/>
              <w:ind w:right="66"/>
              <w:jc w:val="right"/>
              <w:rPr>
                <w:sz w:val="20"/>
              </w:rPr>
            </w:pPr>
            <w:r>
              <w:rPr>
                <w:color w:val="231F20"/>
                <w:sz w:val="20"/>
              </w:rPr>
              <w:t>545</w:t>
            </w:r>
          </w:p>
        </w:tc>
      </w:tr>
      <w:tr>
        <w:trPr>
          <w:trHeight w:val="300" w:hRule="exact"/>
        </w:trPr>
        <w:tc>
          <w:tcPr>
            <w:tcW w:w="3040" w:type="dxa"/>
            <w:shd w:val="clear" w:color="auto" w:fill="D1D3D4"/>
          </w:tcPr>
          <w:p>
            <w:pPr>
              <w:pStyle w:val="TableParagraph"/>
              <w:rPr>
                <w:sz w:val="20"/>
              </w:rPr>
            </w:pPr>
            <w:r>
              <w:rPr>
                <w:color w:val="231F20"/>
                <w:sz w:val="20"/>
              </w:rPr>
              <w:t>2018</w:t>
            </w:r>
          </w:p>
        </w:tc>
        <w:tc>
          <w:tcPr>
            <w:tcW w:w="1200" w:type="dxa"/>
            <w:shd w:val="clear" w:color="auto" w:fill="D1D3D4"/>
          </w:tcPr>
          <w:p>
            <w:pPr>
              <w:pStyle w:val="TableParagraph"/>
              <w:ind w:right="66"/>
              <w:jc w:val="right"/>
              <w:rPr>
                <w:sz w:val="20"/>
              </w:rPr>
            </w:pPr>
            <w:r>
              <w:rPr>
                <w:color w:val="231F20"/>
                <w:sz w:val="20"/>
              </w:rPr>
              <w:t>45</w:t>
            </w:r>
          </w:p>
        </w:tc>
        <w:tc>
          <w:tcPr>
            <w:tcW w:w="1200" w:type="dxa"/>
            <w:shd w:val="clear" w:color="auto" w:fill="D1D3D4"/>
          </w:tcPr>
          <w:p>
            <w:pPr>
              <w:pStyle w:val="TableParagraph"/>
              <w:ind w:right="66"/>
              <w:jc w:val="right"/>
              <w:rPr>
                <w:sz w:val="20"/>
              </w:rPr>
            </w:pPr>
            <w:r>
              <w:rPr>
                <w:color w:val="231F20"/>
                <w:sz w:val="20"/>
              </w:rPr>
              <w:t>551</w:t>
            </w:r>
          </w:p>
        </w:tc>
        <w:tc>
          <w:tcPr>
            <w:tcW w:w="1747" w:type="dxa"/>
            <w:shd w:val="clear" w:color="auto" w:fill="D1D3D4"/>
          </w:tcPr>
          <w:p>
            <w:pPr>
              <w:pStyle w:val="TableParagraph"/>
              <w:ind w:left="833"/>
              <w:rPr>
                <w:sz w:val="20"/>
              </w:rPr>
            </w:pPr>
            <w:r>
              <w:rPr>
                <w:color w:val="231F20"/>
                <w:sz w:val="20"/>
              </w:rPr>
              <w:t>(102)</w:t>
            </w:r>
          </w:p>
        </w:tc>
        <w:tc>
          <w:tcPr>
            <w:tcW w:w="733" w:type="dxa"/>
            <w:shd w:val="clear" w:color="auto" w:fill="D1D3D4"/>
          </w:tcPr>
          <w:p>
            <w:pPr>
              <w:pStyle w:val="TableParagraph"/>
              <w:ind w:right="66"/>
              <w:jc w:val="right"/>
              <w:rPr>
                <w:sz w:val="20"/>
              </w:rPr>
            </w:pPr>
            <w:r>
              <w:rPr>
                <w:color w:val="231F20"/>
                <w:sz w:val="20"/>
              </w:rPr>
              <w:t>25</w:t>
            </w:r>
          </w:p>
        </w:tc>
        <w:tc>
          <w:tcPr>
            <w:tcW w:w="1200" w:type="dxa"/>
            <w:shd w:val="clear" w:color="auto" w:fill="D1D3D4"/>
          </w:tcPr>
          <w:p>
            <w:pPr>
              <w:pStyle w:val="TableParagraph"/>
              <w:ind w:right="66"/>
              <w:jc w:val="right"/>
              <w:rPr>
                <w:sz w:val="20"/>
              </w:rPr>
            </w:pPr>
            <w:r>
              <w:rPr>
                <w:color w:val="231F20"/>
                <w:sz w:val="20"/>
              </w:rPr>
              <w:t>474</w:t>
            </w:r>
          </w:p>
        </w:tc>
      </w:tr>
      <w:tr>
        <w:trPr>
          <w:trHeight w:val="300" w:hRule="exact"/>
        </w:trPr>
        <w:tc>
          <w:tcPr>
            <w:tcW w:w="3040" w:type="dxa"/>
          </w:tcPr>
          <w:p>
            <w:pPr>
              <w:pStyle w:val="TableParagraph"/>
              <w:rPr>
                <w:sz w:val="20"/>
              </w:rPr>
            </w:pPr>
            <w:r>
              <w:rPr>
                <w:color w:val="231F20"/>
                <w:sz w:val="20"/>
              </w:rPr>
              <w:t>2019</w:t>
            </w:r>
          </w:p>
        </w:tc>
        <w:tc>
          <w:tcPr>
            <w:tcW w:w="1200" w:type="dxa"/>
          </w:tcPr>
          <w:p>
            <w:pPr>
              <w:pStyle w:val="TableParagraph"/>
              <w:ind w:right="66"/>
              <w:jc w:val="right"/>
              <w:rPr>
                <w:sz w:val="20"/>
              </w:rPr>
            </w:pPr>
            <w:r>
              <w:rPr>
                <w:color w:val="231F20"/>
                <w:sz w:val="20"/>
              </w:rPr>
              <w:t>45</w:t>
            </w:r>
          </w:p>
        </w:tc>
        <w:tc>
          <w:tcPr>
            <w:tcW w:w="1200" w:type="dxa"/>
          </w:tcPr>
          <w:p>
            <w:pPr>
              <w:pStyle w:val="TableParagraph"/>
              <w:ind w:right="66"/>
              <w:jc w:val="right"/>
              <w:rPr>
                <w:sz w:val="20"/>
              </w:rPr>
            </w:pPr>
            <w:r>
              <w:rPr>
                <w:color w:val="231F20"/>
                <w:sz w:val="20"/>
              </w:rPr>
              <w:t>479</w:t>
            </w:r>
          </w:p>
        </w:tc>
        <w:tc>
          <w:tcPr>
            <w:tcW w:w="1747" w:type="dxa"/>
          </w:tcPr>
          <w:p>
            <w:pPr>
              <w:pStyle w:val="TableParagraph"/>
              <w:ind w:left="933"/>
              <w:rPr>
                <w:sz w:val="20"/>
              </w:rPr>
            </w:pPr>
            <w:r>
              <w:rPr>
                <w:color w:val="231F20"/>
                <w:sz w:val="20"/>
              </w:rPr>
              <w:t>(97)</w:t>
            </w:r>
          </w:p>
        </w:tc>
        <w:tc>
          <w:tcPr>
            <w:tcW w:w="733" w:type="dxa"/>
          </w:tcPr>
          <w:p>
            <w:pPr>
              <w:pStyle w:val="TableParagraph"/>
              <w:ind w:right="66"/>
              <w:jc w:val="right"/>
              <w:rPr>
                <w:sz w:val="20"/>
              </w:rPr>
            </w:pPr>
            <w:r>
              <w:rPr>
                <w:color w:val="231F20"/>
                <w:sz w:val="20"/>
              </w:rPr>
              <w:t>25</w:t>
            </w:r>
          </w:p>
        </w:tc>
        <w:tc>
          <w:tcPr>
            <w:tcW w:w="1200" w:type="dxa"/>
          </w:tcPr>
          <w:p>
            <w:pPr>
              <w:pStyle w:val="TableParagraph"/>
              <w:ind w:right="66"/>
              <w:jc w:val="right"/>
              <w:rPr>
                <w:sz w:val="20"/>
              </w:rPr>
            </w:pPr>
            <w:r>
              <w:rPr>
                <w:color w:val="231F20"/>
                <w:sz w:val="20"/>
              </w:rPr>
              <w:t>407</w:t>
            </w:r>
          </w:p>
        </w:tc>
      </w:tr>
      <w:tr>
        <w:trPr>
          <w:trHeight w:val="300" w:hRule="exact"/>
        </w:trPr>
        <w:tc>
          <w:tcPr>
            <w:tcW w:w="3040" w:type="dxa"/>
            <w:shd w:val="clear" w:color="auto" w:fill="D1D3D4"/>
          </w:tcPr>
          <w:p>
            <w:pPr>
              <w:pStyle w:val="TableParagraph"/>
              <w:rPr>
                <w:sz w:val="20"/>
              </w:rPr>
            </w:pPr>
            <w:r>
              <w:rPr>
                <w:color w:val="231F20"/>
                <w:sz w:val="20"/>
              </w:rPr>
              <w:t>2020</w:t>
            </w:r>
          </w:p>
        </w:tc>
        <w:tc>
          <w:tcPr>
            <w:tcW w:w="1200" w:type="dxa"/>
            <w:shd w:val="clear" w:color="auto" w:fill="D1D3D4"/>
          </w:tcPr>
          <w:p>
            <w:pPr>
              <w:pStyle w:val="TableParagraph"/>
              <w:ind w:right="66"/>
              <w:jc w:val="right"/>
              <w:rPr>
                <w:sz w:val="20"/>
              </w:rPr>
            </w:pPr>
            <w:r>
              <w:rPr>
                <w:color w:val="231F20"/>
                <w:sz w:val="20"/>
              </w:rPr>
              <w:t>44</w:t>
            </w:r>
          </w:p>
        </w:tc>
        <w:tc>
          <w:tcPr>
            <w:tcW w:w="1200" w:type="dxa"/>
            <w:shd w:val="clear" w:color="auto" w:fill="D1D3D4"/>
          </w:tcPr>
          <w:p>
            <w:pPr>
              <w:pStyle w:val="TableParagraph"/>
              <w:ind w:right="66"/>
              <w:jc w:val="right"/>
              <w:rPr>
                <w:sz w:val="20"/>
              </w:rPr>
            </w:pPr>
            <w:r>
              <w:rPr>
                <w:color w:val="231F20"/>
                <w:sz w:val="20"/>
              </w:rPr>
              <w:t>359</w:t>
            </w:r>
          </w:p>
        </w:tc>
        <w:tc>
          <w:tcPr>
            <w:tcW w:w="1747" w:type="dxa"/>
            <w:shd w:val="clear" w:color="auto" w:fill="D1D3D4"/>
          </w:tcPr>
          <w:p>
            <w:pPr>
              <w:pStyle w:val="TableParagraph"/>
              <w:ind w:left="933"/>
              <w:rPr>
                <w:sz w:val="20"/>
              </w:rPr>
            </w:pPr>
            <w:r>
              <w:rPr>
                <w:color w:val="231F20"/>
                <w:sz w:val="20"/>
              </w:rPr>
              <w:t>(78)</w:t>
            </w:r>
          </w:p>
        </w:tc>
        <w:tc>
          <w:tcPr>
            <w:tcW w:w="733" w:type="dxa"/>
            <w:shd w:val="clear" w:color="auto" w:fill="D1D3D4"/>
          </w:tcPr>
          <w:p>
            <w:pPr>
              <w:pStyle w:val="TableParagraph"/>
              <w:ind w:right="66"/>
              <w:jc w:val="right"/>
              <w:rPr>
                <w:sz w:val="20"/>
              </w:rPr>
            </w:pPr>
            <w:r>
              <w:rPr>
                <w:color w:val="231F20"/>
                <w:sz w:val="20"/>
              </w:rPr>
              <w:t>26</w:t>
            </w:r>
          </w:p>
        </w:tc>
        <w:tc>
          <w:tcPr>
            <w:tcW w:w="1200" w:type="dxa"/>
            <w:shd w:val="clear" w:color="auto" w:fill="D1D3D4"/>
          </w:tcPr>
          <w:p>
            <w:pPr>
              <w:pStyle w:val="TableParagraph"/>
              <w:ind w:right="66"/>
              <w:jc w:val="right"/>
              <w:rPr>
                <w:sz w:val="20"/>
              </w:rPr>
            </w:pPr>
            <w:r>
              <w:rPr>
                <w:color w:val="231F20"/>
                <w:sz w:val="20"/>
              </w:rPr>
              <w:t>307</w:t>
            </w:r>
          </w:p>
        </w:tc>
      </w:tr>
      <w:tr>
        <w:trPr>
          <w:trHeight w:val="315" w:hRule="exact"/>
        </w:trPr>
        <w:tc>
          <w:tcPr>
            <w:tcW w:w="3040" w:type="dxa"/>
          </w:tcPr>
          <w:p>
            <w:pPr>
              <w:pStyle w:val="TableParagraph"/>
              <w:rPr>
                <w:sz w:val="20"/>
              </w:rPr>
            </w:pPr>
            <w:r>
              <w:rPr>
                <w:color w:val="231F20"/>
                <w:sz w:val="20"/>
              </w:rPr>
              <w:t>Thereafter</w:t>
            </w:r>
          </w:p>
        </w:tc>
        <w:tc>
          <w:tcPr>
            <w:tcW w:w="1200" w:type="dxa"/>
            <w:tcBorders>
              <w:bottom w:val="single" w:sz="4" w:space="0" w:color="231F20"/>
            </w:tcBorders>
          </w:tcPr>
          <w:p>
            <w:pPr>
              <w:pStyle w:val="TableParagraph"/>
              <w:ind w:right="64"/>
              <w:jc w:val="right"/>
              <w:rPr>
                <w:sz w:val="20"/>
              </w:rPr>
            </w:pPr>
            <w:r>
              <w:rPr>
                <w:color w:val="231F20"/>
                <w:sz w:val="20"/>
              </w:rPr>
              <w:t>209</w:t>
            </w:r>
          </w:p>
        </w:tc>
        <w:tc>
          <w:tcPr>
            <w:tcW w:w="1200" w:type="dxa"/>
            <w:tcBorders>
              <w:bottom w:val="single" w:sz="4" w:space="0" w:color="231F20"/>
            </w:tcBorders>
          </w:tcPr>
          <w:p>
            <w:pPr>
              <w:pStyle w:val="TableParagraph"/>
              <w:ind w:right="64"/>
              <w:jc w:val="right"/>
              <w:rPr>
                <w:sz w:val="20"/>
              </w:rPr>
            </w:pPr>
            <w:r>
              <w:rPr>
                <w:color w:val="231F20"/>
                <w:sz w:val="20"/>
              </w:rPr>
              <w:t>961</w:t>
            </w:r>
          </w:p>
        </w:tc>
        <w:tc>
          <w:tcPr>
            <w:tcW w:w="1747" w:type="dxa"/>
            <w:tcBorders>
              <w:bottom w:val="single" w:sz="4" w:space="0" w:color="231F20"/>
            </w:tcBorders>
          </w:tcPr>
          <w:p>
            <w:pPr>
              <w:pStyle w:val="TableParagraph"/>
              <w:ind w:left="933"/>
              <w:rPr>
                <w:sz w:val="20"/>
              </w:rPr>
            </w:pPr>
            <w:r>
              <w:rPr>
                <w:color w:val="231F20"/>
                <w:sz w:val="20"/>
              </w:rPr>
              <w:t>(66)</w:t>
            </w:r>
          </w:p>
        </w:tc>
        <w:tc>
          <w:tcPr>
            <w:tcW w:w="733" w:type="dxa"/>
            <w:tcBorders>
              <w:bottom w:val="single" w:sz="4" w:space="0" w:color="231F20"/>
            </w:tcBorders>
          </w:tcPr>
          <w:p>
            <w:pPr>
              <w:pStyle w:val="TableParagraph"/>
              <w:ind w:right="64"/>
              <w:jc w:val="right"/>
              <w:rPr>
                <w:sz w:val="20"/>
              </w:rPr>
            </w:pPr>
            <w:r>
              <w:rPr>
                <w:color w:val="231F20"/>
                <w:sz w:val="20"/>
              </w:rPr>
              <w:t>634</w:t>
            </w:r>
          </w:p>
        </w:tc>
        <w:tc>
          <w:tcPr>
            <w:tcW w:w="1200" w:type="dxa"/>
            <w:tcBorders>
              <w:bottom w:val="single" w:sz="4" w:space="0" w:color="231F20"/>
            </w:tcBorders>
          </w:tcPr>
          <w:p>
            <w:pPr>
              <w:pStyle w:val="TableParagraph"/>
              <w:ind w:right="64"/>
              <w:jc w:val="right"/>
              <w:rPr>
                <w:sz w:val="20"/>
              </w:rPr>
            </w:pPr>
            <w:r>
              <w:rPr>
                <w:color w:val="231F20"/>
                <w:sz w:val="20"/>
              </w:rPr>
              <w:t>1,529</w:t>
            </w:r>
          </w:p>
        </w:tc>
      </w:tr>
      <w:tr>
        <w:trPr>
          <w:trHeight w:val="360" w:hRule="exact"/>
        </w:trPr>
        <w:tc>
          <w:tcPr>
            <w:tcW w:w="3040" w:type="dxa"/>
            <w:shd w:val="clear" w:color="auto" w:fill="D1D3D4"/>
          </w:tcPr>
          <w:p>
            <w:pPr>
              <w:pStyle w:val="TableParagraph"/>
              <w:rPr>
                <w:sz w:val="20"/>
              </w:rPr>
            </w:pPr>
            <w:r>
              <w:rPr>
                <w:color w:val="231F20"/>
                <w:sz w:val="20"/>
              </w:rPr>
              <w:t>Total minimum lease payments</w:t>
            </w:r>
          </w:p>
        </w:tc>
        <w:tc>
          <w:tcPr>
            <w:tcW w:w="1200" w:type="dxa"/>
            <w:tcBorders>
              <w:top w:val="single" w:sz="4" w:space="0" w:color="231F20"/>
            </w:tcBorders>
            <w:shd w:val="clear" w:color="auto" w:fill="D1D3D4"/>
          </w:tcPr>
          <w:p>
            <w:pPr>
              <w:pStyle w:val="TableParagraph"/>
              <w:tabs>
                <w:tab w:pos="752" w:val="left" w:leader="none"/>
              </w:tabs>
              <w:ind w:right="64"/>
              <w:jc w:val="right"/>
              <w:rPr>
                <w:sz w:val="20"/>
              </w:rPr>
            </w:pPr>
            <w:r>
              <w:rPr>
                <w:color w:val="231F20"/>
                <w:sz w:val="20"/>
              </w:rPr>
              <w:t>$</w:t>
              <w:tab/>
              <w:t>435</w:t>
            </w:r>
          </w:p>
        </w:tc>
        <w:tc>
          <w:tcPr>
            <w:tcW w:w="1200" w:type="dxa"/>
            <w:tcBorders>
              <w:top w:val="single" w:sz="4" w:space="0" w:color="231F20"/>
              <w:bottom w:val="single" w:sz="4" w:space="0" w:color="231F20"/>
            </w:tcBorders>
            <w:shd w:val="clear" w:color="auto" w:fill="D1D3D4"/>
          </w:tcPr>
          <w:p>
            <w:pPr>
              <w:pStyle w:val="TableParagraph"/>
              <w:tabs>
                <w:tab w:pos="602" w:val="left" w:leader="none"/>
              </w:tabs>
              <w:ind w:right="64"/>
              <w:jc w:val="right"/>
              <w:rPr>
                <w:sz w:val="20"/>
              </w:rPr>
            </w:pPr>
            <w:r>
              <w:rPr>
                <w:color w:val="231F20"/>
                <w:sz w:val="20"/>
              </w:rPr>
              <w:t>$</w:t>
              <w:tab/>
              <w:t>3,610</w:t>
            </w:r>
          </w:p>
        </w:tc>
        <w:tc>
          <w:tcPr>
            <w:tcW w:w="1747" w:type="dxa"/>
            <w:tcBorders>
              <w:top w:val="single" w:sz="4" w:space="0" w:color="231F20"/>
              <w:bottom w:val="single" w:sz="4" w:space="0" w:color="231F20"/>
            </w:tcBorders>
            <w:shd w:val="clear" w:color="auto" w:fill="D1D3D4"/>
          </w:tcPr>
          <w:p>
            <w:pPr>
              <w:pStyle w:val="TableParagraph"/>
              <w:spacing w:line="20" w:lineRule="exact" w:before="0"/>
              <w:ind w:left="75"/>
              <w:rPr>
                <w:sz w:val="2"/>
              </w:rPr>
            </w:pPr>
            <w:r>
              <w:rPr>
                <w:sz w:val="2"/>
              </w:rPr>
              <w:pict>
                <v:group style="width:56.5pt;height:.5pt;mso-position-horizontal-relative:char;mso-position-vertical-relative:line" coordorigin="0,0" coordsize="1130,10">
                  <v:line style="position:absolute" from="5,5" to="1125,5" stroked="true" strokeweight=".5pt" strokecolor="#231f20">
                    <v:stroke dashstyle="solid"/>
                  </v:line>
                </v:group>
              </w:pict>
            </w:r>
            <w:r>
              <w:rPr>
                <w:sz w:val="2"/>
              </w:rPr>
            </w:r>
          </w:p>
          <w:p>
            <w:pPr>
              <w:pStyle w:val="TableParagraph"/>
              <w:tabs>
                <w:tab w:pos="832" w:val="left" w:leader="none"/>
              </w:tabs>
              <w:spacing w:before="33"/>
              <w:ind w:left="80"/>
              <w:rPr>
                <w:sz w:val="20"/>
              </w:rPr>
            </w:pPr>
            <w:r>
              <w:rPr>
                <w:color w:val="231F20"/>
                <w:sz w:val="20"/>
              </w:rPr>
              <w:t>$</w:t>
              <w:tab/>
            </w:r>
            <w:r>
              <w:rPr>
                <w:color w:val="231F20"/>
                <w:spacing w:val="2"/>
                <w:sz w:val="20"/>
              </w:rPr>
              <w:t>(549)$</w:t>
            </w:r>
          </w:p>
        </w:tc>
        <w:tc>
          <w:tcPr>
            <w:tcW w:w="733"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758</w:t>
            </w:r>
          </w:p>
        </w:tc>
        <w:tc>
          <w:tcPr>
            <w:tcW w:w="1200" w:type="dxa"/>
            <w:tcBorders>
              <w:top w:val="single" w:sz="4" w:space="0" w:color="231F20"/>
              <w:bottom w:val="single" w:sz="4" w:space="0" w:color="231F20"/>
            </w:tcBorders>
            <w:shd w:val="clear" w:color="auto" w:fill="D1D3D4"/>
          </w:tcPr>
          <w:p>
            <w:pPr>
              <w:pStyle w:val="TableParagraph"/>
              <w:tabs>
                <w:tab w:pos="602" w:val="left" w:leader="none"/>
              </w:tabs>
              <w:spacing w:before="48"/>
              <w:ind w:right="64"/>
              <w:jc w:val="right"/>
              <w:rPr>
                <w:sz w:val="20"/>
              </w:rPr>
            </w:pPr>
            <w:r>
              <w:rPr>
                <w:color w:val="231F20"/>
                <w:sz w:val="20"/>
              </w:rPr>
              <w:t>$</w:t>
              <w:tab/>
              <w:t>3,819</w:t>
            </w:r>
          </w:p>
        </w:tc>
      </w:tr>
      <w:tr>
        <w:trPr>
          <w:trHeight w:val="320" w:hRule="exact"/>
        </w:trPr>
        <w:tc>
          <w:tcPr>
            <w:tcW w:w="3040" w:type="dxa"/>
          </w:tcPr>
          <w:p>
            <w:pPr>
              <w:pStyle w:val="TableParagraph"/>
              <w:spacing w:before="113"/>
              <w:rPr>
                <w:sz w:val="20"/>
              </w:rPr>
            </w:pPr>
            <w:r>
              <w:rPr>
                <w:color w:val="231F20"/>
                <w:sz w:val="20"/>
              </w:rPr>
              <w:t>Less amount representing interest</w:t>
            </w:r>
          </w:p>
        </w:tc>
        <w:tc>
          <w:tcPr>
            <w:tcW w:w="1200" w:type="dxa"/>
            <w:tcBorders>
              <w:bottom w:val="single" w:sz="4" w:space="0" w:color="231F20"/>
            </w:tcBorders>
          </w:tcPr>
          <w:p>
            <w:pPr>
              <w:pStyle w:val="TableParagraph"/>
              <w:spacing w:before="113"/>
              <w:ind w:right="64"/>
              <w:jc w:val="right"/>
              <w:rPr>
                <w:sz w:val="20"/>
              </w:rPr>
            </w:pPr>
            <w:r>
              <w:rPr>
                <w:color w:val="231F20"/>
                <w:sz w:val="20"/>
              </w:rPr>
              <w:t>79</w:t>
            </w:r>
          </w:p>
        </w:tc>
        <w:tc>
          <w:tcPr>
            <w:tcW w:w="1200" w:type="dxa"/>
            <w:tcBorders>
              <w:top w:val="single" w:sz="4" w:space="0" w:color="231F20"/>
            </w:tcBorders>
          </w:tcPr>
          <w:p>
            <w:pPr/>
          </w:p>
        </w:tc>
        <w:tc>
          <w:tcPr>
            <w:tcW w:w="1747" w:type="dxa"/>
            <w:tcBorders>
              <w:top w:val="single" w:sz="4" w:space="0" w:color="231F20"/>
            </w:tcBorders>
          </w:tcPr>
          <w:p>
            <w:pPr/>
          </w:p>
        </w:tc>
        <w:tc>
          <w:tcPr>
            <w:tcW w:w="733" w:type="dxa"/>
            <w:tcBorders>
              <w:top w:val="single" w:sz="4" w:space="0" w:color="231F20"/>
            </w:tcBorders>
          </w:tcPr>
          <w:p>
            <w:pPr/>
          </w:p>
        </w:tc>
        <w:tc>
          <w:tcPr>
            <w:tcW w:w="1200" w:type="dxa"/>
            <w:tcBorders>
              <w:top w:val="single" w:sz="4" w:space="0" w:color="231F20"/>
            </w:tcBorders>
          </w:tcPr>
          <w:p>
            <w:pPr/>
          </w:p>
        </w:tc>
      </w:tr>
      <w:tr>
        <w:trPr>
          <w:trHeight w:val="545" w:hRule="exact"/>
        </w:trPr>
        <w:tc>
          <w:tcPr>
            <w:tcW w:w="3040" w:type="dxa"/>
            <w:shd w:val="clear" w:color="auto" w:fill="D1D3D4"/>
          </w:tcPr>
          <w:p>
            <w:pPr>
              <w:pStyle w:val="TableParagraph"/>
              <w:spacing w:line="249" w:lineRule="auto"/>
              <w:ind w:left="200" w:right="454" w:hanging="200"/>
              <w:rPr>
                <w:sz w:val="20"/>
              </w:rPr>
            </w:pPr>
            <w:r>
              <w:rPr>
                <w:color w:val="231F20"/>
                <w:sz w:val="20"/>
              </w:rPr>
              <w:t>Present value of minimum lease payments</w:t>
            </w:r>
          </w:p>
        </w:tc>
        <w:tc>
          <w:tcPr>
            <w:tcW w:w="1200" w:type="dxa"/>
            <w:tcBorders>
              <w:top w:val="single" w:sz="4" w:space="0" w:color="231F20"/>
            </w:tcBorders>
            <w:shd w:val="clear" w:color="auto" w:fill="D1D3D4"/>
          </w:tcPr>
          <w:p>
            <w:pPr>
              <w:pStyle w:val="TableParagraph"/>
              <w:spacing w:before="5"/>
              <w:rPr>
                <w:b/>
                <w:sz w:val="25"/>
              </w:rPr>
            </w:pPr>
          </w:p>
          <w:p>
            <w:pPr>
              <w:pStyle w:val="TableParagraph"/>
              <w:spacing w:before="1"/>
              <w:ind w:right="64"/>
              <w:jc w:val="right"/>
              <w:rPr>
                <w:sz w:val="20"/>
              </w:rPr>
            </w:pPr>
            <w:r>
              <w:rPr>
                <w:color w:val="231F20"/>
                <w:sz w:val="20"/>
              </w:rPr>
              <w:t>356</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315" w:hRule="exact"/>
        </w:trPr>
        <w:tc>
          <w:tcPr>
            <w:tcW w:w="3040" w:type="dxa"/>
          </w:tcPr>
          <w:p>
            <w:pPr>
              <w:pStyle w:val="TableParagraph"/>
              <w:rPr>
                <w:sz w:val="20"/>
              </w:rPr>
            </w:pPr>
            <w:r>
              <w:rPr>
                <w:color w:val="231F20"/>
                <w:sz w:val="20"/>
              </w:rPr>
              <w:t>Less current portion</w:t>
            </w:r>
          </w:p>
        </w:tc>
        <w:tc>
          <w:tcPr>
            <w:tcW w:w="1200" w:type="dxa"/>
            <w:tcBorders>
              <w:bottom w:val="single" w:sz="4" w:space="0" w:color="231F20"/>
            </w:tcBorders>
          </w:tcPr>
          <w:p>
            <w:pPr>
              <w:pStyle w:val="TableParagraph"/>
              <w:ind w:right="66"/>
              <w:jc w:val="right"/>
              <w:rPr>
                <w:sz w:val="20"/>
              </w:rPr>
            </w:pPr>
            <w:r>
              <w:rPr>
                <w:color w:val="231F20"/>
                <w:sz w:val="20"/>
              </w:rPr>
              <w:t>32</w:t>
            </w:r>
          </w:p>
        </w:tc>
        <w:tc>
          <w:tcPr>
            <w:tcW w:w="1200" w:type="dxa"/>
          </w:tcPr>
          <w:p>
            <w:pPr/>
          </w:p>
        </w:tc>
        <w:tc>
          <w:tcPr>
            <w:tcW w:w="1747" w:type="dxa"/>
          </w:tcPr>
          <w:p>
            <w:pPr/>
          </w:p>
        </w:tc>
        <w:tc>
          <w:tcPr>
            <w:tcW w:w="733" w:type="dxa"/>
          </w:tcPr>
          <w:p>
            <w:pPr/>
          </w:p>
        </w:tc>
        <w:tc>
          <w:tcPr>
            <w:tcW w:w="1200" w:type="dxa"/>
          </w:tcPr>
          <w:p>
            <w:pPr/>
          </w:p>
        </w:tc>
      </w:tr>
      <w:tr>
        <w:trPr>
          <w:trHeight w:val="360" w:hRule="exact"/>
        </w:trPr>
        <w:tc>
          <w:tcPr>
            <w:tcW w:w="3040" w:type="dxa"/>
            <w:shd w:val="clear" w:color="auto" w:fill="D1D3D4"/>
          </w:tcPr>
          <w:p>
            <w:pPr>
              <w:pStyle w:val="TableParagraph"/>
              <w:rPr>
                <w:sz w:val="20"/>
              </w:rPr>
            </w:pPr>
            <w:r>
              <w:rPr>
                <w:color w:val="231F20"/>
                <w:sz w:val="20"/>
              </w:rPr>
              <w:t>Long-term portion</w:t>
            </w:r>
          </w:p>
        </w:tc>
        <w:tc>
          <w:tcPr>
            <w:tcW w:w="1200" w:type="dxa"/>
            <w:tcBorders>
              <w:top w:val="single" w:sz="4" w:space="0" w:color="231F20"/>
              <w:bottom w:val="double" w:sz="7" w:space="0" w:color="231F20"/>
            </w:tcBorders>
            <w:shd w:val="clear" w:color="auto" w:fill="D1D3D4"/>
          </w:tcPr>
          <w:p>
            <w:pPr>
              <w:pStyle w:val="TableParagraph"/>
              <w:tabs>
                <w:tab w:pos="752" w:val="left" w:leader="none"/>
              </w:tabs>
              <w:ind w:right="64"/>
              <w:jc w:val="right"/>
              <w:rPr>
                <w:sz w:val="20"/>
              </w:rPr>
            </w:pPr>
            <w:r>
              <w:rPr>
                <w:color w:val="231F20"/>
                <w:sz w:val="20"/>
              </w:rPr>
              <w:t>$</w:t>
              <w:tab/>
              <w:t>324</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284" w:hRule="exact"/>
        </w:trPr>
        <w:tc>
          <w:tcPr>
            <w:tcW w:w="3040" w:type="dxa"/>
          </w:tcPr>
          <w:p>
            <w:pPr>
              <w:pStyle w:val="TableParagraph"/>
              <w:spacing w:before="132"/>
              <w:rPr>
                <w:sz w:val="18"/>
              </w:rPr>
            </w:pPr>
            <w:r>
              <w:rPr>
                <w:color w:val="231F20"/>
                <w:sz w:val="18"/>
              </w:rPr>
              <w:t>* See Note 4 for further details</w:t>
            </w:r>
          </w:p>
        </w:tc>
        <w:tc>
          <w:tcPr>
            <w:tcW w:w="1200" w:type="dxa"/>
            <w:tcBorders>
              <w:top w:val="double" w:sz="7" w:space="0" w:color="231F20"/>
            </w:tcBorders>
          </w:tcPr>
          <w:p>
            <w:pPr/>
          </w:p>
        </w:tc>
        <w:tc>
          <w:tcPr>
            <w:tcW w:w="1200" w:type="dxa"/>
          </w:tcPr>
          <w:p>
            <w:pPr/>
          </w:p>
        </w:tc>
        <w:tc>
          <w:tcPr>
            <w:tcW w:w="1747" w:type="dxa"/>
          </w:tcPr>
          <w:p>
            <w:pPr/>
          </w:p>
        </w:tc>
        <w:tc>
          <w:tcPr>
            <w:tcW w:w="733" w:type="dxa"/>
          </w:tcPr>
          <w:p>
            <w:pPr/>
          </w:p>
        </w:tc>
        <w:tc>
          <w:tcPr>
            <w:tcW w:w="1200" w:type="dxa"/>
          </w:tcPr>
          <w:p>
            <w:pPr/>
          </w:p>
        </w:tc>
      </w:tr>
    </w:tbl>
    <w:p>
      <w:pPr>
        <w:pStyle w:val="BodyText"/>
        <w:rPr>
          <w:b/>
          <w:sz w:val="27"/>
        </w:rPr>
      </w:pPr>
      <w:r>
        <w:rPr/>
        <w:pict>
          <v:line style="position:absolute;mso-position-horizontal-relative:page;mso-position-vertical-relative:page;z-index:-390520" from="285pt,470.950012pt" to="341pt,470.950012pt" stroked="true" strokeweight=".5pt" strokecolor="#231f20">
            <v:stroke dashstyle="solid"/>
            <w10:wrap type="none"/>
          </v:line>
        </w:pict>
      </w:r>
      <w:r>
        <w:rPr/>
        <w:pict>
          <v:group style="position:absolute;margin-left:344.75pt;margin-top:470.700012pt;width:56.5pt;height:2.5pt;mso-position-horizontal-relative:page;mso-position-vertical-relative:page;z-index:-390496" coordorigin="6895,9414" coordsize="1130,50">
            <v:line style="position:absolute" from="6900,9419" to="8020,9419" stroked="true" strokeweight=".5pt" strokecolor="#231f20">
              <v:stroke dashstyle="solid"/>
            </v:line>
            <v:line style="position:absolute" from="6900,9459" to="8020,9459" stroked="true" strokeweight=".5pt" strokecolor="#231f20">
              <v:stroke dashstyle="solid"/>
            </v:line>
            <w10:wrap type="none"/>
          </v:group>
        </w:pict>
      </w:r>
      <w:r>
        <w:rPr/>
        <w:pict>
          <v:line style="position:absolute;mso-position-horizontal-relative:page;mso-position-vertical-relative:page;z-index:-390472" from="405pt,470.950012pt" to="465pt,470.950012pt" stroked="true" strokeweight=".5pt" strokecolor="#231f20">
            <v:stroke dashstyle="solid"/>
            <w10:wrap type="none"/>
          </v:line>
        </w:pict>
      </w:r>
    </w:p>
    <w:p>
      <w:pPr>
        <w:pStyle w:val="BodyText"/>
        <w:spacing w:line="247" w:lineRule="auto" w:before="92"/>
        <w:ind w:left="120" w:right="117"/>
        <w:jc w:val="both"/>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before="7"/>
        <w:rPr>
          <w:sz w:val="25"/>
        </w:rPr>
      </w:pPr>
    </w:p>
    <w:p>
      <w:pPr>
        <w:pStyle w:val="BodyText"/>
        <w:spacing w:line="247" w:lineRule="auto"/>
        <w:ind w:left="120" w:right="117"/>
        <w:jc w:val="both"/>
      </w:pP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2015, the  Company</w:t>
      </w:r>
      <w:r>
        <w:rPr>
          <w:color w:val="231F20"/>
          <w:spacing w:val="42"/>
        </w:rPr>
        <w:t> </w:t>
      </w:r>
      <w:r>
        <w:rPr>
          <w:color w:val="231F20"/>
        </w:rPr>
        <w:t>had</w:t>
      </w:r>
      <w:r>
        <w:rPr>
          <w:color w:val="231F20"/>
          <w:spacing w:val="41"/>
        </w:rPr>
        <w:t> </w:t>
      </w:r>
      <w:r>
        <w:rPr>
          <w:color w:val="231F20"/>
        </w:rPr>
        <w:t>delivered</w:t>
      </w:r>
      <w:r>
        <w:rPr>
          <w:color w:val="231F20"/>
          <w:spacing w:val="41"/>
        </w:rPr>
        <w:t> </w:t>
      </w:r>
      <w:r>
        <w:rPr>
          <w:color w:val="231F20"/>
        </w:rPr>
        <w:t>a</w:t>
      </w:r>
      <w:r>
        <w:rPr>
          <w:color w:val="231F20"/>
          <w:spacing w:val="41"/>
        </w:rPr>
        <w:t> </w:t>
      </w:r>
      <w:r>
        <w:rPr>
          <w:color w:val="231F20"/>
        </w:rPr>
        <w:t>total</w:t>
      </w:r>
      <w:r>
        <w:rPr>
          <w:color w:val="231F20"/>
          <w:spacing w:val="40"/>
        </w:rPr>
        <w:t> </w:t>
      </w:r>
      <w:r>
        <w:rPr>
          <w:color w:val="231F20"/>
        </w:rPr>
        <w:t>of</w:t>
      </w:r>
      <w:r>
        <w:rPr>
          <w:color w:val="231F20"/>
          <w:spacing w:val="40"/>
        </w:rPr>
        <w:t> </w:t>
      </w:r>
      <w:r>
        <w:rPr>
          <w:color w:val="231F20"/>
        </w:rPr>
        <w:t>87</w:t>
      </w:r>
      <w:r>
        <w:rPr>
          <w:color w:val="231F20"/>
          <w:spacing w:val="41"/>
        </w:rPr>
        <w:t> </w:t>
      </w:r>
      <w:r>
        <w:rPr>
          <w:color w:val="231F20"/>
        </w:rPr>
        <w:t>B717s</w:t>
      </w:r>
      <w:r>
        <w:rPr>
          <w:color w:val="231F20"/>
          <w:spacing w:val="41"/>
        </w:rPr>
        <w:t> </w:t>
      </w:r>
      <w:r>
        <w:rPr>
          <w:color w:val="231F20"/>
        </w:rPr>
        <w:t>to</w:t>
      </w:r>
      <w:r>
        <w:rPr>
          <w:color w:val="231F20"/>
          <w:spacing w:val="40"/>
        </w:rPr>
        <w:t> </w:t>
      </w:r>
      <w:r>
        <w:rPr>
          <w:color w:val="231F20"/>
        </w:rPr>
        <w:t>Delta.</w:t>
      </w:r>
      <w:r>
        <w:rPr>
          <w:color w:val="231F20"/>
          <w:spacing w:val="41"/>
        </w:rPr>
        <w:t> </w:t>
      </w:r>
      <w:r>
        <w:rPr>
          <w:color w:val="231F20"/>
        </w:rPr>
        <w:t>As</w:t>
      </w:r>
      <w:r>
        <w:rPr>
          <w:color w:val="231F20"/>
          <w:spacing w:val="41"/>
        </w:rPr>
        <w:t> </w:t>
      </w:r>
      <w:r>
        <w:rPr>
          <w:color w:val="231F20"/>
        </w:rPr>
        <w:t>the</w:t>
      </w:r>
      <w:r>
        <w:rPr>
          <w:color w:val="231F20"/>
          <w:spacing w:val="41"/>
        </w:rPr>
        <w:t> </w:t>
      </w:r>
      <w:r>
        <w:rPr>
          <w:color w:val="231F20"/>
        </w:rPr>
        <w:t>Company</w:t>
      </w:r>
      <w:r>
        <w:rPr>
          <w:color w:val="231F20"/>
          <w:spacing w:val="41"/>
        </w:rPr>
        <w:t> </w:t>
      </w:r>
      <w:r>
        <w:rPr>
          <w:color w:val="231F20"/>
        </w:rPr>
        <w:t>previously</w:t>
      </w:r>
      <w:r>
        <w:rPr>
          <w:color w:val="231F20"/>
          <w:spacing w:val="41"/>
        </w:rPr>
        <w:t> </w:t>
      </w:r>
      <w:r>
        <w:rPr>
          <w:color w:val="231F20"/>
        </w:rPr>
        <w:t>announced,</w:t>
      </w:r>
      <w:r>
        <w:rPr>
          <w:color w:val="231F20"/>
          <w:spacing w:val="41"/>
        </w:rPr>
        <w:t> </w:t>
      </w:r>
      <w:r>
        <w:rPr>
          <w:color w:val="231F20"/>
        </w:rPr>
        <w:t>all</w:t>
      </w:r>
    </w:p>
    <w:p>
      <w:pPr>
        <w:spacing w:after="0" w:line="247" w:lineRule="auto"/>
        <w:jc w:val="both"/>
        <w:sectPr>
          <w:type w:val="continuous"/>
          <w:pgSz w:w="11880" w:h="15480"/>
          <w:pgMar w:top="1260" w:bottom="280" w:left="1260" w:right="1260"/>
        </w:sectPr>
      </w:pPr>
    </w:p>
    <w:p>
      <w:pPr>
        <w:pStyle w:val="BodyText"/>
        <w:spacing w:line="247" w:lineRule="auto" w:before="74"/>
        <w:ind w:left="120" w:right="118"/>
        <w:jc w:val="both"/>
      </w:pPr>
      <w:r>
        <w:rPr>
          <w:color w:val="231F20"/>
        </w:rPr>
        <w:t>B717s remaining at Southwest were grounded on December 28, 2014. The Company expects the one remaining B717 to be converted and delivered to Delta by early 2016. A total of 76 of the B717s are on operating lease, ten are owned, and two are on capital lease.</w:t>
      </w:r>
    </w:p>
    <w:p>
      <w:pPr>
        <w:pStyle w:val="BodyText"/>
        <w:spacing w:before="7"/>
        <w:rPr>
          <w:sz w:val="23"/>
        </w:rPr>
      </w:pPr>
    </w:p>
    <w:p>
      <w:pPr>
        <w:pStyle w:val="BodyText"/>
        <w:spacing w:line="247" w:lineRule="auto"/>
        <w:ind w:left="120" w:right="117"/>
        <w:jc w:val="both"/>
      </w:pPr>
      <w:r>
        <w:rPr>
          <w:color w:val="231F20"/>
        </w:rPr>
        <w:t>The Company paid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76 B717s on operating lease and the two B717s on capital lease coincide with  the Company’s remaining lease terms for these aircraft from the original lessor, which range from approximately three to eight years. The leasing of the ten B717s that are owned by the Company is subject to certain conditions, and the lease terms are for up to seven years, after which Delta will have the option to purchase the aircraft at the then-prevailing market value. The ten owned B717s are accounted for as sales type leases, the two B717s classified by the Company as capital leases are accounted for as direct financing leases, and the remaining 76 subleases are accounted for as operating leases with Delta. With respect to the 87 B717s delivered to Delta as of December 31, 2015, the Company had 76 operating leases, nine sales type leases, and two direct financing leases. There are no contingent payments and no significant residual value conditions associated with the</w:t>
      </w:r>
      <w:r>
        <w:rPr>
          <w:color w:val="231F20"/>
          <w:spacing w:val="1"/>
        </w:rPr>
        <w:t> </w:t>
      </w:r>
      <w:r>
        <w:rPr>
          <w:color w:val="231F20"/>
        </w:rPr>
        <w:t>transaction.</w:t>
      </w:r>
    </w:p>
    <w:p>
      <w:pPr>
        <w:pStyle w:val="BodyText"/>
        <w:spacing w:before="7"/>
        <w:rPr>
          <w:sz w:val="23"/>
        </w:rPr>
      </w:pPr>
    </w:p>
    <w:p>
      <w:pPr>
        <w:pStyle w:val="BodyText"/>
        <w:spacing w:line="247" w:lineRule="auto"/>
        <w:ind w:left="120" w:right="117"/>
        <w:jc w:val="both"/>
      </w:pPr>
      <w:r>
        <w:rPr/>
        <w:pict>
          <v:line style="position:absolute;mso-position-horizontal-relative:page;mso-position-vertical-relative:paragraph;z-index:-390448" from="69pt,232.422928pt" to="346.45pt,232.422928pt" stroked="true" strokeweight="1pt" strokecolor="#231f20">
            <v:stroke dashstyle="solid"/>
            <w10:wrap type="none"/>
          </v:line>
        </w:pict>
      </w:r>
      <w:r>
        <w:rPr>
          <w:color w:val="231F20"/>
        </w:rPr>
        <w:t>The accounting for this transaction is based on the guidance provided for lease transactions. The Company recorded an initial charge of approximately $137 million during third quarter 2012, representing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 $22 million in expense for its revised estimate of conversion costs for these B717s, and an additional $9 million associated with the extension of time between when the Company removed the aircraft from revenue service, on December 28, 2014, and when they entered the conversion process. The charges 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A rollforward of the Company’s B717 lease/sublease liability for 2015 and 2014 is shown</w:t>
      </w:r>
      <w:r>
        <w:rPr>
          <w:color w:val="231F20"/>
          <w:spacing w:val="-1"/>
        </w:rPr>
        <w:t> </w:t>
      </w:r>
      <w:r>
        <w:rPr>
          <w:color w:val="231F20"/>
        </w:rPr>
        <w:t>below:</w:t>
      </w:r>
    </w:p>
    <w:p>
      <w:pPr>
        <w:pStyle w:val="BodyText"/>
        <w:spacing w:before="1"/>
        <w:rPr>
          <w:sz w:val="20"/>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9"/>
        <w:gridCol w:w="200"/>
        <w:gridCol w:w="2936"/>
        <w:gridCol w:w="435"/>
      </w:tblGrid>
      <w:tr>
        <w:trPr>
          <w:trHeight w:val="256" w:hRule="exact"/>
        </w:trPr>
        <w:tc>
          <w:tcPr>
            <w:tcW w:w="5549" w:type="dxa"/>
          </w:tcPr>
          <w:p>
            <w:pPr>
              <w:pStyle w:val="TableParagraph"/>
              <w:spacing w:line="229" w:lineRule="exact" w:before="0"/>
              <w:rPr>
                <w:b/>
                <w:sz w:val="20"/>
              </w:rPr>
            </w:pPr>
            <w:r>
              <w:rPr>
                <w:b/>
                <w:color w:val="231F20"/>
                <w:sz w:val="20"/>
              </w:rPr>
              <w:t>(in millions)</w:t>
            </w:r>
          </w:p>
        </w:tc>
        <w:tc>
          <w:tcPr>
            <w:tcW w:w="200" w:type="dxa"/>
          </w:tcPr>
          <w:p>
            <w:pPr/>
          </w:p>
        </w:tc>
        <w:tc>
          <w:tcPr>
            <w:tcW w:w="2936" w:type="dxa"/>
            <w:tcBorders>
              <w:bottom w:val="single" w:sz="8" w:space="0" w:color="231F20"/>
            </w:tcBorders>
          </w:tcPr>
          <w:p>
            <w:pPr>
              <w:pStyle w:val="TableParagraph"/>
              <w:spacing w:line="229" w:lineRule="exact" w:before="0"/>
              <w:ind w:left="500"/>
              <w:rPr>
                <w:b/>
                <w:sz w:val="20"/>
              </w:rPr>
            </w:pPr>
            <w:r>
              <w:rPr>
                <w:b/>
                <w:color w:val="231F20"/>
                <w:sz w:val="20"/>
              </w:rPr>
              <w:t>B717 lease/sublease liability</w:t>
            </w:r>
          </w:p>
        </w:tc>
        <w:tc>
          <w:tcPr>
            <w:tcW w:w="435" w:type="dxa"/>
            <w:tcBorders>
              <w:bottom w:val="single" w:sz="8" w:space="0" w:color="231F20"/>
            </w:tcBorders>
          </w:tcPr>
          <w:p>
            <w:pPr/>
          </w:p>
        </w:tc>
      </w:tr>
      <w:tr>
        <w:trPr>
          <w:trHeight w:val="310" w:hRule="exact"/>
        </w:trPr>
        <w:tc>
          <w:tcPr>
            <w:tcW w:w="5549" w:type="dxa"/>
            <w:shd w:val="clear" w:color="auto" w:fill="D1D3D4"/>
          </w:tcPr>
          <w:p>
            <w:pPr>
              <w:pStyle w:val="TableParagraph"/>
              <w:rPr>
                <w:sz w:val="20"/>
              </w:rPr>
            </w:pPr>
            <w:r>
              <w:rPr>
                <w:color w:val="231F20"/>
                <w:sz w:val="20"/>
              </w:rPr>
              <w:t>Balance at December 31, 2013</w:t>
            </w:r>
          </w:p>
        </w:tc>
        <w:tc>
          <w:tcPr>
            <w:tcW w:w="200" w:type="dxa"/>
            <w:shd w:val="clear" w:color="auto" w:fill="D1D3D4"/>
          </w:tcPr>
          <w:p>
            <w:pPr/>
          </w:p>
        </w:tc>
        <w:tc>
          <w:tcPr>
            <w:tcW w:w="2936" w:type="dxa"/>
            <w:tcBorders>
              <w:top w:val="single" w:sz="8" w:space="0" w:color="231F20"/>
            </w:tcBorders>
            <w:shd w:val="clear" w:color="auto" w:fill="D1D3D4"/>
          </w:tcPr>
          <w:p>
            <w:pPr>
              <w:pStyle w:val="TableParagraph"/>
              <w:rPr>
                <w:sz w:val="20"/>
              </w:rPr>
            </w:pPr>
            <w:r>
              <w:rPr>
                <w:color w:val="231F20"/>
                <w:sz w:val="20"/>
              </w:rPr>
              <w:t>$</w:t>
            </w:r>
          </w:p>
        </w:tc>
        <w:tc>
          <w:tcPr>
            <w:tcW w:w="435" w:type="dxa"/>
            <w:tcBorders>
              <w:top w:val="single" w:sz="8" w:space="0" w:color="231F20"/>
            </w:tcBorders>
            <w:shd w:val="clear" w:color="auto" w:fill="D1D3D4"/>
          </w:tcPr>
          <w:p>
            <w:pPr>
              <w:pStyle w:val="TableParagraph"/>
              <w:ind w:left="67"/>
              <w:rPr>
                <w:sz w:val="20"/>
              </w:rPr>
            </w:pPr>
            <w:r>
              <w:rPr>
                <w:color w:val="231F20"/>
                <w:sz w:val="20"/>
              </w:rPr>
              <w:t>122</w:t>
            </w:r>
          </w:p>
        </w:tc>
      </w:tr>
      <w:tr>
        <w:trPr>
          <w:trHeight w:val="300" w:hRule="exact"/>
        </w:trPr>
        <w:tc>
          <w:tcPr>
            <w:tcW w:w="5549" w:type="dxa"/>
          </w:tcPr>
          <w:p>
            <w:pPr>
              <w:pStyle w:val="TableParagraph"/>
              <w:ind w:left="200"/>
              <w:rPr>
                <w:sz w:val="20"/>
              </w:rPr>
            </w:pPr>
            <w:r>
              <w:rPr>
                <w:color w:val="231F20"/>
                <w:sz w:val="20"/>
              </w:rPr>
              <w:t>Lease/sublease accretion</w:t>
            </w:r>
          </w:p>
        </w:tc>
        <w:tc>
          <w:tcPr>
            <w:tcW w:w="200" w:type="dxa"/>
          </w:tcPr>
          <w:p>
            <w:pPr/>
          </w:p>
        </w:tc>
        <w:tc>
          <w:tcPr>
            <w:tcW w:w="2936" w:type="dxa"/>
          </w:tcPr>
          <w:p>
            <w:pPr/>
          </w:p>
        </w:tc>
        <w:tc>
          <w:tcPr>
            <w:tcW w:w="435" w:type="dxa"/>
          </w:tcPr>
          <w:p>
            <w:pPr>
              <w:pStyle w:val="TableParagraph"/>
              <w:ind w:left="267"/>
              <w:rPr>
                <w:sz w:val="20"/>
              </w:rPr>
            </w:pPr>
            <w:r>
              <w:rPr>
                <w:color w:val="231F20"/>
                <w:sz w:val="20"/>
              </w:rPr>
              <w:t>5</w:t>
            </w:r>
          </w:p>
        </w:tc>
      </w:tr>
      <w:tr>
        <w:trPr>
          <w:trHeight w:val="300" w:hRule="exact"/>
        </w:trPr>
        <w:tc>
          <w:tcPr>
            <w:tcW w:w="5549" w:type="dxa"/>
            <w:shd w:val="clear" w:color="auto" w:fill="D1D3D4"/>
          </w:tcPr>
          <w:p>
            <w:pPr>
              <w:pStyle w:val="TableParagraph"/>
              <w:ind w:left="200"/>
              <w:rPr>
                <w:sz w:val="20"/>
              </w:rPr>
            </w:pPr>
            <w:r>
              <w:rPr>
                <w:color w:val="231F20"/>
                <w:sz w:val="20"/>
              </w:rPr>
              <w:t>Lease/sublease expense adjustment</w:t>
            </w:r>
          </w:p>
        </w:tc>
        <w:tc>
          <w:tcPr>
            <w:tcW w:w="200" w:type="dxa"/>
            <w:shd w:val="clear" w:color="auto" w:fill="D1D3D4"/>
          </w:tcPr>
          <w:p>
            <w:pPr/>
          </w:p>
        </w:tc>
        <w:tc>
          <w:tcPr>
            <w:tcW w:w="2936" w:type="dxa"/>
            <w:shd w:val="clear" w:color="auto" w:fill="D1D3D4"/>
          </w:tcPr>
          <w:p>
            <w:pPr/>
          </w:p>
        </w:tc>
        <w:tc>
          <w:tcPr>
            <w:tcW w:w="435" w:type="dxa"/>
            <w:shd w:val="clear" w:color="auto" w:fill="D1D3D4"/>
          </w:tcPr>
          <w:p>
            <w:pPr>
              <w:pStyle w:val="TableParagraph"/>
              <w:ind w:left="167"/>
              <w:rPr>
                <w:sz w:val="20"/>
              </w:rPr>
            </w:pPr>
            <w:r>
              <w:rPr>
                <w:color w:val="231F20"/>
                <w:sz w:val="20"/>
              </w:rPr>
              <w:t>22</w:t>
            </w:r>
          </w:p>
        </w:tc>
      </w:tr>
      <w:tr>
        <w:trPr>
          <w:trHeight w:val="315" w:hRule="exact"/>
        </w:trPr>
        <w:tc>
          <w:tcPr>
            <w:tcW w:w="5549" w:type="dxa"/>
          </w:tcPr>
          <w:p>
            <w:pPr>
              <w:pStyle w:val="TableParagraph"/>
              <w:ind w:left="200"/>
              <w:rPr>
                <w:sz w:val="20"/>
              </w:rPr>
            </w:pPr>
            <w:r>
              <w:rPr>
                <w:color w:val="231F20"/>
                <w:sz w:val="20"/>
              </w:rPr>
              <w:t>Lease/sublease payments, net (a)</w:t>
            </w:r>
          </w:p>
        </w:tc>
        <w:tc>
          <w:tcPr>
            <w:tcW w:w="200" w:type="dxa"/>
          </w:tcPr>
          <w:p>
            <w:pPr/>
          </w:p>
        </w:tc>
        <w:tc>
          <w:tcPr>
            <w:tcW w:w="2936" w:type="dxa"/>
            <w:tcBorders>
              <w:bottom w:val="single" w:sz="4" w:space="0" w:color="231F20"/>
            </w:tcBorders>
          </w:tcPr>
          <w:p>
            <w:pPr/>
          </w:p>
        </w:tc>
        <w:tc>
          <w:tcPr>
            <w:tcW w:w="435" w:type="dxa"/>
            <w:tcBorders>
              <w:bottom w:val="single" w:sz="4" w:space="0" w:color="231F20"/>
            </w:tcBorders>
          </w:tcPr>
          <w:p>
            <w:pPr>
              <w:pStyle w:val="TableParagraph"/>
              <w:ind w:left="100"/>
              <w:rPr>
                <w:sz w:val="20"/>
              </w:rPr>
            </w:pPr>
            <w:r>
              <w:rPr>
                <w:color w:val="231F20"/>
                <w:sz w:val="20"/>
              </w:rPr>
              <w:t>(86)</w:t>
            </w:r>
          </w:p>
        </w:tc>
      </w:tr>
      <w:tr>
        <w:trPr>
          <w:trHeight w:val="320" w:hRule="exact"/>
        </w:trPr>
        <w:tc>
          <w:tcPr>
            <w:tcW w:w="5549" w:type="dxa"/>
            <w:shd w:val="clear" w:color="auto" w:fill="D1D3D4"/>
          </w:tcPr>
          <w:p>
            <w:pPr>
              <w:pStyle w:val="TableParagraph"/>
              <w:rPr>
                <w:sz w:val="20"/>
              </w:rPr>
            </w:pPr>
            <w:r>
              <w:rPr>
                <w:color w:val="231F20"/>
                <w:sz w:val="20"/>
              </w:rPr>
              <w:t>Balance at December 31, 2014</w:t>
            </w:r>
          </w:p>
        </w:tc>
        <w:tc>
          <w:tcPr>
            <w:tcW w:w="200" w:type="dxa"/>
            <w:shd w:val="clear" w:color="auto" w:fill="D1D3D4"/>
          </w:tcPr>
          <w:p>
            <w:pPr/>
          </w:p>
        </w:tc>
        <w:tc>
          <w:tcPr>
            <w:tcW w:w="2936"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435" w:type="dxa"/>
            <w:tcBorders>
              <w:top w:val="single" w:sz="4" w:space="0" w:color="231F20"/>
              <w:bottom w:val="single" w:sz="4" w:space="0" w:color="231F20"/>
            </w:tcBorders>
            <w:shd w:val="clear" w:color="auto" w:fill="D1D3D4"/>
          </w:tcPr>
          <w:p>
            <w:pPr>
              <w:pStyle w:val="TableParagraph"/>
              <w:ind w:left="167"/>
              <w:rPr>
                <w:sz w:val="20"/>
              </w:rPr>
            </w:pPr>
            <w:r>
              <w:rPr>
                <w:color w:val="231F20"/>
                <w:sz w:val="20"/>
              </w:rPr>
              <w:t>63</w:t>
            </w:r>
          </w:p>
        </w:tc>
      </w:tr>
      <w:tr>
        <w:trPr>
          <w:trHeight w:val="305" w:hRule="exact"/>
        </w:trPr>
        <w:tc>
          <w:tcPr>
            <w:tcW w:w="5549" w:type="dxa"/>
          </w:tcPr>
          <w:p>
            <w:pPr>
              <w:pStyle w:val="TableParagraph"/>
              <w:spacing w:before="73"/>
              <w:ind w:left="200"/>
              <w:rPr>
                <w:sz w:val="20"/>
              </w:rPr>
            </w:pPr>
            <w:r>
              <w:rPr>
                <w:color w:val="231F20"/>
                <w:sz w:val="20"/>
              </w:rPr>
              <w:t>Lease/sublease accretion</w:t>
            </w:r>
          </w:p>
        </w:tc>
        <w:tc>
          <w:tcPr>
            <w:tcW w:w="200" w:type="dxa"/>
          </w:tcPr>
          <w:p>
            <w:pPr/>
          </w:p>
        </w:tc>
        <w:tc>
          <w:tcPr>
            <w:tcW w:w="2936" w:type="dxa"/>
            <w:tcBorders>
              <w:top w:val="single" w:sz="4" w:space="0" w:color="231F20"/>
            </w:tcBorders>
          </w:tcPr>
          <w:p>
            <w:pPr/>
          </w:p>
        </w:tc>
        <w:tc>
          <w:tcPr>
            <w:tcW w:w="435" w:type="dxa"/>
            <w:tcBorders>
              <w:top w:val="single" w:sz="4" w:space="0" w:color="231F20"/>
            </w:tcBorders>
          </w:tcPr>
          <w:p>
            <w:pPr>
              <w:pStyle w:val="TableParagraph"/>
              <w:ind w:left="267"/>
              <w:rPr>
                <w:sz w:val="20"/>
              </w:rPr>
            </w:pPr>
            <w:r>
              <w:rPr>
                <w:color w:val="231F20"/>
                <w:sz w:val="20"/>
              </w:rPr>
              <w:t>1</w:t>
            </w:r>
          </w:p>
        </w:tc>
      </w:tr>
      <w:tr>
        <w:trPr>
          <w:trHeight w:val="300" w:hRule="exact"/>
        </w:trPr>
        <w:tc>
          <w:tcPr>
            <w:tcW w:w="5549" w:type="dxa"/>
            <w:shd w:val="clear" w:color="auto" w:fill="D1D3D4"/>
          </w:tcPr>
          <w:p>
            <w:pPr>
              <w:pStyle w:val="TableParagraph"/>
              <w:ind w:left="200"/>
              <w:rPr>
                <w:sz w:val="20"/>
              </w:rPr>
            </w:pPr>
            <w:r>
              <w:rPr>
                <w:color w:val="231F20"/>
                <w:sz w:val="20"/>
              </w:rPr>
              <w:t>Lease/sublease expense adjustment</w:t>
            </w:r>
          </w:p>
        </w:tc>
        <w:tc>
          <w:tcPr>
            <w:tcW w:w="200" w:type="dxa"/>
            <w:shd w:val="clear" w:color="auto" w:fill="D1D3D4"/>
          </w:tcPr>
          <w:p>
            <w:pPr/>
          </w:p>
        </w:tc>
        <w:tc>
          <w:tcPr>
            <w:tcW w:w="2936" w:type="dxa"/>
            <w:shd w:val="clear" w:color="auto" w:fill="D1D3D4"/>
          </w:tcPr>
          <w:p>
            <w:pPr/>
          </w:p>
        </w:tc>
        <w:tc>
          <w:tcPr>
            <w:tcW w:w="435" w:type="dxa"/>
            <w:shd w:val="clear" w:color="auto" w:fill="D1D3D4"/>
          </w:tcPr>
          <w:p>
            <w:pPr>
              <w:pStyle w:val="TableParagraph"/>
              <w:ind w:left="267"/>
              <w:rPr>
                <w:sz w:val="20"/>
              </w:rPr>
            </w:pPr>
            <w:r>
              <w:rPr>
                <w:color w:val="231F20"/>
                <w:sz w:val="20"/>
              </w:rPr>
              <w:t>2</w:t>
            </w:r>
          </w:p>
        </w:tc>
      </w:tr>
      <w:tr>
        <w:trPr>
          <w:trHeight w:val="320" w:hRule="exact"/>
        </w:trPr>
        <w:tc>
          <w:tcPr>
            <w:tcW w:w="5549" w:type="dxa"/>
          </w:tcPr>
          <w:p>
            <w:pPr>
              <w:pStyle w:val="TableParagraph"/>
              <w:ind w:left="200"/>
              <w:rPr>
                <w:sz w:val="20"/>
              </w:rPr>
            </w:pPr>
            <w:r>
              <w:rPr>
                <w:color w:val="231F20"/>
                <w:sz w:val="20"/>
              </w:rPr>
              <w:t>Lease/sublease payments, net (a)</w:t>
            </w:r>
          </w:p>
        </w:tc>
        <w:tc>
          <w:tcPr>
            <w:tcW w:w="200" w:type="dxa"/>
          </w:tcPr>
          <w:p>
            <w:pPr/>
          </w:p>
        </w:tc>
        <w:tc>
          <w:tcPr>
            <w:tcW w:w="2936" w:type="dxa"/>
            <w:tcBorders>
              <w:bottom w:val="single" w:sz="4" w:space="0" w:color="231F20"/>
            </w:tcBorders>
          </w:tcPr>
          <w:p>
            <w:pPr/>
          </w:p>
        </w:tc>
        <w:tc>
          <w:tcPr>
            <w:tcW w:w="435" w:type="dxa"/>
            <w:tcBorders>
              <w:bottom w:val="single" w:sz="4" w:space="0" w:color="231F20"/>
            </w:tcBorders>
          </w:tcPr>
          <w:p>
            <w:pPr>
              <w:pStyle w:val="TableParagraph"/>
              <w:ind w:left="100"/>
              <w:rPr>
                <w:sz w:val="20"/>
              </w:rPr>
            </w:pPr>
            <w:r>
              <w:rPr>
                <w:color w:val="231F20"/>
                <w:sz w:val="20"/>
              </w:rPr>
              <w:t>(48)</w:t>
            </w:r>
          </w:p>
        </w:tc>
      </w:tr>
      <w:tr>
        <w:trPr>
          <w:trHeight w:val="300" w:hRule="exact"/>
        </w:trPr>
        <w:tc>
          <w:tcPr>
            <w:tcW w:w="5549" w:type="dxa"/>
            <w:shd w:val="clear" w:color="auto" w:fill="D1D3D4"/>
          </w:tcPr>
          <w:p>
            <w:pPr>
              <w:pStyle w:val="TableParagraph"/>
              <w:rPr>
                <w:sz w:val="20"/>
              </w:rPr>
            </w:pPr>
            <w:r>
              <w:rPr>
                <w:color w:val="231F20"/>
                <w:sz w:val="20"/>
              </w:rPr>
              <w:t>Balance at December 31, 2015</w:t>
            </w:r>
          </w:p>
        </w:tc>
        <w:tc>
          <w:tcPr>
            <w:tcW w:w="200" w:type="dxa"/>
            <w:shd w:val="clear" w:color="auto" w:fill="D1D3D4"/>
          </w:tcPr>
          <w:p>
            <w:pPr/>
          </w:p>
        </w:tc>
        <w:tc>
          <w:tcPr>
            <w:tcW w:w="2936" w:type="dxa"/>
            <w:tcBorders>
              <w:top w:val="single" w:sz="4" w:space="0" w:color="231F20"/>
              <w:bottom w:val="double" w:sz="7" w:space="0" w:color="231F20"/>
            </w:tcBorders>
            <w:shd w:val="clear" w:color="auto" w:fill="D1D3D4"/>
          </w:tcPr>
          <w:p>
            <w:pPr>
              <w:pStyle w:val="TableParagraph"/>
              <w:spacing w:before="48"/>
              <w:rPr>
                <w:sz w:val="20"/>
              </w:rPr>
            </w:pPr>
            <w:r>
              <w:rPr>
                <w:color w:val="231F20"/>
                <w:sz w:val="20"/>
              </w:rPr>
              <w:t>$</w:t>
            </w:r>
          </w:p>
        </w:tc>
        <w:tc>
          <w:tcPr>
            <w:tcW w:w="435" w:type="dxa"/>
            <w:tcBorders>
              <w:top w:val="single" w:sz="4" w:space="0" w:color="231F20"/>
              <w:bottom w:val="double" w:sz="7" w:space="0" w:color="231F20"/>
            </w:tcBorders>
            <w:shd w:val="clear" w:color="auto" w:fill="D1D3D4"/>
          </w:tcPr>
          <w:p>
            <w:pPr>
              <w:pStyle w:val="TableParagraph"/>
              <w:spacing w:before="48"/>
              <w:ind w:left="167"/>
              <w:rPr>
                <w:sz w:val="20"/>
              </w:rPr>
            </w:pPr>
            <w:r>
              <w:rPr>
                <w:color w:val="231F20"/>
                <w:sz w:val="20"/>
              </w:rPr>
              <w:t>18</w:t>
            </w:r>
          </w:p>
        </w:tc>
      </w:tr>
      <w:tr>
        <w:trPr>
          <w:trHeight w:val="344" w:hRule="exact"/>
        </w:trPr>
        <w:tc>
          <w:tcPr>
            <w:tcW w:w="5549" w:type="dxa"/>
          </w:tcPr>
          <w:p>
            <w:pPr>
              <w:pStyle w:val="TableParagraph"/>
              <w:spacing w:before="113"/>
              <w:rPr>
                <w:sz w:val="20"/>
              </w:rPr>
            </w:pPr>
            <w:r>
              <w:rPr>
                <w:color w:val="231F20"/>
                <w:sz w:val="20"/>
              </w:rPr>
              <w:t>(a) Includes lease conversion cost payments</w:t>
            </w:r>
          </w:p>
        </w:tc>
        <w:tc>
          <w:tcPr>
            <w:tcW w:w="200" w:type="dxa"/>
          </w:tcPr>
          <w:p>
            <w:pPr/>
          </w:p>
        </w:tc>
        <w:tc>
          <w:tcPr>
            <w:tcW w:w="2936" w:type="dxa"/>
            <w:tcBorders>
              <w:top w:val="double" w:sz="7" w:space="0" w:color="231F20"/>
            </w:tcBorders>
          </w:tcPr>
          <w:p>
            <w:pPr/>
          </w:p>
        </w:tc>
        <w:tc>
          <w:tcPr>
            <w:tcW w:w="435" w:type="dxa"/>
            <w:tcBorders>
              <w:top w:val="double" w:sz="7" w:space="0" w:color="231F20"/>
            </w:tcBorders>
          </w:tcPr>
          <w:p>
            <w:pPr/>
          </w:p>
        </w:tc>
      </w:tr>
    </w:tbl>
    <w:p>
      <w:pPr>
        <w:spacing w:after="0"/>
        <w:sectPr>
          <w:footerReference w:type="default" r:id="rId23"/>
          <w:pgSz w:w="11880" w:h="15480"/>
          <w:pgMar w:footer="1240" w:header="0" w:top="1240" w:bottom="1420" w:left="1260" w:right="1260"/>
        </w:sectPr>
      </w:pPr>
    </w:p>
    <w:p>
      <w:pPr>
        <w:pStyle w:val="Heading1"/>
        <w:numPr>
          <w:ilvl w:val="0"/>
          <w:numId w:val="14"/>
        </w:numPr>
        <w:tabs>
          <w:tab w:pos="320" w:val="left" w:leader="none"/>
        </w:tabs>
        <w:spacing w:line="240" w:lineRule="auto" w:before="74" w:after="0"/>
        <w:ind w:left="320" w:right="0" w:hanging="220"/>
        <w:jc w:val="both"/>
      </w:pPr>
      <w:r>
        <w:rPr>
          <w:color w:val="231F20"/>
        </w:rPr>
        <w:t>COMMON STOCK</w:t>
      </w:r>
    </w:p>
    <w:p>
      <w:pPr>
        <w:pStyle w:val="BodyText"/>
        <w:spacing w:before="4"/>
        <w:rPr>
          <w:b/>
          <w:sz w:val="21"/>
        </w:rPr>
      </w:pPr>
    </w:p>
    <w:p>
      <w:pPr>
        <w:pStyle w:val="BodyText"/>
        <w:spacing w:line="247" w:lineRule="auto" w:before="1"/>
        <w:ind w:left="100" w:right="119"/>
        <w:jc w:val="both"/>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2015, the Company had 60 million shares of common stock reserved for issuance pursuant to Employee equity plans (of which 33 million shares had not been granted) through various share-based compensation arrangements. See Note 9 to the Consolidated Financial Statements for information regarding the Company’s equity plans.</w:t>
      </w:r>
    </w:p>
    <w:p>
      <w:pPr>
        <w:pStyle w:val="BodyText"/>
        <w:spacing w:before="3"/>
        <w:rPr>
          <w:sz w:val="31"/>
        </w:rPr>
      </w:pPr>
    </w:p>
    <w:p>
      <w:pPr>
        <w:pStyle w:val="Heading1"/>
        <w:numPr>
          <w:ilvl w:val="0"/>
          <w:numId w:val="14"/>
        </w:numPr>
        <w:tabs>
          <w:tab w:pos="320" w:val="left" w:leader="none"/>
        </w:tabs>
        <w:spacing w:line="240" w:lineRule="auto" w:before="0" w:after="0"/>
        <w:ind w:left="320" w:right="0" w:hanging="220"/>
        <w:jc w:val="both"/>
      </w:pPr>
      <w:r>
        <w:rPr>
          <w:color w:val="231F20"/>
        </w:rPr>
        <w:t>STOCK</w:t>
      </w:r>
      <w:r>
        <w:rPr>
          <w:color w:val="231F20"/>
          <w:spacing w:val="-1"/>
        </w:rPr>
        <w:t> </w:t>
      </w:r>
      <w:r>
        <w:rPr>
          <w:color w:val="231F20"/>
        </w:rPr>
        <w:t>PLANS</w:t>
      </w:r>
    </w:p>
    <w:p>
      <w:pPr>
        <w:pStyle w:val="BodyText"/>
        <w:spacing w:before="5"/>
        <w:rPr>
          <w:b/>
          <w:sz w:val="21"/>
        </w:rPr>
      </w:pPr>
    </w:p>
    <w:p>
      <w:pPr>
        <w:pStyle w:val="Heading2"/>
        <w:rPr>
          <w:i/>
        </w:rPr>
      </w:pPr>
      <w:r>
        <w:rPr>
          <w:i/>
          <w:color w:val="231F20"/>
        </w:rPr>
        <w:t>Share-based Compensation</w:t>
      </w:r>
    </w:p>
    <w:p>
      <w:pPr>
        <w:pStyle w:val="BodyText"/>
        <w:spacing w:before="5"/>
        <w:rPr>
          <w:b/>
          <w:i/>
          <w:sz w:val="21"/>
        </w:rPr>
      </w:pPr>
    </w:p>
    <w:p>
      <w:pPr>
        <w:pStyle w:val="BodyText"/>
        <w:spacing w:line="247" w:lineRule="auto"/>
        <w:ind w:left="100" w:right="117"/>
        <w:jc w:val="both"/>
      </w:pPr>
      <w:r>
        <w:rPr>
          <w:color w:val="231F20"/>
        </w:rPr>
        <w:t>The Company accounts for share-based compensation utilizing fair value, which is determined on the date of grant for all instruments. The Consolidated Statement of Income for the years  ended  December 31, 2015, 2014, and 2013, reflects share-based compensation expense of $29 million, $21 million, and $18 million, respectively. The total tax benefit recognized in earnings from share-based compensation arrangements for the years ended December 31, 2015, 2014, and 2013, was not material. As of December 31, 2015, there was $34 million of total unrecognized compensation cost related to share-based compensation arrangements, which is expected to be recognized over a weighted-average period of 1.9 years. The Company expects substantially all unvested awards to</w:t>
      </w:r>
      <w:r>
        <w:rPr>
          <w:color w:val="231F20"/>
          <w:spacing w:val="-3"/>
        </w:rPr>
        <w:t> </w:t>
      </w:r>
      <w:r>
        <w:rPr>
          <w:color w:val="231F20"/>
        </w:rPr>
        <w:t>vest.</w:t>
      </w:r>
    </w:p>
    <w:p>
      <w:pPr>
        <w:pStyle w:val="BodyText"/>
        <w:spacing w:before="2"/>
        <w:rPr>
          <w:sz w:val="31"/>
        </w:rPr>
      </w:pPr>
    </w:p>
    <w:p>
      <w:pPr>
        <w:pStyle w:val="Heading2"/>
        <w:spacing w:before="1"/>
        <w:rPr>
          <w:i/>
        </w:rPr>
      </w:pPr>
      <w:r>
        <w:rPr>
          <w:i/>
          <w:color w:val="231F20"/>
        </w:rPr>
        <w:t>Restricted Stock Units and Stock Grants</w:t>
      </w:r>
    </w:p>
    <w:p>
      <w:pPr>
        <w:pStyle w:val="BodyText"/>
        <w:spacing w:before="5"/>
        <w:rPr>
          <w:b/>
          <w:i/>
          <w:sz w:val="21"/>
        </w:rPr>
      </w:pPr>
    </w:p>
    <w:p>
      <w:pPr>
        <w:pStyle w:val="BodyText"/>
        <w:spacing w:line="247" w:lineRule="auto"/>
        <w:ind w:left="100" w:right="117"/>
        <w:jc w:val="both"/>
      </w:pPr>
      <w:r>
        <w:rPr>
          <w:color w:val="231F20"/>
        </w:rPr>
        <w:t>Under the Company’s Amended and Restated 2007 Equity Incentive Plan (“2007 Equity Plan”), it granted restricted stock units (“RSUs”) to certain Employees during 2013, 2014, and 2015 and performance-based restricted stock units (“PBRSUs”) to certain Employees during 2014 and 2015. Outstanding RSUs vest over three years, subject generally to the individual’s continued employment or service. The Company recognizes all expense on a straight-line basis over the vesting period, with any changes in expense due to the number of PBRSUs expected to vest being modified on a prospective basis. The PBRSUs granted in May 2014 and February 2015 are subject to the Company’s performance with respect to a three-year simple average of Return on Invested Capital, before taxes  and excluding special items (“ROIC”), for the defined performance period and the individual’s continued employment or service. The number of PBRSUs vesting on the vesting date will be interpolated based on the Company’s ROIC performance and ranges from zero PBRSUs to 200 percent of granted</w:t>
      </w:r>
      <w:r>
        <w:rPr>
          <w:color w:val="231F20"/>
          <w:spacing w:val="-2"/>
        </w:rPr>
        <w:t> </w:t>
      </w:r>
      <w:r>
        <w:rPr>
          <w:color w:val="231F20"/>
        </w:rPr>
        <w:t>PBRSUs.</w:t>
      </w:r>
    </w:p>
    <w:p>
      <w:pPr>
        <w:spacing w:after="0" w:line="247" w:lineRule="auto"/>
        <w:jc w:val="both"/>
        <w:sectPr>
          <w:footerReference w:type="default" r:id="rId24"/>
          <w:pgSz w:w="11880" w:h="15480"/>
          <w:pgMar w:footer="1240" w:header="0" w:top="1240" w:bottom="1420" w:left="1280" w:right="1260"/>
          <w:pgNumType w:start="101"/>
        </w:sectPr>
      </w:pPr>
    </w:p>
    <w:p>
      <w:pPr>
        <w:pStyle w:val="BodyText"/>
        <w:spacing w:before="74"/>
        <w:ind w:left="100"/>
        <w:jc w:val="both"/>
      </w:pPr>
      <w:r>
        <w:rPr>
          <w:color w:val="231F20"/>
        </w:rPr>
        <w:t>Aggregated information regarding the Company’s RSUs and PBRSUs is summarized below:</w:t>
      </w:r>
    </w:p>
    <w:p>
      <w:pPr>
        <w:pStyle w:val="BodyText"/>
        <w:spacing w:before="8"/>
        <w:rPr>
          <w:sz w:val="19"/>
        </w:rPr>
      </w:pPr>
    </w:p>
    <w:p>
      <w:pPr>
        <w:spacing w:before="0" w:after="16"/>
        <w:ind w:left="0" w:right="749" w:firstLine="0"/>
        <w:jc w:val="right"/>
        <w:rPr>
          <w:b/>
          <w:sz w:val="20"/>
        </w:rPr>
      </w:pPr>
      <w:r>
        <w:rPr>
          <w:b/>
          <w:color w:val="231F20"/>
          <w:sz w:val="20"/>
        </w:rPr>
        <w:t>All Restricted Stock Units</w:t>
      </w:r>
    </w:p>
    <w:p>
      <w:pPr>
        <w:pStyle w:val="BodyText"/>
        <w:spacing w:line="20" w:lineRule="exact"/>
        <w:ind w:left="5730"/>
        <w:rPr>
          <w:sz w:val="2"/>
        </w:rPr>
      </w:pPr>
      <w:r>
        <w:rPr>
          <w:sz w:val="2"/>
        </w:rPr>
        <w:pict>
          <v:group style="width:175pt;height:1pt;mso-position-horizontal-relative:char;mso-position-vertical-relative:line" coordorigin="0,0" coordsize="3500,20">
            <v:line style="position:absolute" from="10,10" to="349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24pt;width:456pt;height:252.5pt;mso-position-horizontal-relative:page;mso-position-vertical-relative:paragraph;z-index:50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40"/>
                    <w:gridCol w:w="1880"/>
                    <w:gridCol w:w="1600"/>
                  </w:tblGrid>
                  <w:tr>
                    <w:trPr>
                      <w:trHeight w:val="256" w:hRule="exact"/>
                    </w:trPr>
                    <w:tc>
                      <w:tcPr>
                        <w:tcW w:w="5640" w:type="dxa"/>
                      </w:tcPr>
                      <w:p>
                        <w:pPr/>
                      </w:p>
                    </w:tc>
                    <w:tc>
                      <w:tcPr>
                        <w:tcW w:w="1880" w:type="dxa"/>
                      </w:tcPr>
                      <w:p>
                        <w:pPr>
                          <w:pStyle w:val="TableParagraph"/>
                          <w:spacing w:line="229" w:lineRule="exact" w:before="0"/>
                          <w:ind w:left="370"/>
                          <w:rPr>
                            <w:b/>
                            <w:sz w:val="20"/>
                          </w:rPr>
                        </w:pPr>
                        <w:r>
                          <w:rPr>
                            <w:b/>
                            <w:color w:val="231F20"/>
                            <w:sz w:val="20"/>
                          </w:rPr>
                          <w:t>Units (000)</w:t>
                        </w:r>
                      </w:p>
                    </w:tc>
                    <w:tc>
                      <w:tcPr>
                        <w:tcW w:w="1600" w:type="dxa"/>
                        <w:tcBorders>
                          <w:bottom w:val="single" w:sz="8" w:space="0" w:color="231F20"/>
                        </w:tcBorders>
                      </w:tcPr>
                      <w:p>
                        <w:pPr>
                          <w:pStyle w:val="TableParagraph"/>
                          <w:spacing w:line="229" w:lineRule="exact" w:before="0"/>
                          <w:ind w:left="329"/>
                          <w:rPr>
                            <w:b/>
                            <w:sz w:val="20"/>
                          </w:rPr>
                        </w:pPr>
                        <w:r>
                          <w:rPr>
                            <w:b/>
                            <w:color w:val="231F20"/>
                            <w:sz w:val="20"/>
                          </w:rPr>
                          <w:t>(per share)</w:t>
                        </w:r>
                      </w:p>
                    </w:tc>
                  </w:tr>
                  <w:tr>
                    <w:trPr>
                      <w:trHeight w:val="310" w:hRule="exact"/>
                    </w:trPr>
                    <w:tc>
                      <w:tcPr>
                        <w:tcW w:w="5640" w:type="dxa"/>
                        <w:shd w:val="clear" w:color="auto" w:fill="D1D3D4"/>
                      </w:tcPr>
                      <w:p>
                        <w:pPr>
                          <w:pStyle w:val="TableParagraph"/>
                          <w:rPr>
                            <w:sz w:val="20"/>
                          </w:rPr>
                        </w:pPr>
                        <w:r>
                          <w:rPr>
                            <w:color w:val="231F20"/>
                            <w:sz w:val="20"/>
                          </w:rPr>
                          <w:t>Outstanding December 31, 2012, Unvested</w:t>
                        </w:r>
                      </w:p>
                    </w:tc>
                    <w:tc>
                      <w:tcPr>
                        <w:tcW w:w="1880" w:type="dxa"/>
                        <w:shd w:val="clear" w:color="auto" w:fill="D1D3D4"/>
                      </w:tcPr>
                      <w:p>
                        <w:pPr>
                          <w:pStyle w:val="TableParagraph"/>
                          <w:spacing w:before="63"/>
                          <w:ind w:left="1163"/>
                          <w:rPr>
                            <w:sz w:val="20"/>
                          </w:rPr>
                        </w:pPr>
                        <w:r>
                          <w:rPr>
                            <w:color w:val="231F20"/>
                            <w:sz w:val="20"/>
                          </w:rPr>
                          <w:t>2,876</w:t>
                        </w:r>
                      </w:p>
                    </w:tc>
                    <w:tc>
                      <w:tcPr>
                        <w:tcW w:w="1600" w:type="dxa"/>
                        <w:tcBorders>
                          <w:top w:val="single" w:sz="8" w:space="0" w:color="231F20"/>
                        </w:tcBorders>
                        <w:shd w:val="clear" w:color="auto" w:fill="D1D3D4"/>
                      </w:tcPr>
                      <w:p>
                        <w:pPr>
                          <w:pStyle w:val="TableParagraph"/>
                          <w:tabs>
                            <w:tab w:pos="1182" w:val="left" w:leader="none"/>
                          </w:tabs>
                          <w:ind w:right="64"/>
                          <w:jc w:val="right"/>
                          <w:rPr>
                            <w:sz w:val="20"/>
                          </w:rPr>
                        </w:pPr>
                        <w:r>
                          <w:rPr>
                            <w:color w:val="231F20"/>
                            <w:sz w:val="20"/>
                          </w:rPr>
                          <w:t>$</w:t>
                          <w:tab/>
                          <w:t>9.57</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left="1163"/>
                          <w:rPr>
                            <w:sz w:val="20"/>
                          </w:rPr>
                        </w:pPr>
                        <w:r>
                          <w:rPr>
                            <w:color w:val="231F20"/>
                            <w:sz w:val="20"/>
                          </w:rPr>
                          <w:t>1,139</w:t>
                        </w:r>
                      </w:p>
                    </w:tc>
                    <w:tc>
                      <w:tcPr>
                        <w:tcW w:w="1600" w:type="dxa"/>
                      </w:tcPr>
                      <w:p>
                        <w:pPr>
                          <w:pStyle w:val="TableParagraph"/>
                          <w:ind w:right="66"/>
                          <w:jc w:val="right"/>
                          <w:rPr>
                            <w:sz w:val="20"/>
                          </w:rPr>
                        </w:pPr>
                        <w:r>
                          <w:rPr>
                            <w:color w:val="231F20"/>
                            <w:sz w:val="20"/>
                          </w:rPr>
                          <w:t>14.34</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(1,263)</w:t>
                        </w:r>
                      </w:p>
                    </w:tc>
                    <w:tc>
                      <w:tcPr>
                        <w:tcW w:w="1600" w:type="dxa"/>
                        <w:shd w:val="clear" w:color="auto" w:fill="D1D3D4"/>
                      </w:tcPr>
                      <w:p>
                        <w:pPr>
                          <w:pStyle w:val="TableParagraph"/>
                          <w:ind w:right="66"/>
                          <w:jc w:val="right"/>
                          <w:rPr>
                            <w:sz w:val="20"/>
                          </w:rPr>
                        </w:pPr>
                        <w:r>
                          <w:rPr>
                            <w:color w:val="231F20"/>
                            <w:sz w:val="20"/>
                          </w:rPr>
                          <w:t>10.24</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(168)</w:t>
                        </w:r>
                      </w:p>
                    </w:tc>
                    <w:tc>
                      <w:tcPr>
                        <w:tcW w:w="1600" w:type="dxa"/>
                      </w:tcPr>
                      <w:p>
                        <w:pPr>
                          <w:pStyle w:val="TableParagraph"/>
                          <w:ind w:right="64"/>
                          <w:jc w:val="right"/>
                          <w:rPr>
                            <w:sz w:val="20"/>
                          </w:rPr>
                        </w:pPr>
                        <w:r>
                          <w:rPr>
                            <w:color w:val="231F20"/>
                            <w:sz w:val="20"/>
                          </w:rPr>
                          <w:t>9.11</w:t>
                        </w:r>
                      </w:p>
                    </w:tc>
                  </w:tr>
                  <w:tr>
                    <w:trPr>
                      <w:trHeight w:val="305" w:hRule="exact"/>
                    </w:trPr>
                    <w:tc>
                      <w:tcPr>
                        <w:tcW w:w="5640" w:type="dxa"/>
                        <w:shd w:val="clear" w:color="auto" w:fill="D1D3D4"/>
                      </w:tcPr>
                      <w:p>
                        <w:pPr>
                          <w:pStyle w:val="TableParagraph"/>
                          <w:rPr>
                            <w:sz w:val="20"/>
                          </w:rPr>
                        </w:pPr>
                        <w:r>
                          <w:rPr>
                            <w:color w:val="231F20"/>
                            <w:sz w:val="20"/>
                          </w:rPr>
                          <w:t>Outstanding December 31, 2013</w:t>
                        </w:r>
                      </w:p>
                    </w:tc>
                    <w:tc>
                      <w:tcPr>
                        <w:tcW w:w="1880" w:type="dxa"/>
                        <w:tcBorders>
                          <w:top w:val="single" w:sz="4" w:space="0" w:color="231F20"/>
                        </w:tcBorders>
                        <w:shd w:val="clear" w:color="auto" w:fill="D1D3D4"/>
                      </w:tcPr>
                      <w:p>
                        <w:pPr>
                          <w:pStyle w:val="TableParagraph"/>
                          <w:ind w:left="1163"/>
                          <w:rPr>
                            <w:sz w:val="20"/>
                          </w:rPr>
                        </w:pPr>
                        <w:r>
                          <w:rPr>
                            <w:color w:val="231F20"/>
                            <w:sz w:val="20"/>
                          </w:rPr>
                          <w:t>2,584</w:t>
                        </w:r>
                      </w:p>
                    </w:tc>
                    <w:tc>
                      <w:tcPr>
                        <w:tcW w:w="1600" w:type="dxa"/>
                        <w:shd w:val="clear" w:color="auto" w:fill="D1D3D4"/>
                      </w:tcPr>
                      <w:p>
                        <w:pPr>
                          <w:pStyle w:val="TableParagraph"/>
                          <w:ind w:right="64"/>
                          <w:jc w:val="right"/>
                          <w:rPr>
                            <w:sz w:val="20"/>
                          </w:rPr>
                        </w:pPr>
                        <w:r>
                          <w:rPr>
                            <w:color w:val="231F20"/>
                            <w:sz w:val="20"/>
                          </w:rPr>
                          <w:t>11.38</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834 (a)</w:t>
                        </w:r>
                      </w:p>
                    </w:tc>
                    <w:tc>
                      <w:tcPr>
                        <w:tcW w:w="1600" w:type="dxa"/>
                      </w:tcPr>
                      <w:p>
                        <w:pPr>
                          <w:pStyle w:val="TableParagraph"/>
                          <w:ind w:right="66"/>
                          <w:jc w:val="right"/>
                          <w:rPr>
                            <w:sz w:val="20"/>
                          </w:rPr>
                        </w:pPr>
                        <w:r>
                          <w:rPr>
                            <w:color w:val="231F20"/>
                            <w:sz w:val="20"/>
                          </w:rPr>
                          <w:t>24.93</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(1,239)</w:t>
                        </w:r>
                      </w:p>
                    </w:tc>
                    <w:tc>
                      <w:tcPr>
                        <w:tcW w:w="1600" w:type="dxa"/>
                        <w:shd w:val="clear" w:color="auto" w:fill="D1D3D4"/>
                      </w:tcPr>
                      <w:p>
                        <w:pPr>
                          <w:pStyle w:val="TableParagraph"/>
                          <w:ind w:right="66"/>
                          <w:jc w:val="right"/>
                          <w:rPr>
                            <w:sz w:val="20"/>
                          </w:rPr>
                        </w:pPr>
                        <w:r>
                          <w:rPr>
                            <w:color w:val="231F20"/>
                            <w:sz w:val="20"/>
                          </w:rPr>
                          <w:t>11.05</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(102)</w:t>
                        </w:r>
                      </w:p>
                    </w:tc>
                    <w:tc>
                      <w:tcPr>
                        <w:tcW w:w="1600" w:type="dxa"/>
                      </w:tcPr>
                      <w:p>
                        <w:pPr>
                          <w:pStyle w:val="TableParagraph"/>
                          <w:ind w:right="64"/>
                          <w:jc w:val="right"/>
                          <w:rPr>
                            <w:sz w:val="20"/>
                          </w:rPr>
                        </w:pPr>
                        <w:r>
                          <w:rPr>
                            <w:color w:val="231F20"/>
                            <w:sz w:val="20"/>
                          </w:rPr>
                          <w:t>13.18</w:t>
                        </w:r>
                      </w:p>
                    </w:tc>
                  </w:tr>
                  <w:tr>
                    <w:trPr>
                      <w:trHeight w:val="305" w:hRule="exact"/>
                    </w:trPr>
                    <w:tc>
                      <w:tcPr>
                        <w:tcW w:w="5640" w:type="dxa"/>
                        <w:shd w:val="clear" w:color="auto" w:fill="D1D3D4"/>
                      </w:tcPr>
                      <w:p>
                        <w:pPr>
                          <w:pStyle w:val="TableParagraph"/>
                          <w:rPr>
                            <w:sz w:val="20"/>
                          </w:rPr>
                        </w:pPr>
                        <w:r>
                          <w:rPr>
                            <w:color w:val="231F20"/>
                            <w:sz w:val="20"/>
                          </w:rPr>
                          <w:t>Outstanding December 31, 2014</w:t>
                        </w:r>
                      </w:p>
                    </w:tc>
                    <w:tc>
                      <w:tcPr>
                        <w:tcW w:w="1880" w:type="dxa"/>
                        <w:tcBorders>
                          <w:top w:val="single" w:sz="4" w:space="0" w:color="231F20"/>
                        </w:tcBorders>
                        <w:shd w:val="clear" w:color="auto" w:fill="D1D3D4"/>
                      </w:tcPr>
                      <w:p>
                        <w:pPr>
                          <w:pStyle w:val="TableParagraph"/>
                          <w:ind w:left="1163"/>
                          <w:rPr>
                            <w:sz w:val="20"/>
                          </w:rPr>
                        </w:pPr>
                        <w:r>
                          <w:rPr>
                            <w:color w:val="231F20"/>
                            <w:sz w:val="20"/>
                          </w:rPr>
                          <w:t>2,077</w:t>
                        </w:r>
                      </w:p>
                    </w:tc>
                    <w:tc>
                      <w:tcPr>
                        <w:tcW w:w="1600" w:type="dxa"/>
                        <w:shd w:val="clear" w:color="auto" w:fill="D1D3D4"/>
                      </w:tcPr>
                      <w:p>
                        <w:pPr>
                          <w:pStyle w:val="TableParagraph"/>
                          <w:ind w:right="64"/>
                          <w:jc w:val="right"/>
                          <w:rPr>
                            <w:sz w:val="20"/>
                          </w:rPr>
                        </w:pPr>
                        <w:r>
                          <w:rPr>
                            <w:color w:val="231F20"/>
                            <w:sz w:val="20"/>
                          </w:rPr>
                          <w:t>16.92</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34"/>
                          <w:jc w:val="right"/>
                          <w:rPr>
                            <w:sz w:val="20"/>
                          </w:rPr>
                        </w:pPr>
                        <w:r>
                          <w:rPr>
                            <w:color w:val="231F20"/>
                            <w:sz w:val="20"/>
                          </w:rPr>
                          <w:t>561 (b)</w:t>
                        </w:r>
                      </w:p>
                    </w:tc>
                    <w:tc>
                      <w:tcPr>
                        <w:tcW w:w="1600" w:type="dxa"/>
                      </w:tcPr>
                      <w:p>
                        <w:pPr>
                          <w:pStyle w:val="TableParagraph"/>
                          <w:ind w:right="66"/>
                          <w:jc w:val="right"/>
                          <w:rPr>
                            <w:sz w:val="20"/>
                          </w:rPr>
                        </w:pPr>
                        <w:r>
                          <w:rPr>
                            <w:color w:val="231F20"/>
                            <w:sz w:val="20"/>
                          </w:rPr>
                          <w:t>45.80</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(1,095)</w:t>
                        </w:r>
                      </w:p>
                    </w:tc>
                    <w:tc>
                      <w:tcPr>
                        <w:tcW w:w="1600" w:type="dxa"/>
                        <w:shd w:val="clear" w:color="auto" w:fill="D1D3D4"/>
                      </w:tcPr>
                      <w:p>
                        <w:pPr>
                          <w:pStyle w:val="TableParagraph"/>
                          <w:ind w:right="66"/>
                          <w:jc w:val="right"/>
                          <w:rPr>
                            <w:sz w:val="20"/>
                          </w:rPr>
                        </w:pPr>
                        <w:r>
                          <w:rPr>
                            <w:color w:val="231F20"/>
                            <w:sz w:val="20"/>
                          </w:rPr>
                          <w:t>13.33</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(58)</w:t>
                        </w:r>
                      </w:p>
                    </w:tc>
                    <w:tc>
                      <w:tcPr>
                        <w:tcW w:w="1600" w:type="dxa"/>
                      </w:tcPr>
                      <w:p>
                        <w:pPr>
                          <w:pStyle w:val="TableParagraph"/>
                          <w:ind w:right="64"/>
                          <w:jc w:val="right"/>
                          <w:rPr>
                            <w:sz w:val="20"/>
                          </w:rPr>
                        </w:pPr>
                        <w:r>
                          <w:rPr>
                            <w:color w:val="231F20"/>
                            <w:sz w:val="20"/>
                          </w:rPr>
                          <w:t>25.49</w:t>
                        </w:r>
                      </w:p>
                    </w:tc>
                  </w:tr>
                  <w:tr>
                    <w:trPr>
                      <w:trHeight w:val="400" w:hRule="exact"/>
                    </w:trPr>
                    <w:tc>
                      <w:tcPr>
                        <w:tcW w:w="5640" w:type="dxa"/>
                        <w:shd w:val="clear" w:color="auto" w:fill="D1D3D4"/>
                      </w:tcPr>
                      <w:p>
                        <w:pPr>
                          <w:pStyle w:val="TableParagraph"/>
                          <w:rPr>
                            <w:sz w:val="20"/>
                          </w:rPr>
                        </w:pPr>
                        <w:r>
                          <w:rPr>
                            <w:color w:val="231F20"/>
                            <w:sz w:val="20"/>
                          </w:rPr>
                          <w:t>Outstanding December 31, 2015, Unvested</w:t>
                        </w:r>
                      </w:p>
                    </w:tc>
                    <w:tc>
                      <w:tcPr>
                        <w:tcW w:w="1880" w:type="dxa"/>
                        <w:tcBorders>
                          <w:top w:val="single" w:sz="4" w:space="0" w:color="231F20"/>
                          <w:bottom w:val="double" w:sz="7" w:space="0" w:color="231F20"/>
                        </w:tcBorders>
                        <w:shd w:val="clear" w:color="auto" w:fill="D1D3D4"/>
                      </w:tcPr>
                      <w:p>
                        <w:pPr>
                          <w:pStyle w:val="TableParagraph"/>
                          <w:ind w:left="1163"/>
                          <w:rPr>
                            <w:sz w:val="20"/>
                          </w:rPr>
                        </w:pPr>
                        <w:r>
                          <w:rPr>
                            <w:color w:val="231F20"/>
                            <w:sz w:val="20"/>
                          </w:rPr>
                          <w:t>1,485</w:t>
                        </w:r>
                      </w:p>
                    </w:tc>
                    <w:tc>
                      <w:tcPr>
                        <w:tcW w:w="1600" w:type="dxa"/>
                        <w:shd w:val="clear" w:color="auto" w:fill="D1D3D4"/>
                      </w:tcPr>
                      <w:p>
                        <w:pPr>
                          <w:pStyle w:val="TableParagraph"/>
                          <w:tabs>
                            <w:tab w:pos="1082" w:val="left" w:leader="none"/>
                          </w:tabs>
                          <w:ind w:right="64"/>
                          <w:jc w:val="right"/>
                          <w:rPr>
                            <w:sz w:val="20"/>
                          </w:rPr>
                        </w:pPr>
                        <w:r>
                          <w:rPr>
                            <w:color w:val="231F20"/>
                            <w:sz w:val="20"/>
                          </w:rPr>
                          <w:t>$</w:t>
                          <w:tab/>
                          <w:t>30.17</w:t>
                        </w:r>
                      </w:p>
                    </w:tc>
                  </w:tr>
                  <w:tr>
                    <w:trPr>
                      <w:trHeight w:val="549" w:hRule="exact"/>
                    </w:trPr>
                    <w:tc>
                      <w:tcPr>
                        <w:tcW w:w="5640" w:type="dxa"/>
                      </w:tcPr>
                      <w:p>
                        <w:pPr>
                          <w:pStyle w:val="TableParagraph"/>
                          <w:numPr>
                            <w:ilvl w:val="0"/>
                            <w:numId w:val="15"/>
                          </w:numPr>
                          <w:tabs>
                            <w:tab w:pos="273" w:val="left" w:leader="none"/>
                          </w:tabs>
                          <w:spacing w:line="240" w:lineRule="auto" w:before="173" w:after="0"/>
                          <w:ind w:left="273" w:right="0" w:hanging="273"/>
                          <w:jc w:val="left"/>
                          <w:rPr>
                            <w:sz w:val="20"/>
                          </w:rPr>
                        </w:pPr>
                        <w:r>
                          <w:rPr>
                            <w:color w:val="231F20"/>
                            <w:sz w:val="20"/>
                          </w:rPr>
                          <w:t>Includes 198 thousand shares of</w:t>
                        </w:r>
                        <w:r>
                          <w:rPr>
                            <w:color w:val="231F20"/>
                            <w:spacing w:val="1"/>
                            <w:sz w:val="20"/>
                          </w:rPr>
                          <w:t> </w:t>
                        </w:r>
                        <w:r>
                          <w:rPr>
                            <w:color w:val="231F20"/>
                            <w:sz w:val="20"/>
                          </w:rPr>
                          <w:t>PBRSUs</w:t>
                        </w:r>
                      </w:p>
                      <w:p>
                        <w:pPr>
                          <w:pStyle w:val="TableParagraph"/>
                          <w:numPr>
                            <w:ilvl w:val="0"/>
                            <w:numId w:val="15"/>
                          </w:numPr>
                          <w:tabs>
                            <w:tab w:pos="284" w:val="left" w:leader="none"/>
                          </w:tabs>
                          <w:spacing w:line="240" w:lineRule="auto" w:before="9" w:after="0"/>
                          <w:ind w:left="284" w:right="0" w:hanging="284"/>
                          <w:jc w:val="left"/>
                          <w:rPr>
                            <w:sz w:val="20"/>
                          </w:rPr>
                        </w:pPr>
                        <w:r>
                          <w:rPr>
                            <w:color w:val="231F20"/>
                            <w:sz w:val="20"/>
                          </w:rPr>
                          <w:t>Includes 183 thousand shares of</w:t>
                        </w:r>
                        <w:r>
                          <w:rPr>
                            <w:color w:val="231F20"/>
                            <w:spacing w:val="2"/>
                            <w:sz w:val="20"/>
                          </w:rPr>
                          <w:t> </w:t>
                        </w:r>
                        <w:r>
                          <w:rPr>
                            <w:color w:val="231F20"/>
                            <w:sz w:val="20"/>
                          </w:rPr>
                          <w:t>PBRSUs</w:t>
                        </w:r>
                      </w:p>
                    </w:tc>
                    <w:tc>
                      <w:tcPr>
                        <w:tcW w:w="1880" w:type="dxa"/>
                        <w:tcBorders>
                          <w:top w:val="double" w:sz="7" w:space="0" w:color="231F20"/>
                        </w:tcBorders>
                      </w:tcPr>
                      <w:p>
                        <w:pPr/>
                      </w:p>
                    </w:tc>
                    <w:tc>
                      <w:tcPr>
                        <w:tcW w:w="1600" w:type="dxa"/>
                      </w:tcPr>
                      <w:p>
                        <w:pPr/>
                      </w:p>
                    </w:tc>
                  </w:tr>
                </w:tbl>
                <w:p>
                  <w:pPr>
                    <w:pStyle w:val="BodyText"/>
                  </w:pPr>
                </w:p>
              </w:txbxContent>
            </v:textbox>
            <w10:wrap type="none"/>
          </v:shape>
        </w:pict>
      </w:r>
      <w:r>
        <w:rPr>
          <w:b/>
          <w:color w:val="231F20"/>
          <w:sz w:val="20"/>
        </w:rPr>
        <w:t>Wtd. Average Fair Value</w:t>
      </w:r>
    </w:p>
    <w:p>
      <w:pPr>
        <w:pStyle w:val="BodyText"/>
        <w:spacing w:before="8"/>
        <w:rPr>
          <w:b/>
          <w:sz w:val="15"/>
        </w:rPr>
      </w:pPr>
      <w:r>
        <w:rPr/>
        <w:pict>
          <v:line style="position:absolute;mso-position-horizontal-relative:page;mso-position-vertical-relative:paragraph;z-index:5056;mso-wrap-distance-left:0;mso-wrap-distance-right:0" from="351pt,11.500049pt" to="435pt,11.500049pt" stroked="true" strokeweight="1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19"/>
        </w:rPr>
      </w:pPr>
    </w:p>
    <w:p>
      <w:pPr>
        <w:pStyle w:val="BodyText"/>
        <w:spacing w:line="247" w:lineRule="auto"/>
        <w:ind w:left="100" w:right="117"/>
        <w:jc w:val="both"/>
      </w:pPr>
      <w:r>
        <w:rPr>
          <w:color w:val="231F20"/>
        </w:rPr>
        <w:t>In addition, the Company granted approximately 28 thousand shares of unrestricted stock at a weighted average grant price of $41.27 in 2015, approximately 36 thousand shares at a weighted average grant price of $24.91 in 2014, and approximately 63 thousand shares at a weighted average grant price of</w:t>
      </w:r>
    </w:p>
    <w:p>
      <w:pPr>
        <w:pStyle w:val="BodyText"/>
        <w:spacing w:line="253" w:lineRule="exact"/>
        <w:ind w:left="100"/>
        <w:jc w:val="both"/>
      </w:pPr>
      <w:r>
        <w:rPr>
          <w:color w:val="231F20"/>
        </w:rPr>
        <w:t>$14.34 in 2013, to members of its Board of Directors.</w:t>
      </w:r>
    </w:p>
    <w:p>
      <w:pPr>
        <w:pStyle w:val="BodyText"/>
        <w:spacing w:before="5"/>
        <w:rPr>
          <w:sz w:val="23"/>
        </w:rPr>
      </w:pPr>
    </w:p>
    <w:p>
      <w:pPr>
        <w:pStyle w:val="BodyText"/>
        <w:spacing w:line="247" w:lineRule="auto"/>
        <w:ind w:left="100" w:right="120"/>
        <w:jc w:val="both"/>
      </w:pPr>
      <w:r>
        <w:rPr>
          <w:color w:val="231F20"/>
        </w:rPr>
        <w:t>A remaining balance of up to 23 million shares of the Company’s common stock may be issued pursuant to grants under the 2007 Equity Plan.</w:t>
      </w:r>
    </w:p>
    <w:p>
      <w:pPr>
        <w:pStyle w:val="BodyText"/>
        <w:spacing w:before="8"/>
      </w:pPr>
    </w:p>
    <w:p>
      <w:pPr>
        <w:pStyle w:val="Heading2"/>
        <w:rPr>
          <w:i/>
        </w:rPr>
      </w:pPr>
      <w:r>
        <w:rPr>
          <w:i/>
          <w:color w:val="231F20"/>
        </w:rPr>
        <w:t>Stock Options</w:t>
      </w:r>
    </w:p>
    <w:p>
      <w:pPr>
        <w:pStyle w:val="BodyText"/>
        <w:spacing w:before="3"/>
        <w:rPr>
          <w:b/>
          <w:i/>
          <w:sz w:val="23"/>
        </w:rPr>
      </w:pPr>
    </w:p>
    <w:p>
      <w:pPr>
        <w:pStyle w:val="BodyText"/>
        <w:spacing w:line="247" w:lineRule="auto" w:before="1"/>
        <w:ind w:left="100" w:right="117"/>
        <w:jc w:val="both"/>
      </w:pPr>
      <w:r>
        <w:rPr>
          <w:color w:val="231F20"/>
        </w:rPr>
        <w:t>The Company has stock options outstanding, which were granted prior to 2013, with an exercise price equal to the fair value of the Company’s common stock on the date of grant. The Company determined fair value of stock options using the Black-Scholes option valuation model. As of December 31, 2015, there were 822 thousand outstanding stock option awards, all of which are vested and exercisable, with a weighted average exercise price of $13.44.</w:t>
      </w:r>
    </w:p>
    <w:p>
      <w:pPr>
        <w:pStyle w:val="BodyText"/>
        <w:spacing w:before="8"/>
      </w:pPr>
    </w:p>
    <w:p>
      <w:pPr>
        <w:pStyle w:val="Heading2"/>
        <w:spacing w:before="1"/>
        <w:rPr>
          <w:i/>
        </w:rPr>
      </w:pPr>
      <w:r>
        <w:rPr>
          <w:i/>
          <w:color w:val="231F20"/>
        </w:rPr>
        <w:t>Employee Stock Purchase Plan</w:t>
      </w:r>
    </w:p>
    <w:p>
      <w:pPr>
        <w:pStyle w:val="BodyText"/>
        <w:spacing w:before="4"/>
        <w:rPr>
          <w:b/>
          <w:i/>
          <w:sz w:val="23"/>
        </w:rPr>
      </w:pPr>
    </w:p>
    <w:p>
      <w:pPr>
        <w:pStyle w:val="BodyText"/>
        <w:spacing w:line="247" w:lineRule="auto"/>
        <w:ind w:left="100" w:right="119"/>
        <w:jc w:val="both"/>
      </w:pPr>
      <w:r>
        <w:rPr>
          <w:color w:val="231F20"/>
        </w:rPr>
        <w:t>Under the amended 1991 Employee Stock Purchase Plan (ESPP), which has been approved by Shareholders, the Company is authorized to issue up to a remaining balance of 10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2015,</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2014, and 2013, participants under the plan purchased 597 thousand shares, 792 thousand shares, and</w:t>
      </w:r>
    </w:p>
    <w:p>
      <w:pPr>
        <w:pStyle w:val="BodyText"/>
        <w:spacing w:line="247" w:lineRule="auto" w:before="6"/>
        <w:ind w:left="100" w:right="118"/>
        <w:jc w:val="both"/>
      </w:pPr>
      <w:r>
        <w:rPr>
          <w:color w:val="231F20"/>
        </w:rPr>
        <w:t>1.5 million shares at average prices of $36.40, $23.17, and $12.03, respectively. The weighted-average fair value of each purchase right under the ESPP granted for the years ended December 31, 2015, 2014, and 2013, which is equal to the ten percent discount from the market value of the Common Stock at the end of each monthly purchase period, was $4.04, $2.68, and $1.34, respectively.</w:t>
      </w:r>
    </w:p>
    <w:p>
      <w:pPr>
        <w:pStyle w:val="BodyText"/>
        <w:spacing w:before="7"/>
        <w:rPr>
          <w:sz w:val="19"/>
        </w:rPr>
      </w:pPr>
    </w:p>
    <w:p>
      <w:pPr>
        <w:pStyle w:val="Heading2"/>
        <w:spacing w:before="1"/>
        <w:ind w:left="160" w:right="8040"/>
        <w:jc w:val="center"/>
        <w:rPr>
          <w:i/>
        </w:rPr>
      </w:pPr>
      <w:r>
        <w:rPr>
          <w:i/>
          <w:color w:val="231F20"/>
        </w:rPr>
        <w:t>Taxes</w:t>
      </w:r>
    </w:p>
    <w:p>
      <w:pPr>
        <w:pStyle w:val="BodyText"/>
        <w:spacing w:before="4"/>
        <w:rPr>
          <w:b/>
          <w:i/>
          <w:sz w:val="20"/>
        </w:rPr>
      </w:pPr>
    </w:p>
    <w:p>
      <w:pPr>
        <w:pStyle w:val="BodyText"/>
        <w:spacing w:line="247" w:lineRule="auto"/>
        <w:ind w:left="100" w:right="117"/>
        <w:jc w:val="both"/>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3"/>
        </w:rPr>
        <w:t> </w:t>
      </w:r>
      <w:r>
        <w:rPr>
          <w:color w:val="231F20"/>
        </w:rPr>
        <w:t>variability.</w:t>
      </w:r>
    </w:p>
    <w:p>
      <w:pPr>
        <w:pStyle w:val="BodyText"/>
        <w:spacing w:before="7"/>
        <w:rPr>
          <w:sz w:val="29"/>
        </w:rPr>
      </w:pPr>
    </w:p>
    <w:p>
      <w:pPr>
        <w:pStyle w:val="Heading1"/>
        <w:numPr>
          <w:ilvl w:val="0"/>
          <w:numId w:val="14"/>
        </w:numPr>
        <w:tabs>
          <w:tab w:pos="430" w:val="left" w:leader="none"/>
        </w:tabs>
        <w:spacing w:line="240" w:lineRule="auto" w:before="0" w:after="0"/>
        <w:ind w:left="430" w:right="0" w:hanging="330"/>
        <w:jc w:val="both"/>
      </w:pPr>
      <w:r>
        <w:rPr>
          <w:color w:val="231F20"/>
        </w:rPr>
        <w:t>FINANCIAL DERIVATIVE</w:t>
      </w:r>
      <w:r>
        <w:rPr>
          <w:color w:val="231F20"/>
          <w:spacing w:val="2"/>
        </w:rPr>
        <w:t> </w:t>
      </w:r>
      <w:r>
        <w:rPr>
          <w:color w:val="231F20"/>
        </w:rPr>
        <w:t>INSTRUMENTS</w:t>
      </w:r>
    </w:p>
    <w:p>
      <w:pPr>
        <w:pStyle w:val="BodyText"/>
        <w:spacing w:before="3"/>
        <w:rPr>
          <w:b/>
          <w:sz w:val="30"/>
        </w:rPr>
      </w:pPr>
    </w:p>
    <w:p>
      <w:pPr>
        <w:pStyle w:val="Heading2"/>
        <w:ind w:left="100"/>
        <w:jc w:val="both"/>
        <w:rPr>
          <w:i/>
        </w:rPr>
      </w:pPr>
      <w:r>
        <w:rPr>
          <w:i/>
          <w:color w:val="231F20"/>
        </w:rPr>
        <w:t>Fuel Contracts</w:t>
      </w:r>
    </w:p>
    <w:p>
      <w:pPr>
        <w:pStyle w:val="BodyText"/>
        <w:spacing w:before="4"/>
        <w:rPr>
          <w:b/>
          <w:i/>
          <w:sz w:val="20"/>
        </w:rPr>
      </w:pPr>
    </w:p>
    <w:p>
      <w:pPr>
        <w:pStyle w:val="BodyText"/>
        <w:spacing w:line="247" w:lineRule="auto"/>
        <w:ind w:left="100" w:right="117"/>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pStyle w:val="BodyText"/>
        <w:spacing w:before="8"/>
        <w:rPr>
          <w:sz w:val="19"/>
        </w:rPr>
      </w:pPr>
    </w:p>
    <w:p>
      <w:pPr>
        <w:pStyle w:val="BodyText"/>
        <w:spacing w:line="247" w:lineRule="auto"/>
        <w:ind w:left="100" w:right="117"/>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does not have coverage once market prices fall below the strike price of the purchased call</w:t>
      </w:r>
      <w:r>
        <w:rPr>
          <w:color w:val="231F20"/>
          <w:spacing w:val="1"/>
        </w:rPr>
        <w:t> </w:t>
      </w:r>
      <w:r>
        <w:rPr>
          <w:color w:val="231F20"/>
        </w:rPr>
        <w:t>option.</w:t>
      </w:r>
    </w:p>
    <w:p>
      <w:pPr>
        <w:pStyle w:val="BodyText"/>
        <w:spacing w:before="8"/>
        <w:rPr>
          <w:sz w:val="19"/>
        </w:rPr>
      </w:pPr>
    </w:p>
    <w:p>
      <w:pPr>
        <w:pStyle w:val="BodyText"/>
        <w:spacing w:line="247" w:lineRule="auto"/>
        <w:ind w:left="100" w:right="117"/>
        <w:jc w:val="both"/>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economically hedged for a particular period 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also dependent on current market prices for that period, as well as the types of derivative instruments held and the strike prices of those instruments. For example, the Company may enter into “out-of-the- 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at settlement and may even produce hedging losses depending on market prices, the types of instruments held, and the strike prices of those instruments.</w:t>
      </w:r>
    </w:p>
    <w:p>
      <w:pPr>
        <w:pStyle w:val="BodyText"/>
        <w:spacing w:before="3"/>
        <w:rPr>
          <w:sz w:val="20"/>
        </w:rPr>
      </w:pPr>
    </w:p>
    <w:p>
      <w:pPr>
        <w:pStyle w:val="BodyText"/>
        <w:spacing w:line="247" w:lineRule="auto"/>
        <w:ind w:left="100" w:right="117"/>
        <w:jc w:val="both"/>
      </w:pPr>
      <w:r>
        <w:rPr>
          <w:color w:val="231F20"/>
        </w:rPr>
        <w:t>For 2015, the Company had fuel derivative instruments in place for up to 15 percent of its fuel consumption. The Company also had fuel derivative instruments in place to provide coverage for up to 63 percent of its 2016 estimated fuel consumption, depending on where market prices settle. The following table provides information about the Company’s volume of fuel hedging for the years 2016 through 2018 on an “economic” basis considering current market prices:</w:t>
      </w:r>
    </w:p>
    <w:p>
      <w:pPr>
        <w:pStyle w:val="BodyText"/>
        <w:spacing w:before="3"/>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0"/>
        <w:gridCol w:w="1187"/>
        <w:gridCol w:w="2100"/>
        <w:gridCol w:w="200"/>
        <w:gridCol w:w="4143"/>
      </w:tblGrid>
      <w:tr>
        <w:trPr>
          <w:trHeight w:val="736" w:hRule="exact"/>
        </w:trPr>
        <w:tc>
          <w:tcPr>
            <w:tcW w:w="1490" w:type="dxa"/>
            <w:tcBorders>
              <w:bottom w:val="single" w:sz="8" w:space="0" w:color="231F20"/>
            </w:tcBorders>
          </w:tcPr>
          <w:p>
            <w:pPr>
              <w:pStyle w:val="TableParagraph"/>
              <w:spacing w:before="0"/>
              <w:rPr>
                <w:sz w:val="22"/>
              </w:rPr>
            </w:pPr>
          </w:p>
          <w:p>
            <w:pPr>
              <w:pStyle w:val="TableParagraph"/>
              <w:spacing w:before="7"/>
              <w:rPr>
                <w:sz w:val="19"/>
              </w:rPr>
            </w:pPr>
          </w:p>
          <w:p>
            <w:pPr>
              <w:pStyle w:val="TableParagraph"/>
              <w:spacing w:before="1"/>
              <w:ind w:left="100"/>
              <w:rPr>
                <w:b/>
                <w:sz w:val="20"/>
              </w:rPr>
            </w:pPr>
            <w:r>
              <w:rPr>
                <w:b/>
                <w:color w:val="231F20"/>
                <w:sz w:val="20"/>
              </w:rPr>
              <w:t>Period (by year)</w:t>
            </w:r>
          </w:p>
        </w:tc>
        <w:tc>
          <w:tcPr>
            <w:tcW w:w="1187" w:type="dxa"/>
          </w:tcPr>
          <w:p>
            <w:pPr/>
          </w:p>
        </w:tc>
        <w:tc>
          <w:tcPr>
            <w:tcW w:w="2100" w:type="dxa"/>
            <w:tcBorders>
              <w:bottom w:val="single" w:sz="8" w:space="0" w:color="231F20"/>
            </w:tcBorders>
          </w:tcPr>
          <w:p>
            <w:pPr>
              <w:pStyle w:val="TableParagraph"/>
              <w:spacing w:line="249" w:lineRule="auto" w:before="0"/>
              <w:ind w:left="117" w:right="15" w:hanging="100"/>
              <w:jc w:val="center"/>
              <w:rPr>
                <w:b/>
                <w:sz w:val="20"/>
              </w:rPr>
            </w:pPr>
            <w:r>
              <w:rPr>
                <w:b/>
                <w:color w:val="231F20"/>
                <w:sz w:val="20"/>
              </w:rPr>
              <w:t>Fuel hedged as of December 31, 2015 (gallons in millions) (a)</w:t>
            </w:r>
          </w:p>
        </w:tc>
        <w:tc>
          <w:tcPr>
            <w:tcW w:w="200" w:type="dxa"/>
          </w:tcPr>
          <w:p>
            <w:pPr/>
          </w:p>
        </w:tc>
        <w:tc>
          <w:tcPr>
            <w:tcW w:w="4143" w:type="dxa"/>
            <w:tcBorders>
              <w:bottom w:val="single" w:sz="8" w:space="0" w:color="231F20"/>
            </w:tcBorders>
          </w:tcPr>
          <w:p>
            <w:pPr>
              <w:pStyle w:val="TableParagraph"/>
              <w:spacing w:before="9"/>
              <w:rPr>
                <w:sz w:val="20"/>
              </w:rPr>
            </w:pPr>
          </w:p>
          <w:p>
            <w:pPr>
              <w:pStyle w:val="TableParagraph"/>
              <w:spacing w:line="249" w:lineRule="auto" w:before="0"/>
              <w:ind w:left="1262" w:right="185" w:hanging="1063"/>
              <w:rPr>
                <w:b/>
                <w:sz w:val="20"/>
              </w:rPr>
            </w:pPr>
            <w:r>
              <w:rPr>
                <w:b/>
                <w:color w:val="231F20"/>
                <w:sz w:val="20"/>
              </w:rPr>
              <w:t>Derivative underlying commodity type as of December 31, 2015</w:t>
            </w:r>
          </w:p>
        </w:tc>
      </w:tr>
      <w:tr>
        <w:trPr>
          <w:trHeight w:val="310" w:hRule="exact"/>
        </w:trPr>
        <w:tc>
          <w:tcPr>
            <w:tcW w:w="1490" w:type="dxa"/>
            <w:tcBorders>
              <w:top w:val="single" w:sz="8" w:space="0" w:color="231F20"/>
            </w:tcBorders>
          </w:tcPr>
          <w:p>
            <w:pPr>
              <w:pStyle w:val="TableParagraph"/>
              <w:ind w:left="100"/>
              <w:rPr>
                <w:sz w:val="20"/>
              </w:rPr>
            </w:pPr>
            <w:r>
              <w:rPr>
                <w:color w:val="231F20"/>
                <w:sz w:val="20"/>
              </w:rPr>
              <w:t>2016</w:t>
            </w:r>
          </w:p>
        </w:tc>
        <w:tc>
          <w:tcPr>
            <w:tcW w:w="1187" w:type="dxa"/>
          </w:tcPr>
          <w:p>
            <w:pPr/>
          </w:p>
        </w:tc>
        <w:tc>
          <w:tcPr>
            <w:tcW w:w="2100" w:type="dxa"/>
            <w:tcBorders>
              <w:top w:val="single" w:sz="8" w:space="0" w:color="231F20"/>
            </w:tcBorders>
          </w:tcPr>
          <w:p>
            <w:pPr>
              <w:pStyle w:val="TableParagraph"/>
              <w:jc w:val="right"/>
              <w:rPr>
                <w:sz w:val="20"/>
              </w:rPr>
            </w:pPr>
            <w:r>
              <w:rPr>
                <w:color w:val="231F20"/>
                <w:sz w:val="20"/>
              </w:rPr>
              <w:t>1,226</w:t>
            </w:r>
          </w:p>
        </w:tc>
        <w:tc>
          <w:tcPr>
            <w:tcW w:w="200" w:type="dxa"/>
          </w:tcPr>
          <w:p>
            <w:pPr/>
          </w:p>
        </w:tc>
        <w:tc>
          <w:tcPr>
            <w:tcW w:w="4143" w:type="dxa"/>
            <w:tcBorders>
              <w:top w:val="single" w:sz="8" w:space="0" w:color="231F20"/>
            </w:tcBorders>
          </w:tcPr>
          <w:p>
            <w:pPr>
              <w:pStyle w:val="TableParagraph"/>
              <w:jc w:val="center"/>
              <w:rPr>
                <w:sz w:val="20"/>
              </w:rPr>
            </w:pPr>
            <w:r>
              <w:rPr>
                <w:color w:val="231F20"/>
                <w:sz w:val="20"/>
              </w:rPr>
              <w:t>Brent crude oil, Heating oil, and Gulf Coast jet fuel</w:t>
            </w:r>
          </w:p>
        </w:tc>
      </w:tr>
      <w:tr>
        <w:trPr>
          <w:trHeight w:val="300" w:hRule="exact"/>
        </w:trPr>
        <w:tc>
          <w:tcPr>
            <w:tcW w:w="1490" w:type="dxa"/>
            <w:shd w:val="clear" w:color="auto" w:fill="D1D3D4"/>
          </w:tcPr>
          <w:p>
            <w:pPr>
              <w:pStyle w:val="TableParagraph"/>
              <w:ind w:left="100"/>
              <w:rPr>
                <w:sz w:val="20"/>
              </w:rPr>
            </w:pPr>
            <w:r>
              <w:rPr>
                <w:color w:val="231F20"/>
                <w:sz w:val="20"/>
              </w:rPr>
              <w:t>2017</w:t>
            </w:r>
          </w:p>
        </w:tc>
        <w:tc>
          <w:tcPr>
            <w:tcW w:w="1187" w:type="dxa"/>
            <w:shd w:val="clear" w:color="auto" w:fill="D1D3D4"/>
          </w:tcPr>
          <w:p>
            <w:pPr/>
          </w:p>
        </w:tc>
        <w:tc>
          <w:tcPr>
            <w:tcW w:w="2100" w:type="dxa"/>
            <w:shd w:val="clear" w:color="auto" w:fill="D1D3D4"/>
          </w:tcPr>
          <w:p>
            <w:pPr>
              <w:pStyle w:val="TableParagraph"/>
              <w:jc w:val="right"/>
              <w:rPr>
                <w:sz w:val="20"/>
              </w:rPr>
            </w:pPr>
            <w:r>
              <w:rPr>
                <w:color w:val="231F20"/>
                <w:sz w:val="20"/>
              </w:rPr>
              <w:t>1,503</w:t>
            </w:r>
          </w:p>
        </w:tc>
        <w:tc>
          <w:tcPr>
            <w:tcW w:w="200" w:type="dxa"/>
            <w:shd w:val="clear" w:color="auto" w:fill="D1D3D4"/>
          </w:tcPr>
          <w:p>
            <w:pPr/>
          </w:p>
        </w:tc>
        <w:tc>
          <w:tcPr>
            <w:tcW w:w="4143" w:type="dxa"/>
            <w:shd w:val="clear" w:color="auto" w:fill="D1D3D4"/>
          </w:tcPr>
          <w:p>
            <w:pPr>
              <w:pStyle w:val="TableParagraph"/>
              <w:ind w:right="1"/>
              <w:jc w:val="center"/>
              <w:rPr>
                <w:sz w:val="20"/>
              </w:rPr>
            </w:pPr>
            <w:r>
              <w:rPr>
                <w:color w:val="231F20"/>
                <w:sz w:val="20"/>
              </w:rPr>
              <w:t>WTI crude and Brent crude oil</w:t>
            </w:r>
          </w:p>
        </w:tc>
      </w:tr>
      <w:tr>
        <w:trPr>
          <w:trHeight w:val="284" w:hRule="exact"/>
        </w:trPr>
        <w:tc>
          <w:tcPr>
            <w:tcW w:w="1490" w:type="dxa"/>
          </w:tcPr>
          <w:p>
            <w:pPr>
              <w:pStyle w:val="TableParagraph"/>
              <w:ind w:left="100"/>
              <w:rPr>
                <w:sz w:val="20"/>
              </w:rPr>
            </w:pPr>
            <w:r>
              <w:rPr>
                <w:color w:val="231F20"/>
                <w:sz w:val="20"/>
              </w:rPr>
              <w:t>2018</w:t>
            </w:r>
          </w:p>
        </w:tc>
        <w:tc>
          <w:tcPr>
            <w:tcW w:w="1187" w:type="dxa"/>
          </w:tcPr>
          <w:p>
            <w:pPr/>
          </w:p>
        </w:tc>
        <w:tc>
          <w:tcPr>
            <w:tcW w:w="2100" w:type="dxa"/>
          </w:tcPr>
          <w:p>
            <w:pPr>
              <w:pStyle w:val="TableParagraph"/>
              <w:jc w:val="right"/>
              <w:rPr>
                <w:sz w:val="20"/>
              </w:rPr>
            </w:pPr>
            <w:r>
              <w:rPr>
                <w:color w:val="231F20"/>
                <w:sz w:val="20"/>
              </w:rPr>
              <w:t>731</w:t>
            </w:r>
          </w:p>
        </w:tc>
        <w:tc>
          <w:tcPr>
            <w:tcW w:w="200" w:type="dxa"/>
          </w:tcPr>
          <w:p>
            <w:pPr/>
          </w:p>
        </w:tc>
        <w:tc>
          <w:tcPr>
            <w:tcW w:w="4143" w:type="dxa"/>
          </w:tcPr>
          <w:p>
            <w:pPr>
              <w:pStyle w:val="TableParagraph"/>
              <w:ind w:right="1"/>
              <w:jc w:val="center"/>
              <w:rPr>
                <w:sz w:val="20"/>
              </w:rPr>
            </w:pPr>
            <w:r>
              <w:rPr>
                <w:color w:val="231F20"/>
                <w:sz w:val="20"/>
              </w:rPr>
              <w:t>Brent crude oil</w:t>
            </w:r>
          </w:p>
        </w:tc>
      </w:tr>
    </w:tbl>
    <w:p>
      <w:pPr>
        <w:pStyle w:val="BodyText"/>
        <w:spacing w:before="4"/>
        <w:rPr>
          <w:sz w:val="26"/>
        </w:rPr>
      </w:pPr>
    </w:p>
    <w:p>
      <w:pPr>
        <w:spacing w:line="249" w:lineRule="auto" w:before="0"/>
        <w:ind w:left="100" w:right="117" w:firstLine="0"/>
        <w:jc w:val="both"/>
        <w:rPr>
          <w:sz w:val="20"/>
        </w:rPr>
      </w:pPr>
      <w:r>
        <w:rPr>
          <w:color w:val="231F20"/>
          <w:sz w:val="20"/>
        </w:rPr>
        <w:t>(a) Due to the types of derivatives utilized by the Company and different price levels of those contracts, these volumes represent the maximum economic hedge in place and may vary significantly as market prices fluctuate.</w:t>
      </w:r>
    </w:p>
    <w:p>
      <w:pPr>
        <w:pStyle w:val="BodyText"/>
        <w:spacing w:before="5"/>
        <w:rPr>
          <w:sz w:val="20"/>
        </w:rPr>
      </w:pPr>
    </w:p>
    <w:p>
      <w:pPr>
        <w:pStyle w:val="BodyText"/>
        <w:spacing w:line="247" w:lineRule="auto" w:before="1"/>
        <w:ind w:left="100" w:right="117"/>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2013, 2014, or</w:t>
      </w:r>
      <w:r>
        <w:rPr>
          <w:color w:val="231F20"/>
          <w:spacing w:val="-2"/>
        </w:rPr>
        <w:t> </w:t>
      </w:r>
      <w:r>
        <w:rPr>
          <w:color w:val="231F20"/>
        </w:rPr>
        <w:t>2015.</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In some situations, an entire commodity type used in hedging may cease to qualify for special hedge accounting treatment. As an example, from July 2013 to July 2015, the Company’s routine statistical analysis performed to determine which commodities qualified for special hedge accounting treatment on a prospective basis dictated that WTI crude oil based derivatives no longer qualified for hedge accounting. This was primarily due to the fact that the correlation between WTI crude oil prices and jet fuel prices fell below established thresholds, and therefore the Company could no longer demonstrate that derivatives based on WTI crude oil prices would result in effective hedges on a prospective basis. As such, the changes in fair value of all of the Company’s derivatives based in WTI were recorded directly to Other (gains) losses. The Company’s routine statistical analysis performed during second half 2015, dictated that WTI crude oil based derivatives again qualified for hedge accounting.</w:t>
      </w:r>
    </w:p>
    <w:p>
      <w:pPr>
        <w:pStyle w:val="BodyText"/>
        <w:spacing w:before="9"/>
        <w:rPr>
          <w:sz w:val="20"/>
        </w:rPr>
      </w:pPr>
    </w:p>
    <w:p>
      <w:pPr>
        <w:pStyle w:val="BodyText"/>
        <w:spacing w:line="247" w:lineRule="auto"/>
        <w:ind w:left="100" w:right="117"/>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139" w:val="left" w:leader="none"/>
        </w:tabs>
        <w:spacing w:before="99"/>
        <w:ind w:left="4719" w:right="0" w:firstLine="0"/>
        <w:jc w:val="left"/>
        <w:rPr>
          <w:b/>
          <w:sz w:val="20"/>
        </w:rPr>
      </w:pPr>
      <w:r>
        <w:rPr/>
        <w:pict>
          <v:group style="position:absolute;margin-left:272.5pt;margin-top:17.285938pt;width:253pt;height:1pt;mso-position-horizontal-relative:page;mso-position-vertical-relative:paragraph;z-index:5440" coordorigin="5450,346" coordsize="5060,20">
            <v:line style="position:absolute" from="5460,356" to="7940,356" stroked="true" strokeweight="1pt" strokecolor="#231f20">
              <v:stroke dashstyle="solid"/>
            </v:line>
            <v:line style="position:absolute" from="8020,356" to="10500,356" stroked="true" strokeweight="1pt" strokecolor="#231f20">
              <v:stroke dashstyle="solid"/>
            </v:line>
            <w10:wrap type="none"/>
          </v:group>
        </w:pict>
      </w:r>
      <w:r>
        <w:rPr>
          <w:b/>
          <w:color w:val="231F20"/>
          <w:sz w:val="20"/>
        </w:rPr>
        <w:t>Asset derivatives</w:t>
        <w:tab/>
        <w:t>Liability</w:t>
      </w:r>
      <w:r>
        <w:rPr>
          <w:b/>
          <w:color w:val="231F20"/>
          <w:spacing w:val="1"/>
          <w:sz w:val="20"/>
        </w:rPr>
        <w:t> </w:t>
      </w:r>
      <w:r>
        <w:rPr>
          <w:b/>
          <w:color w:val="231F20"/>
          <w:sz w:val="20"/>
        </w:rPr>
        <w:t>derivatives</w:t>
      </w:r>
    </w:p>
    <w:p>
      <w:pPr>
        <w:spacing w:after="0"/>
        <w:jc w:val="left"/>
        <w:rPr>
          <w:sz w:val="20"/>
        </w:rPr>
        <w:sectPr>
          <w:pgSz w:w="11880" w:h="15480"/>
          <w:pgMar w:header="0" w:footer="1240" w:top="1240" w:bottom="1420" w:left="1260" w:right="1260"/>
        </w:sectPr>
      </w:pPr>
    </w:p>
    <w:p>
      <w:pPr>
        <w:pStyle w:val="BodyText"/>
        <w:rPr>
          <w:b/>
        </w:rPr>
      </w:pPr>
    </w:p>
    <w:p>
      <w:pPr>
        <w:pStyle w:val="BodyText"/>
        <w:spacing w:before="5"/>
        <w:rPr>
          <w:b/>
          <w:sz w:val="27"/>
        </w:rPr>
      </w:pPr>
    </w:p>
    <w:p>
      <w:pPr>
        <w:spacing w:before="0"/>
        <w:ind w:left="120" w:right="0" w:firstLine="0"/>
        <w:jc w:val="left"/>
        <w:rPr>
          <w:b/>
          <w:sz w:val="20"/>
        </w:rPr>
      </w:pPr>
      <w:r>
        <w:rPr>
          <w:b/>
          <w:color w:val="231F20"/>
          <w:sz w:val="20"/>
        </w:rPr>
        <w:t>(in millions)</w:t>
      </w:r>
    </w:p>
    <w:p>
      <w:pPr>
        <w:pStyle w:val="BodyText"/>
        <w:spacing w:before="7"/>
        <w:rPr>
          <w:b/>
          <w:sz w:val="28"/>
        </w:rPr>
      </w:pPr>
      <w:r>
        <w:rPr/>
        <w:br w:type="column"/>
      </w:r>
      <w:r>
        <w:rPr>
          <w:b/>
          <w:sz w:val="28"/>
        </w:rPr>
      </w:r>
    </w:p>
    <w:p>
      <w:pPr>
        <w:spacing w:line="249" w:lineRule="auto" w:before="0"/>
        <w:ind w:left="378" w:right="-20" w:hanging="258"/>
        <w:jc w:val="left"/>
        <w:rPr>
          <w:b/>
          <w:sz w:val="20"/>
        </w:rPr>
      </w:pPr>
      <w:r>
        <w:rPr>
          <w:b/>
          <w:color w:val="231F20"/>
          <w:sz w:val="20"/>
        </w:rPr>
        <w:t>Balance Sheet</w:t>
      </w:r>
      <w:r>
        <w:rPr>
          <w:b/>
          <w:color w:val="231F20"/>
          <w:w w:val="100"/>
          <w:sz w:val="20"/>
        </w:rPr>
        <w:t> </w:t>
      </w:r>
      <w:r>
        <w:rPr>
          <w:b/>
          <w:color w:val="231F20"/>
          <w:sz w:val="20"/>
        </w:rPr>
        <w:t>location</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0" w:hanging="1"/>
        <w:jc w:val="center"/>
        <w:rPr>
          <w:b/>
          <w:sz w:val="20"/>
        </w:rPr>
      </w:pPr>
      <w:r>
        <w:rPr/>
        <w:br w:type="column"/>
      </w:r>
      <w:r>
        <w:rPr>
          <w:b/>
          <w:color w:val="231F20"/>
          <w:sz w:val="20"/>
        </w:rPr>
        <w:t>Fair value at     12/31/2014</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262" w:hanging="1"/>
        <w:jc w:val="center"/>
        <w:rPr>
          <w:b/>
          <w:sz w:val="20"/>
        </w:rPr>
      </w:pPr>
      <w:r>
        <w:rPr/>
        <w:br w:type="column"/>
      </w:r>
      <w:r>
        <w:rPr>
          <w:b/>
          <w:color w:val="231F20"/>
          <w:sz w:val="20"/>
        </w:rPr>
        <w:t>Fair value at     12/31/2014</w:t>
      </w:r>
    </w:p>
    <w:p>
      <w:pPr>
        <w:spacing w:after="0" w:line="249" w:lineRule="auto"/>
        <w:jc w:val="center"/>
        <w:rPr>
          <w:sz w:val="20"/>
        </w:rPr>
        <w:sectPr>
          <w:type w:val="continuous"/>
          <w:pgSz w:w="11880" w:h="15480"/>
          <w:pgMar w:top="1260" w:bottom="280" w:left="1260" w:right="1260"/>
          <w:cols w:num="6" w:equalWidth="0">
            <w:col w:w="1149" w:space="1343"/>
            <w:col w:w="1315" w:space="417"/>
            <w:col w:w="1032" w:space="248"/>
            <w:col w:w="1032" w:space="248"/>
            <w:col w:w="1032" w:space="248"/>
            <w:col w:w="1296"/>
          </w:cols>
        </w:sectPr>
      </w:pPr>
    </w:p>
    <w:p>
      <w:pPr>
        <w:tabs>
          <w:tab w:pos="2290" w:val="left" w:leader="none"/>
        </w:tabs>
        <w:spacing w:line="20" w:lineRule="exact"/>
        <w:ind w:left="110" w:right="0" w:firstLine="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r>
        <w:rPr>
          <w:sz w:val="2"/>
        </w:rPr>
        <w:tab/>
      </w:r>
      <w:r>
        <w:rPr>
          <w:sz w:val="2"/>
        </w:rPr>
        <w:pict>
          <v:group style="width:348pt;height:1pt;mso-position-horizontal-relative:char;mso-position-vertical-relative:line" coordorigin="0,0" coordsize="6960,20">
            <v:line style="position:absolute" from="10,10" to="1830,10" stroked="true" strokeweight="1pt" strokecolor="#231f20">
              <v:stroke dashstyle="solid"/>
            </v:line>
            <v:line style="position:absolute" from="1910,10" to="3110,10" stroked="true" strokeweight="1pt" strokecolor="#231f20">
              <v:stroke dashstyle="solid"/>
            </v:line>
            <v:line style="position:absolute" from="3190,10" to="4390,10" stroked="true" strokeweight="1pt" strokecolor="#231f20">
              <v:stroke dashstyle="solid"/>
            </v:line>
            <v:line style="position:absolute" from="4470,10" to="5670,10" stroked="true" strokeweight="1pt" strokecolor="#231f20">
              <v:stroke dashstyle="solid"/>
            </v:line>
            <v:line style="position:absolute" from="5750,10" to="6950,10" stroked="true" strokeweight="1pt" strokecolor="#231f20">
              <v:stroke dashstyle="solid"/>
            </v:line>
          </v:group>
        </w:pict>
      </w:r>
      <w:r>
        <w:rPr>
          <w:sz w:val="2"/>
        </w:rPr>
      </w:r>
    </w:p>
    <w:p>
      <w:pPr>
        <w:spacing w:before="61"/>
        <w:ind w:left="120" w:right="0" w:firstLine="0"/>
        <w:jc w:val="left"/>
        <w:rPr>
          <w:b/>
          <w:sz w:val="20"/>
        </w:rPr>
      </w:pPr>
      <w:r>
        <w:rPr>
          <w:b/>
          <w:color w:val="231F20"/>
          <w:sz w:val="20"/>
        </w:rPr>
        <w:t>Derivatives designated as hedges*</w:t>
      </w:r>
    </w:p>
    <w:p>
      <w:pPr>
        <w:spacing w:after="0"/>
        <w:jc w:val="left"/>
        <w:rPr>
          <w:sz w:val="20"/>
        </w:rPr>
        <w:sectPr>
          <w:type w:val="continuous"/>
          <w:pgSz w:w="11880" w:h="15480"/>
          <w:pgMar w:top="1260" w:bottom="280" w:left="1260" w:right="1260"/>
        </w:sectPr>
      </w:pPr>
    </w:p>
    <w:p>
      <w:pPr>
        <w:spacing w:line="249" w:lineRule="auto" w:before="70"/>
        <w:ind w:left="320" w:right="-17" w:hanging="200"/>
        <w:jc w:val="left"/>
        <w:rPr>
          <w:sz w:val="20"/>
        </w:rPr>
      </w:pPr>
      <w:r>
        <w:rPr/>
        <w:pict>
          <v:rect style="position:absolute;margin-left:69pt;margin-top:.835938pt;width:456pt;height:27pt;mso-position-horizontal-relative:page;mso-position-vertical-relative:paragraph;z-index:-390304" filled="true" fillcolor="#d1d3d4"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20" w:right="0" w:firstLine="0"/>
        <w:jc w:val="left"/>
        <w:rPr>
          <w:sz w:val="20"/>
        </w:rPr>
      </w:pPr>
      <w:r>
        <w:rPr>
          <w:color w:val="231F20"/>
          <w:sz w:val="20"/>
        </w:rPr>
        <w:t>Fuel derivative contracts</w:t>
      </w:r>
    </w:p>
    <w:p>
      <w:pPr>
        <w:spacing w:before="70"/>
        <w:ind w:left="120" w:right="0" w:firstLine="0"/>
        <w:jc w:val="left"/>
        <w:rPr>
          <w:sz w:val="20"/>
        </w:rPr>
      </w:pPr>
      <w:r>
        <w:rPr/>
        <w:br w:type="column"/>
      </w:r>
      <w:r>
        <w:rPr>
          <w:color w:val="231F20"/>
          <w:sz w:val="20"/>
        </w:rPr>
        <w:t>Prepaid expenses and</w:t>
      </w:r>
    </w:p>
    <w:p>
      <w:pPr>
        <w:tabs>
          <w:tab w:pos="2019" w:val="left" w:leader="none"/>
          <w:tab w:pos="3052" w:val="left" w:leader="none"/>
          <w:tab w:pos="4232" w:val="left" w:leader="none"/>
          <w:tab w:pos="5512" w:val="left" w:leader="none"/>
          <w:tab w:pos="6792" w:val="left" w:leader="none"/>
        </w:tabs>
        <w:spacing w:before="10"/>
        <w:ind w:left="12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2 </w:t>
      </w:r>
      <w:r>
        <w:rPr>
          <w:color w:val="231F20"/>
          <w:spacing w:val="47"/>
          <w:sz w:val="20"/>
        </w:rPr>
        <w:t> </w:t>
      </w:r>
      <w:r>
        <w:rPr>
          <w:color w:val="231F20"/>
          <w:sz w:val="20"/>
        </w:rPr>
        <w:t>$</w:t>
        <w:tab/>
        <w:t>— </w:t>
      </w:r>
      <w:r>
        <w:rPr>
          <w:color w:val="231F20"/>
          <w:spacing w:val="47"/>
          <w:sz w:val="20"/>
        </w:rPr>
        <w:t> </w:t>
      </w:r>
      <w:r>
        <w:rPr>
          <w:color w:val="231F20"/>
          <w:sz w:val="20"/>
        </w:rPr>
        <w:t>$</w:t>
        <w:tab/>
        <w:t>— </w:t>
      </w:r>
      <w:r>
        <w:rPr>
          <w:color w:val="231F20"/>
          <w:spacing w:val="47"/>
          <w:sz w:val="20"/>
        </w:rPr>
        <w:t> </w:t>
      </w:r>
      <w:r>
        <w:rPr>
          <w:color w:val="231F20"/>
          <w:sz w:val="20"/>
        </w:rPr>
        <w:t>$</w:t>
        <w:tab/>
        <w:t>—</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20" w:right="0" w:firstLine="0"/>
        <w:jc w:val="left"/>
        <w:rPr>
          <w:sz w:val="20"/>
        </w:rPr>
      </w:pPr>
      <w:r>
        <w:rPr/>
        <w:pict>
          <v:rect style="position:absolute;margin-left:69pt;margin-top:12.835938pt;width:456pt;height:27pt;mso-position-horizontal-relative:page;mso-position-vertical-relative:paragraph;z-index:-390280" filled="true" fillcolor="#d1d3d4" stroked="false">
            <v:fill type="solid"/>
            <w10:wrap type="none"/>
          </v:rect>
        </w:pict>
      </w:r>
      <w:r>
        <w:rPr>
          <w:color w:val="231F20"/>
          <w:sz w:val="20"/>
        </w:rPr>
        <w:t>(gross)</w:t>
        <w:tab/>
        <w:t>Other assets</w:t>
        <w:tab/>
        <w:t>2</w:t>
        <w:tab/>
        <w:t>—</w:t>
        <w:tab/>
        <w:t>—</w:t>
        <w:tab/>
        <w:t>—</w:t>
      </w:r>
    </w:p>
    <w:p>
      <w:pPr>
        <w:spacing w:before="70"/>
        <w:ind w:left="119" w:right="0" w:firstLine="0"/>
        <w:jc w:val="left"/>
        <w:rPr>
          <w:sz w:val="20"/>
        </w:rPr>
      </w:pPr>
      <w:r>
        <w:rPr>
          <w:color w:val="231F20"/>
          <w:sz w:val="20"/>
        </w:rPr>
        <w:t>Fuel derivative contracts</w:t>
      </w:r>
    </w:p>
    <w:p>
      <w:pPr>
        <w:tabs>
          <w:tab w:pos="2299" w:val="left" w:leader="none"/>
          <w:tab w:pos="5032" w:val="left" w:leader="none"/>
          <w:tab w:pos="6412" w:val="left" w:leader="none"/>
          <w:tab w:pos="7592" w:val="left" w:leader="none"/>
          <w:tab w:pos="8972" w:val="left" w:leader="none"/>
        </w:tabs>
        <w:spacing w:before="10"/>
        <w:ind w:left="319" w:right="0" w:firstLine="0"/>
        <w:jc w:val="left"/>
        <w:rPr>
          <w:sz w:val="20"/>
        </w:rPr>
      </w:pPr>
      <w:r>
        <w:rPr>
          <w:color w:val="231F20"/>
          <w:sz w:val="20"/>
        </w:rPr>
        <w:t>(gross)</w:t>
        <w:tab/>
        <w:t>Accrued liabilities</w:t>
        <w:tab/>
        <w:t>107</w:t>
        <w:tab/>
        <w:t>—</w:t>
        <w:tab/>
        <w:t>526</w:t>
        <w:tab/>
        <w:t>—</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pict>
          <v:rect style="position:absolute;margin-left:69pt;margin-top:27.835938pt;width:456pt;height:27pt;mso-position-horizontal-relative:page;mso-position-vertical-relative:paragraph;z-index:-390256" filled="true" fillcolor="#d1d3d4" stroked="false">
            <v:fill type="solid"/>
            <w10:wrap type="none"/>
          </v:rect>
        </w:pict>
      </w:r>
      <w:r>
        <w:rPr>
          <w:color w:val="231F20"/>
          <w:sz w:val="20"/>
        </w:rPr>
        <w:t>Fuel derivative contracts (gross)</w:t>
      </w:r>
    </w:p>
    <w:p>
      <w:pPr>
        <w:spacing w:before="61"/>
        <w:ind w:left="119" w:right="0" w:firstLine="0"/>
        <w:jc w:val="left"/>
        <w:rPr>
          <w:sz w:val="20"/>
        </w:rPr>
      </w:pPr>
      <w:r>
        <w:rPr>
          <w:color w:val="231F20"/>
          <w:sz w:val="20"/>
        </w:rPr>
        <w:t>Interest rate derivative</w:t>
      </w:r>
    </w:p>
    <w:p>
      <w:pPr>
        <w:spacing w:before="70"/>
        <w:ind w:left="119" w:right="0" w:firstLine="0"/>
        <w:jc w:val="left"/>
        <w:rPr>
          <w:sz w:val="20"/>
        </w:rPr>
      </w:pPr>
      <w:r>
        <w:rPr/>
        <w:br w:type="column"/>
      </w:r>
      <w:r>
        <w:rPr>
          <w:color w:val="231F20"/>
          <w:sz w:val="20"/>
        </w:rPr>
        <w:t>Other noncurrent</w:t>
      </w:r>
    </w:p>
    <w:p>
      <w:pPr>
        <w:tabs>
          <w:tab w:pos="2952" w:val="left" w:leader="none"/>
          <w:tab w:pos="4232" w:val="left" w:leader="none"/>
          <w:tab w:pos="5412" w:val="left" w:leader="none"/>
          <w:tab w:pos="6992" w:val="right" w:leader="none"/>
        </w:tabs>
        <w:spacing w:before="10"/>
        <w:ind w:left="119" w:right="0" w:firstLine="0"/>
        <w:jc w:val="left"/>
        <w:rPr>
          <w:sz w:val="20"/>
        </w:rPr>
      </w:pPr>
      <w:r>
        <w:rPr>
          <w:color w:val="231F20"/>
          <w:sz w:val="20"/>
        </w:rPr>
        <w:t>liabilities</w:t>
        <w:tab/>
        <w:t>55</w:t>
        <w:tab/>
        <w:t>—</w:t>
        <w:tab/>
        <w:t>658</w:t>
        <w:tab/>
        <w:t>643</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19" w:right="0" w:firstLine="0"/>
        <w:jc w:val="left"/>
        <w:rPr>
          <w:sz w:val="20"/>
        </w:rPr>
      </w:pPr>
      <w:r>
        <w:rPr>
          <w:color w:val="231F20"/>
          <w:sz w:val="20"/>
        </w:rPr>
        <w:t>contracts</w:t>
        <w:tab/>
        <w:t>Other assets</w:t>
        <w:tab/>
        <w:t>2</w:t>
        <w:tab/>
        <w:t>13</w:t>
        <w:tab/>
        <w:t>—</w:t>
        <w:tab/>
        <w:t>—</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pict>
          <v:group style="position:absolute;margin-left:69pt;margin-top:28.335938pt;width:456.25pt;height:15.5pt;mso-position-horizontal-relative:page;mso-position-vertical-relative:paragraph;z-index:5368" coordorigin="1380,567" coordsize="9125,310">
            <v:rect style="position:absolute;left:1380;top:577;width:9120;height:300" filled="true" fillcolor="#d1d3d4" stroked="false">
              <v:fill type="solid"/>
            </v:rect>
            <v:line style="position:absolute" from="5460,572" to="6660,572" stroked="true" strokeweight=".5pt" strokecolor="#231f20">
              <v:stroke dashstyle="solid"/>
            </v:line>
            <v:line style="position:absolute" from="6740,572" to="7940,572" stroked="true" strokeweight=".5pt" strokecolor="#231f20">
              <v:stroke dashstyle="solid"/>
            </v:line>
            <v:line style="position:absolute" from="8020,572" to="9220,572" stroked="true" strokeweight=".5pt" strokecolor="#231f20">
              <v:stroke dashstyle="solid"/>
            </v:line>
            <v:line style="position:absolute" from="9300,572" to="10500,572" stroked="true" strokeweight=".5pt" strokecolor="#231f20">
              <v:stroke dashstyle="solid"/>
            </v:line>
            <v:shape style="position:absolute;left:1380;top:631;width:3268;height:230" type="#_x0000_t202" filled="false" stroked="false">
              <v:textbox inset="0,0,0,0">
                <w:txbxContent>
                  <w:p>
                    <w:pPr>
                      <w:spacing w:line="229" w:lineRule="exact" w:before="0"/>
                      <w:ind w:left="0" w:right="0" w:firstLine="0"/>
                      <w:jc w:val="left"/>
                      <w:rPr>
                        <w:b/>
                        <w:sz w:val="20"/>
                      </w:rPr>
                    </w:pPr>
                    <w:r>
                      <w:rPr>
                        <w:color w:val="231F20"/>
                        <w:sz w:val="20"/>
                      </w:rPr>
                      <w:t>T</w:t>
                    </w:r>
                    <w:r>
                      <w:rPr>
                        <w:b/>
                        <w:color w:val="231F20"/>
                        <w:sz w:val="20"/>
                      </w:rPr>
                      <w:t>otal derivatives designated as hedges</w:t>
                    </w:r>
                  </w:p>
                </w:txbxContent>
              </v:textbox>
              <w10:wrap type="none"/>
            </v:shape>
            <v:shape style="position:absolute;left:5460;top:637;width:1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shape style="position:absolute;left:6293;top:637;width:567;height:224" type="#_x0000_t202" filled="false" stroked="false">
              <v:textbox inset="0,0,0,0">
                <w:txbxContent>
                  <w:p>
                    <w:pPr>
                      <w:spacing w:line="223" w:lineRule="exact" w:before="0"/>
                      <w:ind w:left="0" w:right="0" w:firstLine="0"/>
                      <w:jc w:val="left"/>
                      <w:rPr>
                        <w:sz w:val="20"/>
                      </w:rPr>
                    </w:pPr>
                    <w:r>
                      <w:rPr>
                        <w:color w:val="231F20"/>
                        <w:sz w:val="20"/>
                      </w:rPr>
                      <w:t>168  $</w:t>
                    </w:r>
                  </w:p>
                </w:txbxContent>
              </v:textbox>
              <w10:wrap type="none"/>
            </v:shape>
            <v:shape style="position:absolute;left:7673;top:637;width:467;height:224" type="#_x0000_t202" filled="false" stroked="false">
              <v:textbox inset="0,0,0,0">
                <w:txbxContent>
                  <w:p>
                    <w:pPr>
                      <w:spacing w:line="223" w:lineRule="exact" w:before="0"/>
                      <w:ind w:left="0" w:right="0" w:firstLine="0"/>
                      <w:jc w:val="left"/>
                      <w:rPr>
                        <w:sz w:val="20"/>
                      </w:rPr>
                    </w:pPr>
                    <w:r>
                      <w:rPr>
                        <w:color w:val="231F20"/>
                        <w:sz w:val="20"/>
                      </w:rPr>
                      <w:t>13  $</w:t>
                    </w:r>
                  </w:p>
                </w:txbxContent>
              </v:textbox>
              <w10:wrap type="none"/>
            </v:shape>
            <v:shape style="position:absolute;left:8703;top:637;width:717;height:224" type="#_x0000_t202" filled="false" stroked="false">
              <v:textbox inset="0,0,0,0">
                <w:txbxContent>
                  <w:p>
                    <w:pPr>
                      <w:spacing w:line="223" w:lineRule="exact" w:before="0"/>
                      <w:ind w:left="0" w:right="0" w:firstLine="0"/>
                      <w:jc w:val="left"/>
                      <w:rPr>
                        <w:sz w:val="20"/>
                      </w:rPr>
                    </w:pPr>
                    <w:r>
                      <w:rPr>
                        <w:color w:val="231F20"/>
                        <w:sz w:val="20"/>
                      </w:rPr>
                      <w:t>1,233  $</w:t>
                    </w:r>
                  </w:p>
                </w:txbxContent>
              </v:textbox>
              <w10:wrap type="none"/>
            </v:shape>
            <v:shape style="position:absolute;left:10133;top:637;width:320;height:224" type="#_x0000_t202" filled="false" stroked="false">
              <v:textbox inset="0,0,0,0">
                <w:txbxContent>
                  <w:p>
                    <w:pPr>
                      <w:spacing w:line="223" w:lineRule="exact" w:before="0"/>
                      <w:ind w:left="0" w:right="0" w:firstLine="0"/>
                      <w:jc w:val="left"/>
                      <w:rPr>
                        <w:sz w:val="20"/>
                      </w:rPr>
                    </w:pPr>
                    <w:r>
                      <w:rPr>
                        <w:color w:val="231F20"/>
                        <w:sz w:val="20"/>
                      </w:rPr>
                      <w:t>704</w:t>
                    </w:r>
                  </w:p>
                </w:txbxContent>
              </v:textbox>
              <w10:wrap type="none"/>
            </v:shape>
            <w10:wrap type="none"/>
          </v:group>
        </w:pict>
      </w:r>
      <w:r>
        <w:rPr>
          <w:color w:val="231F20"/>
          <w:sz w:val="20"/>
        </w:rPr>
        <w:t>Interest rate derivative</w:t>
      </w:r>
      <w:r>
        <w:rPr>
          <w:color w:val="231F20"/>
          <w:w w:val="100"/>
          <w:sz w:val="20"/>
        </w:rPr>
        <w:t> </w:t>
      </w:r>
      <w:r>
        <w:rPr>
          <w:color w:val="231F20"/>
          <w:sz w:val="20"/>
        </w:rPr>
        <w:t>contracts</w:t>
      </w:r>
    </w:p>
    <w:p>
      <w:pPr>
        <w:spacing w:before="70"/>
        <w:ind w:left="119" w:right="0" w:firstLine="0"/>
        <w:jc w:val="left"/>
        <w:rPr>
          <w:sz w:val="20"/>
        </w:rPr>
      </w:pPr>
      <w:r>
        <w:rPr/>
        <w:br w:type="column"/>
      </w:r>
      <w:r>
        <w:rPr>
          <w:color w:val="231F20"/>
          <w:sz w:val="20"/>
        </w:rPr>
        <w:t>Other noncurrent</w:t>
      </w:r>
    </w:p>
    <w:p>
      <w:pPr>
        <w:tabs>
          <w:tab w:pos="2952" w:val="left" w:leader="none"/>
          <w:tab w:pos="4232" w:val="left" w:leader="none"/>
          <w:tab w:pos="5512" w:val="left" w:leader="none"/>
          <w:tab w:pos="6992" w:val="right" w:leader="none"/>
        </w:tabs>
        <w:spacing w:before="10"/>
        <w:ind w:left="119" w:right="0" w:firstLine="0"/>
        <w:jc w:val="left"/>
        <w:rPr>
          <w:sz w:val="20"/>
        </w:rPr>
      </w:pPr>
      <w:r>
        <w:rPr>
          <w:color w:val="231F20"/>
          <w:sz w:val="20"/>
        </w:rPr>
        <w:t>liabilities</w:t>
        <w:tab/>
        <w:t>—</w:t>
        <w:tab/>
        <w:t>—</w:t>
        <w:tab/>
        <w:t>49</w:t>
        <w:tab/>
        <w:t>61</w:t>
      </w:r>
    </w:p>
    <w:p>
      <w:pPr>
        <w:spacing w:after="0"/>
        <w:jc w:val="left"/>
        <w:rPr>
          <w:sz w:val="20"/>
        </w:rPr>
        <w:sectPr>
          <w:type w:val="continuous"/>
          <w:pgSz w:w="11880" w:h="15480"/>
          <w:pgMar w:top="1260" w:bottom="280" w:left="1260" w:right="1260"/>
          <w:cols w:num="2" w:equalWidth="0">
            <w:col w:w="1923" w:space="257"/>
            <w:col w:w="7180"/>
          </w:cols>
        </w:sectPr>
      </w:pPr>
    </w:p>
    <w:p>
      <w:pPr>
        <w:spacing w:before="461"/>
        <w:ind w:left="120" w:right="0" w:firstLine="0"/>
        <w:jc w:val="left"/>
        <w:rPr>
          <w:b/>
          <w:sz w:val="20"/>
        </w:rPr>
      </w:pPr>
      <w:r>
        <w:rPr/>
        <w:pict>
          <v:line style="position:absolute;mso-position-horizontal-relative:page;mso-position-vertical-relative:paragraph;z-index:5464" from="273pt,20.135937pt" to="333pt,20.135937pt" stroked="true" strokeweight=".5pt" strokecolor="#231f20">
            <v:stroke dashstyle="solid"/>
            <w10:wrap type="none"/>
          </v:line>
        </w:pict>
      </w:r>
      <w:r>
        <w:rPr/>
        <w:pict>
          <v:line style="position:absolute;mso-position-horizontal-relative:page;mso-position-vertical-relative:paragraph;z-index:5488" from="337pt,20.135937pt" to="397pt,20.135937pt" stroked="true" strokeweight=".5pt" strokecolor="#231f20">
            <v:stroke dashstyle="solid"/>
            <w10:wrap type="none"/>
          </v:line>
        </w:pict>
      </w:r>
      <w:r>
        <w:rPr/>
        <w:pict>
          <v:line style="position:absolute;mso-position-horizontal-relative:page;mso-position-vertical-relative:paragraph;z-index:5512" from="401pt,20.135937pt" to="461pt,20.135937pt" stroked="true" strokeweight=".5pt" strokecolor="#231f20">
            <v:stroke dashstyle="solid"/>
            <w10:wrap type="none"/>
          </v:line>
        </w:pict>
      </w:r>
      <w:r>
        <w:rPr/>
        <w:pict>
          <v:line style="position:absolute;mso-position-horizontal-relative:page;mso-position-vertical-relative:paragraph;z-index:5536" from="465pt,20.135937pt" to="525pt,20.135937pt" stroked="true" strokeweight=".5pt" strokecolor="#231f20">
            <v:stroke dashstyle="solid"/>
            <w10:wrap type="none"/>
          </v:line>
        </w:pict>
      </w:r>
      <w:r>
        <w:rPr>
          <w:b/>
          <w:color w:val="231F20"/>
          <w:sz w:val="20"/>
        </w:rPr>
        <w:t>Derivatives not designated as hedges*</w:t>
      </w:r>
    </w:p>
    <w:p>
      <w:pPr>
        <w:spacing w:after="0"/>
        <w:jc w:val="left"/>
        <w:rPr>
          <w:sz w:val="20"/>
        </w:rPr>
        <w:sectPr>
          <w:type w:val="continuous"/>
          <w:pgSz w:w="11880" w:h="15480"/>
          <w:pgMar w:top="1260" w:bottom="280" w:left="1260" w:right="1260"/>
        </w:sectPr>
      </w:pPr>
    </w:p>
    <w:p>
      <w:pPr>
        <w:spacing w:line="249" w:lineRule="auto" w:before="70"/>
        <w:ind w:left="320" w:right="-17" w:hanging="200"/>
        <w:jc w:val="left"/>
        <w:rPr>
          <w:sz w:val="20"/>
        </w:rPr>
      </w:pPr>
      <w:r>
        <w:rPr/>
        <w:pict>
          <v:rect style="position:absolute;margin-left:69pt;margin-top:.835938pt;width:456pt;height:27pt;mso-position-horizontal-relative:page;mso-position-vertical-relative:paragraph;z-index:-390064" filled="true" fillcolor="#d1d3d4" stroked="false">
            <v:fill type="solid"/>
            <w10:wrap type="none"/>
          </v:rect>
        </w:pict>
      </w:r>
      <w:r>
        <w:rPr>
          <w:color w:val="231F20"/>
          <w:sz w:val="20"/>
        </w:rPr>
        <w:t>Fuel derivative contracts</w:t>
      </w:r>
      <w:r>
        <w:rPr>
          <w:color w:val="231F20"/>
          <w:w w:val="100"/>
          <w:sz w:val="20"/>
        </w:rPr>
        <w:t> </w:t>
      </w:r>
      <w:r>
        <w:rPr>
          <w:color w:val="231F20"/>
          <w:sz w:val="20"/>
        </w:rPr>
        <w:t>(gross)</w:t>
      </w:r>
    </w:p>
    <w:p>
      <w:pPr>
        <w:spacing w:before="61"/>
        <w:ind w:left="120" w:right="0" w:firstLine="0"/>
        <w:jc w:val="left"/>
        <w:rPr>
          <w:sz w:val="20"/>
        </w:rPr>
      </w:pPr>
      <w:r>
        <w:rPr>
          <w:color w:val="231F20"/>
          <w:sz w:val="20"/>
        </w:rPr>
        <w:t>Fuel derivative contracts</w:t>
      </w:r>
    </w:p>
    <w:p>
      <w:pPr>
        <w:spacing w:before="70"/>
        <w:ind w:left="120" w:right="0" w:firstLine="0"/>
        <w:jc w:val="left"/>
        <w:rPr>
          <w:sz w:val="20"/>
        </w:rPr>
      </w:pPr>
      <w:r>
        <w:rPr/>
        <w:br w:type="column"/>
      </w:r>
      <w:r>
        <w:rPr>
          <w:color w:val="231F20"/>
          <w:sz w:val="20"/>
        </w:rPr>
        <w:t>Prepaid expenses and</w:t>
      </w:r>
    </w:p>
    <w:p>
      <w:pPr>
        <w:tabs>
          <w:tab w:pos="2019" w:val="left" w:leader="none"/>
          <w:tab w:pos="2952" w:val="left" w:leader="none"/>
          <w:tab w:pos="4232" w:val="left" w:leader="none"/>
          <w:tab w:pos="5512" w:val="left" w:leader="none"/>
          <w:tab w:pos="6792" w:val="left" w:leader="none"/>
        </w:tabs>
        <w:spacing w:before="10"/>
        <w:ind w:left="120" w:right="0" w:firstLine="0"/>
        <w:jc w:val="left"/>
        <w:rPr>
          <w:sz w:val="20"/>
        </w:rPr>
      </w:pPr>
      <w:r>
        <w:rPr>
          <w:color w:val="231F20"/>
          <w:sz w:val="20"/>
        </w:rPr>
        <w:t>other</w:t>
      </w:r>
      <w:r>
        <w:rPr>
          <w:color w:val="231F20"/>
          <w:spacing w:val="1"/>
          <w:sz w:val="20"/>
        </w:rPr>
        <w:t> </w:t>
      </w:r>
      <w:r>
        <w:rPr>
          <w:color w:val="231F20"/>
          <w:sz w:val="20"/>
        </w:rPr>
        <w:t>current</w:t>
      </w:r>
      <w:r>
        <w:rPr>
          <w:color w:val="231F20"/>
          <w:spacing w:val="1"/>
          <w:sz w:val="20"/>
        </w:rPr>
        <w:t> </w:t>
      </w:r>
      <w:r>
        <w:rPr>
          <w:color w:val="231F20"/>
          <w:sz w:val="20"/>
        </w:rPr>
        <w:t>assets</w:t>
        <w:tab/>
        <w:t>$</w:t>
        <w:tab/>
        <w:t>39 </w:t>
      </w:r>
      <w:r>
        <w:rPr>
          <w:color w:val="231F20"/>
          <w:spacing w:val="47"/>
          <w:sz w:val="20"/>
        </w:rPr>
        <w:t> </w:t>
      </w:r>
      <w:r>
        <w:rPr>
          <w:color w:val="231F20"/>
          <w:sz w:val="20"/>
        </w:rPr>
        <w:t>$</w:t>
        <w:tab/>
        <w:t>— </w:t>
      </w:r>
      <w:r>
        <w:rPr>
          <w:color w:val="231F20"/>
          <w:spacing w:val="47"/>
          <w:sz w:val="20"/>
        </w:rPr>
        <w:t> </w:t>
      </w:r>
      <w:r>
        <w:rPr>
          <w:color w:val="231F20"/>
          <w:sz w:val="20"/>
        </w:rPr>
        <w:t>$</w:t>
        <w:tab/>
        <w:t>26 </w:t>
      </w:r>
      <w:r>
        <w:rPr>
          <w:color w:val="231F20"/>
          <w:spacing w:val="47"/>
          <w:sz w:val="20"/>
        </w:rPr>
        <w:t> </w:t>
      </w:r>
      <w:r>
        <w:rPr>
          <w:color w:val="231F20"/>
          <w:sz w:val="20"/>
        </w:rPr>
        <w:t>$</w:t>
        <w:tab/>
        <w:t>—</w:t>
      </w:r>
    </w:p>
    <w:p>
      <w:pPr>
        <w:spacing w:after="0"/>
        <w:jc w:val="left"/>
        <w:rPr>
          <w:sz w:val="20"/>
        </w:rPr>
        <w:sectPr>
          <w:type w:val="continuous"/>
          <w:pgSz w:w="11880" w:h="15480"/>
          <w:pgMar w:top="1260" w:bottom="280" w:left="1260" w:right="1260"/>
          <w:cols w:num="2" w:equalWidth="0">
            <w:col w:w="2101" w:space="79"/>
            <w:col w:w="7180"/>
          </w:cols>
        </w:sectPr>
      </w:pPr>
    </w:p>
    <w:p>
      <w:pPr>
        <w:tabs>
          <w:tab w:pos="2299" w:val="left" w:leader="none"/>
          <w:tab w:pos="5232" w:val="left" w:leader="none"/>
          <w:tab w:pos="6412" w:val="left" w:leader="none"/>
          <w:tab w:pos="7692" w:val="left" w:leader="none"/>
          <w:tab w:pos="8972" w:val="left" w:leader="none"/>
        </w:tabs>
        <w:spacing w:before="10"/>
        <w:ind w:left="320" w:right="0" w:firstLine="0"/>
        <w:jc w:val="left"/>
        <w:rPr>
          <w:sz w:val="20"/>
        </w:rPr>
      </w:pPr>
      <w:r>
        <w:rPr/>
        <w:pict>
          <v:rect style="position:absolute;margin-left:69pt;margin-top:12.835938pt;width:456pt;height:27pt;mso-position-horizontal-relative:page;mso-position-vertical-relative:paragraph;z-index:-390040" filled="true" fillcolor="#d1d3d4" stroked="false">
            <v:fill type="solid"/>
            <w10:wrap type="none"/>
          </v:rect>
        </w:pict>
      </w:r>
      <w:r>
        <w:rPr>
          <w:color w:val="231F20"/>
          <w:sz w:val="20"/>
        </w:rPr>
        <w:t>(gross)</w:t>
        <w:tab/>
        <w:t>Other assets</w:t>
        <w:tab/>
        <w:t>5</w:t>
        <w:tab/>
        <w:t>—</w:t>
        <w:tab/>
        <w:t>—</w:t>
        <w:tab/>
        <w:t>—</w:t>
      </w:r>
    </w:p>
    <w:p>
      <w:pPr>
        <w:spacing w:before="70"/>
        <w:ind w:left="119" w:right="0" w:firstLine="0"/>
        <w:jc w:val="left"/>
        <w:rPr>
          <w:sz w:val="20"/>
        </w:rPr>
      </w:pPr>
      <w:r>
        <w:rPr>
          <w:color w:val="231F20"/>
          <w:sz w:val="20"/>
        </w:rPr>
        <w:t>Fuel derivative contracts</w:t>
      </w:r>
    </w:p>
    <w:p>
      <w:pPr>
        <w:tabs>
          <w:tab w:pos="2299" w:val="left" w:leader="none"/>
          <w:tab w:pos="4882" w:val="left" w:leader="none"/>
          <w:tab w:pos="6162" w:val="left" w:leader="none"/>
          <w:tab w:pos="7442" w:val="left" w:leader="none"/>
          <w:tab w:pos="8722" w:val="left" w:leader="none"/>
        </w:tabs>
        <w:spacing w:before="10"/>
        <w:ind w:left="319" w:right="0" w:firstLine="0"/>
        <w:jc w:val="left"/>
        <w:rPr>
          <w:sz w:val="20"/>
        </w:rPr>
      </w:pPr>
      <w:r>
        <w:rPr>
          <w:color w:val="231F20"/>
          <w:sz w:val="20"/>
        </w:rPr>
        <w:t>(gross)</w:t>
        <w:tab/>
        <w:t>Accrued liabilities</w:t>
        <w:tab/>
        <w:t>1,395</w:t>
        <w:tab/>
        <w:t>1,190</w:t>
        <w:tab/>
        <w:t>1,854</w:t>
        <w:tab/>
        <w:t>1,432</w:t>
      </w:r>
    </w:p>
    <w:p>
      <w:pPr>
        <w:spacing w:after="0"/>
        <w:jc w:val="left"/>
        <w:rPr>
          <w:sz w:val="20"/>
        </w:rPr>
        <w:sectPr>
          <w:type w:val="continuous"/>
          <w:pgSz w:w="11880" w:h="15480"/>
          <w:pgMar w:top="1260" w:bottom="280" w:left="1260" w:right="1260"/>
        </w:sectPr>
      </w:pPr>
    </w:p>
    <w:p>
      <w:pPr>
        <w:spacing w:line="249" w:lineRule="auto" w:before="70"/>
        <w:ind w:left="319" w:right="-16" w:hanging="200"/>
        <w:jc w:val="left"/>
        <w:rPr>
          <w:sz w:val="20"/>
        </w:rPr>
      </w:pPr>
      <w:r>
        <w:rPr>
          <w:color w:val="231F20"/>
          <w:sz w:val="20"/>
        </w:rPr>
        <w:t>Fuel derivative contracts (gross)</w:t>
      </w:r>
    </w:p>
    <w:p>
      <w:pPr>
        <w:spacing w:before="70"/>
        <w:ind w:left="119" w:right="0" w:firstLine="0"/>
        <w:jc w:val="left"/>
        <w:rPr>
          <w:sz w:val="20"/>
        </w:rPr>
      </w:pPr>
      <w:r>
        <w:rPr/>
        <w:br w:type="column"/>
      </w:r>
      <w:r>
        <w:rPr>
          <w:color w:val="231F20"/>
          <w:sz w:val="20"/>
        </w:rPr>
        <w:t>Other noncurrent</w:t>
      </w:r>
    </w:p>
    <w:p>
      <w:pPr>
        <w:tabs>
          <w:tab w:pos="2852" w:val="left" w:leader="none"/>
          <w:tab w:pos="4132" w:val="left" w:leader="none"/>
          <w:tab w:pos="5412" w:val="left" w:leader="none"/>
          <w:tab w:pos="6992" w:val="right" w:leader="none"/>
        </w:tabs>
        <w:spacing w:before="10"/>
        <w:ind w:left="119" w:right="0" w:firstLine="0"/>
        <w:jc w:val="left"/>
        <w:rPr>
          <w:sz w:val="20"/>
        </w:rPr>
      </w:pPr>
      <w:r>
        <w:rPr/>
        <w:pict>
          <v:line style="position:absolute;mso-position-horizontal-relative:page;mso-position-vertical-relative:paragraph;z-index:5560" from="273pt,13.585938pt" to="333pt,13.585938pt" stroked="true" strokeweight=".5pt" strokecolor="#231f20">
            <v:stroke dashstyle="solid"/>
            <w10:wrap type="none"/>
          </v:line>
        </w:pict>
      </w:r>
      <w:r>
        <w:rPr/>
        <w:pict>
          <v:line style="position:absolute;mso-position-horizontal-relative:page;mso-position-vertical-relative:paragraph;z-index:5584" from="337pt,13.585938pt" to="397pt,13.585938pt" stroked="true" strokeweight=".5pt" strokecolor="#231f20">
            <v:stroke dashstyle="solid"/>
            <w10:wrap type="none"/>
          </v:line>
        </w:pict>
      </w:r>
      <w:r>
        <w:rPr/>
        <w:pict>
          <v:line style="position:absolute;mso-position-horizontal-relative:page;mso-position-vertical-relative:paragraph;z-index:5608" from="401pt,13.585938pt" to="461pt,13.585938pt" stroked="true" strokeweight=".5pt" strokecolor="#231f20">
            <v:stroke dashstyle="solid"/>
            <w10:wrap type="none"/>
          </v:line>
        </w:pict>
      </w:r>
      <w:r>
        <w:rPr>
          <w:color w:val="231F20"/>
          <w:sz w:val="20"/>
        </w:rPr>
        <w:t>liabilities</w:t>
        <w:tab/>
        <w:t>330</w:t>
        <w:tab/>
        <w:t>157</w:t>
        <w:tab/>
        <w:t>352</w:t>
        <w:tab/>
        <w:t>273</w:t>
      </w:r>
    </w:p>
    <w:p>
      <w:pPr>
        <w:spacing w:after="0"/>
        <w:jc w:val="left"/>
        <w:rPr>
          <w:sz w:val="20"/>
        </w:rPr>
        <w:sectPr>
          <w:type w:val="continuous"/>
          <w:pgSz w:w="11880" w:h="15480"/>
          <w:pgMar w:top="1260" w:bottom="280" w:left="1260" w:right="1260"/>
          <w:cols w:num="2" w:equalWidth="0">
            <w:col w:w="2101" w:space="79"/>
            <w:col w:w="7180"/>
          </w:cols>
        </w:sectPr>
      </w:pPr>
    </w:p>
    <w:p>
      <w:pPr>
        <w:pStyle w:val="BodyText"/>
        <w:spacing w:before="4"/>
        <w:rPr>
          <w:sz w:val="2"/>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0"/>
        <w:gridCol w:w="1200"/>
        <w:gridCol w:w="1280"/>
        <w:gridCol w:w="1280"/>
        <w:gridCol w:w="1280"/>
      </w:tblGrid>
      <w:tr>
        <w:trPr>
          <w:trHeight w:val="375" w:hRule="exact"/>
        </w:trPr>
        <w:tc>
          <w:tcPr>
            <w:tcW w:w="4080" w:type="dxa"/>
            <w:shd w:val="clear" w:color="auto" w:fill="D1D3D4"/>
          </w:tcPr>
          <w:p>
            <w:pPr>
              <w:pStyle w:val="TableParagraph"/>
              <w:rPr>
                <w:b/>
                <w:sz w:val="20"/>
              </w:rPr>
            </w:pPr>
            <w:r>
              <w:rPr>
                <w:b/>
                <w:color w:val="231F20"/>
                <w:sz w:val="20"/>
              </w:rPr>
              <w:t>Total derivatives not designated as hedges</w:t>
            </w:r>
          </w:p>
        </w:tc>
        <w:tc>
          <w:tcPr>
            <w:tcW w:w="1200" w:type="dxa"/>
            <w:tcBorders>
              <w:bottom w:val="single" w:sz="4" w:space="0" w:color="231F20"/>
            </w:tcBorders>
            <w:shd w:val="clear" w:color="auto" w:fill="D1D3D4"/>
          </w:tcPr>
          <w:p>
            <w:pPr>
              <w:pStyle w:val="TableParagraph"/>
              <w:tabs>
                <w:tab w:pos="682" w:val="left" w:leader="none"/>
              </w:tabs>
              <w:rPr>
                <w:sz w:val="20"/>
              </w:rPr>
            </w:pPr>
            <w:r>
              <w:rPr>
                <w:color w:val="231F20"/>
                <w:sz w:val="20"/>
              </w:rPr>
              <w:t>$</w:t>
              <w:tab/>
              <w:t>1,769</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1,347</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2,232</w:t>
            </w:r>
          </w:p>
        </w:tc>
        <w:tc>
          <w:tcPr>
            <w:tcW w:w="1280" w:type="dxa"/>
            <w:tcBorders>
              <w:top w:val="single" w:sz="4" w:space="0" w:color="231F20"/>
              <w:bottom w:val="single" w:sz="4" w:space="0" w:color="231F20"/>
            </w:tcBorders>
            <w:shd w:val="clear" w:color="auto" w:fill="D1D3D4"/>
          </w:tcPr>
          <w:p>
            <w:pPr>
              <w:pStyle w:val="TableParagraph"/>
              <w:tabs>
                <w:tab w:pos="695" w:val="left" w:leader="none"/>
              </w:tabs>
              <w:spacing w:before="48"/>
              <w:ind w:left="13"/>
              <w:jc w:val="center"/>
              <w:rPr>
                <w:sz w:val="20"/>
              </w:rPr>
            </w:pPr>
            <w:r>
              <w:rPr>
                <w:color w:val="231F20"/>
                <w:sz w:val="20"/>
              </w:rPr>
              <w:t>$</w:t>
              <w:tab/>
              <w:t>1,705</w:t>
            </w:r>
          </w:p>
        </w:tc>
      </w:tr>
      <w:tr>
        <w:trPr>
          <w:trHeight w:val="420" w:hRule="exact"/>
        </w:trPr>
        <w:tc>
          <w:tcPr>
            <w:tcW w:w="4080" w:type="dxa"/>
          </w:tcPr>
          <w:p>
            <w:pPr>
              <w:pStyle w:val="TableParagraph"/>
              <w:spacing w:before="133"/>
              <w:rPr>
                <w:b/>
                <w:sz w:val="20"/>
              </w:rPr>
            </w:pPr>
            <w:r>
              <w:rPr>
                <w:b/>
                <w:color w:val="231F20"/>
                <w:sz w:val="20"/>
              </w:rPr>
              <w:t>Total derivatives</w:t>
            </w:r>
          </w:p>
        </w:tc>
        <w:tc>
          <w:tcPr>
            <w:tcW w:w="1200" w:type="dxa"/>
            <w:tcBorders>
              <w:top w:val="single" w:sz="4" w:space="0" w:color="231F20"/>
              <w:bottom w:val="single" w:sz="4" w:space="0" w:color="231F20"/>
            </w:tcBorders>
          </w:tcPr>
          <w:p>
            <w:pPr>
              <w:pStyle w:val="TableParagraph"/>
              <w:tabs>
                <w:tab w:pos="682" w:val="left" w:leader="none"/>
              </w:tabs>
              <w:rPr>
                <w:sz w:val="20"/>
              </w:rPr>
            </w:pPr>
            <w:r>
              <w:rPr>
                <w:color w:val="231F20"/>
                <w:sz w:val="20"/>
              </w:rPr>
              <w:t>$</w:t>
              <w:tab/>
              <w:t>1,937</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1,360</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3,465</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2,409</w:t>
            </w:r>
          </w:p>
        </w:tc>
      </w:tr>
    </w:tbl>
    <w:p>
      <w:pPr>
        <w:pStyle w:val="BodyText"/>
        <w:spacing w:before="1"/>
        <w:rPr>
          <w:sz w:val="25"/>
        </w:rPr>
      </w:pPr>
    </w:p>
    <w:p>
      <w:pPr>
        <w:spacing w:line="249" w:lineRule="auto" w:before="0"/>
        <w:ind w:left="120" w:right="297" w:firstLine="0"/>
        <w:jc w:val="left"/>
        <w:rPr>
          <w:sz w:val="20"/>
        </w:rPr>
      </w:pPr>
      <w:r>
        <w:rPr/>
        <w:pict>
          <v:line style="position:absolute;mso-position-horizontal-relative:page;mso-position-vertical-relative:paragraph;z-index:-389824" from="273pt,-16.914063pt" to="333pt,-16.914063pt" stroked="true" strokeweight=".5pt" strokecolor="#231f20">
            <v:stroke dashstyle="solid"/>
            <w10:wrap type="none"/>
          </v:line>
        </w:pict>
      </w:r>
      <w:r>
        <w:rPr/>
        <w:pict>
          <v:line style="position:absolute;mso-position-horizontal-relative:page;mso-position-vertical-relative:paragraph;z-index:-389800" from="337pt,-16.914063pt" to="397pt,-16.914063pt" stroked="true" strokeweight=".5pt" strokecolor="#231f20">
            <v:stroke dashstyle="solid"/>
            <w10:wrap type="none"/>
          </v:line>
        </w:pict>
      </w:r>
      <w:r>
        <w:rPr/>
        <w:pict>
          <v:line style="position:absolute;mso-position-horizontal-relative:page;mso-position-vertical-relative:paragraph;z-index:-389776" from="401pt,-16.914063pt" to="461pt,-16.914063pt" stroked="true" strokeweight=".5pt" strokecolor="#231f20">
            <v:stroke dashstyle="solid"/>
            <w10:wrap type="none"/>
          </v:line>
        </w:pict>
      </w:r>
      <w:r>
        <w:rPr/>
        <w:pict>
          <v:line style="position:absolute;mso-position-horizontal-relative:page;mso-position-vertical-relative:paragraph;z-index:-389752" from="465pt,-16.914063pt" to="525pt,-16.914063pt" stroked="true" strokeweight=".5pt" strokecolor="#231f20">
            <v:stroke dashstyle="solid"/>
            <w10:wrap type="none"/>
          </v:line>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60" w:right="1260"/>
        </w:sectPr>
      </w:pPr>
    </w:p>
    <w:p>
      <w:pPr>
        <w:pStyle w:val="BodyText"/>
        <w:spacing w:line="247" w:lineRule="auto" w:before="74"/>
        <w:ind w:left="120" w:right="163"/>
      </w:pPr>
      <w:r>
        <w:rPr>
          <w:color w:val="231F20"/>
        </w:rPr>
        <w:t>In addition, the Company also had the following amounts associated with fuel derivative instruments and hedging activities in its Consolidated Balance Sheet:</w:t>
      </w:r>
    </w:p>
    <w:p>
      <w:pPr>
        <w:pStyle w:val="BodyText"/>
        <w:rPr>
          <w:sz w:val="12"/>
        </w:rPr>
      </w:pPr>
    </w:p>
    <w:p>
      <w:pPr>
        <w:spacing w:after="0"/>
        <w:rPr>
          <w:sz w:val="12"/>
        </w:rPr>
        <w:sectPr>
          <w:pgSz w:w="11880" w:h="15480"/>
          <w:pgMar w:header="0" w:footer="1240" w:top="1240" w:bottom="1420" w:left="1260" w:right="1260"/>
        </w:sectPr>
      </w:pPr>
    </w:p>
    <w:p>
      <w:pPr>
        <w:pStyle w:val="BodyText"/>
        <w:spacing w:before="6"/>
        <w:rPr>
          <w:sz w:val="29"/>
        </w:rPr>
      </w:pPr>
    </w:p>
    <w:p>
      <w:pPr>
        <w:spacing w:before="0"/>
        <w:ind w:left="120" w:right="0" w:firstLine="0"/>
        <w:jc w:val="left"/>
        <w:rPr>
          <w:b/>
          <w:sz w:val="20"/>
        </w:rPr>
      </w:pPr>
      <w:r>
        <w:rPr/>
        <w:pict>
          <v:line style="position:absolute;mso-position-horizontal-relative:page;mso-position-vertical-relative:paragraph;z-index:5824" from="278.299988pt,12.835938pt" to="368.299988pt,12.835938pt" stroked="true" strokeweight="1pt" strokecolor="#231f20">
            <v:stroke dashstyle="solid"/>
            <w10:wrap type="none"/>
          </v:line>
        </w:pict>
      </w:r>
      <w:r>
        <w:rPr>
          <w:b/>
          <w:color w:val="231F20"/>
          <w:sz w:val="20"/>
        </w:rPr>
        <w:t>(in millions)</w:t>
      </w:r>
    </w:p>
    <w:p>
      <w:pPr>
        <w:spacing w:line="249" w:lineRule="auto" w:before="99"/>
        <w:ind w:left="37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before="99"/>
        <w:ind w:left="120" w:right="0" w:firstLine="0"/>
        <w:jc w:val="center"/>
        <w:rPr>
          <w:b/>
          <w:sz w:val="20"/>
        </w:rPr>
      </w:pPr>
      <w:r>
        <w:rPr/>
        <w:br w:type="column"/>
      </w:r>
      <w:r>
        <w:rPr>
          <w:b/>
          <w:color w:val="231F20"/>
          <w:sz w:val="20"/>
        </w:rPr>
        <w:t>December 31,</w:t>
      </w:r>
    </w:p>
    <w:p>
      <w:pPr>
        <w:spacing w:before="9"/>
        <w:ind w:left="118" w:right="0" w:firstLine="0"/>
        <w:jc w:val="center"/>
        <w:rPr>
          <w:b/>
          <w:sz w:val="20"/>
        </w:rPr>
      </w:pPr>
      <w:r>
        <w:rPr>
          <w:b/>
          <w:color w:val="231F20"/>
          <w:sz w:val="20"/>
        </w:rPr>
        <w:t>2015</w:t>
      </w:r>
    </w:p>
    <w:p>
      <w:pPr>
        <w:spacing w:before="99"/>
        <w:ind w:left="101" w:right="198" w:firstLine="0"/>
        <w:jc w:val="center"/>
        <w:rPr>
          <w:b/>
          <w:sz w:val="20"/>
        </w:rPr>
      </w:pPr>
      <w:r>
        <w:rPr/>
        <w:br w:type="column"/>
      </w:r>
      <w:r>
        <w:rPr>
          <w:b/>
          <w:color w:val="231F20"/>
          <w:sz w:val="20"/>
        </w:rPr>
        <w:t>December 31,</w:t>
      </w:r>
    </w:p>
    <w:p>
      <w:pPr>
        <w:spacing w:before="9"/>
        <w:ind w:left="98" w:right="198" w:firstLine="0"/>
        <w:jc w:val="center"/>
        <w:rPr>
          <w:b/>
          <w:sz w:val="20"/>
        </w:rPr>
      </w:pPr>
      <w:r>
        <w:rPr>
          <w:b/>
          <w:color w:val="231F20"/>
          <w:sz w:val="20"/>
        </w:rPr>
        <w:t>2014</w:t>
      </w:r>
    </w:p>
    <w:p>
      <w:pPr>
        <w:spacing w:after="0"/>
        <w:jc w:val="center"/>
        <w:rPr>
          <w:sz w:val="20"/>
        </w:rPr>
        <w:sectPr>
          <w:type w:val="continuous"/>
          <w:pgSz w:w="11880" w:h="15480"/>
          <w:pgMar w:top="1260" w:bottom="280" w:left="1260" w:right="1260"/>
          <w:cols w:num="4" w:equalWidth="0">
            <w:col w:w="1149" w:space="3339"/>
            <w:col w:w="1315" w:space="483"/>
            <w:col w:w="1288" w:space="279"/>
            <w:col w:w="1507"/>
          </w:cols>
        </w:sectPr>
      </w:pPr>
    </w:p>
    <w:p>
      <w:pPr>
        <w:pStyle w:val="BodyText"/>
        <w:spacing w:line="20" w:lineRule="exact"/>
        <w:ind w:left="11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p>
    <w:p>
      <w:pPr>
        <w:spacing w:line="249" w:lineRule="auto" w:before="60"/>
        <w:ind w:left="320" w:right="238" w:hanging="200"/>
        <w:jc w:val="left"/>
        <w:rPr>
          <w:sz w:val="20"/>
        </w:rPr>
      </w:pPr>
      <w:r>
        <w:rPr/>
        <w:pict>
          <v:rect style="position:absolute;margin-left:69pt;margin-top:27.335938pt;width:456pt;height:27pt;mso-position-horizontal-relative:page;mso-position-vertical-relative:paragraph;z-index:-389656" filled="true" fillcolor="#d1d3d4" stroked="false">
            <v:fill type="solid"/>
            <w10:wrap type="none"/>
          </v:rect>
        </w:pict>
      </w:r>
      <w:r>
        <w:rPr>
          <w:color w:val="231F20"/>
          <w:sz w:val="20"/>
        </w:rPr>
        <w:t>Cash collateral deposits provided to counterparties for fuel contracts - current</w:t>
      </w:r>
    </w:p>
    <w:p>
      <w:pPr>
        <w:spacing w:line="249" w:lineRule="auto" w:before="60"/>
        <w:ind w:left="320" w:right="-12" w:hanging="200"/>
        <w:jc w:val="left"/>
        <w:rPr>
          <w:sz w:val="20"/>
        </w:rPr>
      </w:pPr>
      <w:r>
        <w:rPr>
          <w:color w:val="231F20"/>
          <w:sz w:val="20"/>
        </w:rPr>
        <w:t>Cash collateral deposits provided to counterparties for fuel contracts- noncurrent</w:t>
      </w:r>
    </w:p>
    <w:p>
      <w:pPr>
        <w:spacing w:line="249" w:lineRule="auto" w:before="80"/>
        <w:ind w:left="120" w:right="-18" w:firstLine="0"/>
        <w:jc w:val="left"/>
        <w:rPr>
          <w:sz w:val="20"/>
        </w:rPr>
      </w:pPr>
      <w:r>
        <w:rPr/>
        <w:br w:type="column"/>
      </w:r>
      <w:r>
        <w:rPr>
          <w:color w:val="231F20"/>
          <w:sz w:val="20"/>
        </w:rPr>
        <w:t>Offset against Accrued liabilities</w:t>
      </w:r>
    </w:p>
    <w:p>
      <w:pPr>
        <w:spacing w:line="249" w:lineRule="auto" w:before="60"/>
        <w:ind w:left="120" w:right="-18" w:firstLine="0"/>
        <w:jc w:val="left"/>
        <w:rPr>
          <w:sz w:val="20"/>
        </w:rPr>
      </w:pPr>
      <w:r>
        <w:rPr>
          <w:color w:val="231F20"/>
          <w:sz w:val="20"/>
        </w:rPr>
        <w:t>Offset against Other noncurrent liabilities</w:t>
      </w:r>
    </w:p>
    <w:p>
      <w:pPr>
        <w:spacing w:line="20" w:lineRule="exact"/>
        <w:ind w:left="110" w:right="0" w:firstLine="0"/>
        <w:rPr>
          <w:sz w:val="2"/>
        </w:rPr>
      </w:pPr>
      <w:r>
        <w:rPr/>
        <w:br w:type="column"/>
      </w:r>
      <w:r>
        <w:rPr>
          <w:sz w:val="2"/>
        </w:rPr>
        <w:pict>
          <v:group style="width:69.350pt;height:1pt;mso-position-horizontal-relative:char;mso-position-vertical-relative:line" coordorigin="0,0" coordsize="1387,20">
            <v:line style="position:absolute" from="10,10" to="1377,10" stroked="true" strokeweight="1pt" strokecolor="#231f20">
              <v:stroke dashstyle="solid"/>
            </v:line>
          </v:group>
        </w:pict>
      </w:r>
      <w:r>
        <w:rPr>
          <w:sz w:val="2"/>
        </w:rPr>
      </w:r>
      <w:r>
        <w:rPr>
          <w:spacing w:val="167"/>
          <w:sz w:val="2"/>
        </w:rPr>
        <w:t> </w:t>
      </w:r>
      <w:r>
        <w:rPr>
          <w:spacing w:val="167"/>
          <w:sz w:val="2"/>
        </w:rPr>
        <w:pict>
          <v:group style="width:69.350pt;height:1pt;mso-position-horizontal-relative:char;mso-position-vertical-relative:line" coordorigin="0,0" coordsize="1387,20">
            <v:line style="position:absolute" from="10,10" to="1377,10" stroked="true" strokeweight="1pt" strokecolor="#231f20">
              <v:stroke dashstyle="solid"/>
            </v:line>
          </v:group>
        </w:pict>
      </w:r>
      <w:r>
        <w:rPr>
          <w:spacing w:val="167"/>
          <w:sz w:val="2"/>
        </w:rPr>
      </w:r>
    </w:p>
    <w:p>
      <w:pPr>
        <w:tabs>
          <w:tab w:pos="1119" w:val="left" w:leader="none"/>
          <w:tab w:pos="1686" w:val="left" w:leader="none"/>
          <w:tab w:pos="2786" w:val="left" w:leader="none"/>
        </w:tabs>
        <w:spacing w:before="60"/>
        <w:ind w:left="120" w:right="0" w:firstLine="0"/>
        <w:jc w:val="left"/>
        <w:rPr>
          <w:sz w:val="20"/>
        </w:rPr>
      </w:pPr>
      <w:r>
        <w:rPr>
          <w:color w:val="231F20"/>
          <w:sz w:val="20"/>
        </w:rPr>
        <w:t>$</w:t>
        <w:tab/>
        <w:t>235</w:t>
        <w:tab/>
        <w:t>$</w:t>
        <w:tab/>
        <w:t>68</w:t>
      </w:r>
    </w:p>
    <w:p>
      <w:pPr>
        <w:pStyle w:val="BodyText"/>
        <w:spacing w:before="10"/>
        <w:rPr>
          <w:sz w:val="26"/>
        </w:rPr>
      </w:pPr>
    </w:p>
    <w:p>
      <w:pPr>
        <w:tabs>
          <w:tab w:pos="2686" w:val="left" w:leader="none"/>
        </w:tabs>
        <w:spacing w:before="0"/>
        <w:ind w:left="1120" w:right="0" w:firstLine="0"/>
        <w:jc w:val="left"/>
        <w:rPr>
          <w:sz w:val="20"/>
        </w:rPr>
      </w:pPr>
      <w:r>
        <w:rPr>
          <w:color w:val="231F20"/>
          <w:sz w:val="20"/>
        </w:rPr>
        <w:t>600</w:t>
        <w:tab/>
        <w:t>198</w:t>
      </w:r>
    </w:p>
    <w:p>
      <w:pPr>
        <w:spacing w:after="0"/>
        <w:jc w:val="left"/>
        <w:rPr>
          <w:sz w:val="20"/>
        </w:rPr>
        <w:sectPr>
          <w:type w:val="continuous"/>
          <w:pgSz w:w="11880" w:h="15480"/>
          <w:pgMar w:top="1260" w:bottom="280" w:left="1260" w:right="1260"/>
          <w:cols w:num="3" w:equalWidth="0">
            <w:col w:w="3860" w:space="326"/>
            <w:col w:w="1783" w:space="217"/>
            <w:col w:w="3174"/>
          </w:cols>
        </w:sectPr>
      </w:pPr>
    </w:p>
    <w:p>
      <w:pPr>
        <w:tabs>
          <w:tab w:pos="4305" w:val="left" w:leader="none"/>
          <w:tab w:pos="7405" w:val="left" w:leader="none"/>
          <w:tab w:pos="9172" w:val="right" w:leader="none"/>
        </w:tabs>
        <w:spacing w:before="60"/>
        <w:ind w:left="120" w:right="0" w:firstLine="0"/>
        <w:jc w:val="both"/>
        <w:rPr>
          <w:sz w:val="20"/>
        </w:rPr>
      </w:pPr>
      <w:r>
        <w:rPr>
          <w:color w:val="231F20"/>
          <w:sz w:val="20"/>
        </w:rPr>
        <w:t>Due to third parties for</w:t>
      </w:r>
      <w:r>
        <w:rPr>
          <w:color w:val="231F20"/>
          <w:spacing w:val="1"/>
          <w:sz w:val="20"/>
        </w:rPr>
        <w:t> </w:t>
      </w:r>
      <w:r>
        <w:rPr>
          <w:color w:val="231F20"/>
          <w:sz w:val="20"/>
        </w:rPr>
        <w:t>fuel</w:t>
      </w:r>
      <w:r>
        <w:rPr>
          <w:color w:val="231F20"/>
          <w:spacing w:val="1"/>
          <w:sz w:val="20"/>
        </w:rPr>
        <w:t> </w:t>
      </w:r>
      <w:r>
        <w:rPr>
          <w:color w:val="231F20"/>
          <w:sz w:val="20"/>
        </w:rPr>
        <w:t>contracts</w:t>
        <w:tab/>
        <w:t>Accrued liabilities</w:t>
        <w:tab/>
        <w:t>46</w:t>
        <w:tab/>
        <w:t>16</w:t>
      </w:r>
    </w:p>
    <w:p>
      <w:pPr>
        <w:pStyle w:val="BodyText"/>
        <w:spacing w:line="247" w:lineRule="auto" w:before="311"/>
        <w:ind w:left="120" w:right="117"/>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line="247" w:lineRule="auto" w:before="239"/>
        <w:ind w:left="120" w:right="117"/>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9"/>
        <w:rPr>
          <w:sz w:val="20"/>
        </w:rPr>
      </w:pPr>
    </w:p>
    <w:p>
      <w:pPr>
        <w:pStyle w:val="Heading1"/>
        <w:ind w:left="120"/>
      </w:pPr>
      <w:r>
        <w:rPr>
          <w:color w:val="231F20"/>
        </w:rPr>
        <w:t>Offsetting of derivative assets</w:t>
      </w:r>
    </w:p>
    <w:p>
      <w:pPr>
        <w:spacing w:before="65" w:after="16"/>
        <w:ind w:left="160" w:right="0" w:firstLine="0"/>
        <w:jc w:val="both"/>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5944" from="169pt,10.96875pt" to="525pt,10.96875pt" stroked="true" strokeweight=".5pt" strokecolor="#231f20">
            <v:stroke dashstyle="solid"/>
            <w10:wrap type="none"/>
          </v:line>
        </w:pict>
      </w:r>
      <w:r>
        <w:rPr>
          <w:b/>
          <w:color w:val="231F20"/>
          <w:sz w:val="16"/>
        </w:rPr>
        <w:t>December 31, 2015</w:t>
        <w:tab/>
        <w:t>December 31, 2014</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9"/>
        <w:rPr>
          <w:b/>
          <w:sz w:val="21"/>
        </w:rPr>
      </w:pPr>
    </w:p>
    <w:p>
      <w:pPr>
        <w:spacing w:line="172" w:lineRule="exact" w:before="0"/>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172" w:lineRule="exact" w:before="63"/>
        <w:ind w:left="93" w:right="88" w:firstLine="0"/>
        <w:jc w:val="left"/>
        <w:rPr>
          <w:sz w:val="16"/>
        </w:rPr>
      </w:pPr>
      <w:r>
        <w:rPr/>
        <w:pict>
          <v:group style="position:absolute;margin-left:68.5pt;margin-top:.430024pt;width:457pt;height:38.4pt;mso-position-horizontal-relative:page;mso-position-vertical-relative:paragraph;z-index:-389584" coordorigin="1370,9" coordsize="9140,768">
            <v:rect style="position:absolute;left:1380;top:29;width:9120;height:748"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380,19" to="4500,19" stroked="true" strokeweight="1pt" strokecolor="#231f20">
              <v:stroke dashstyle="solid"/>
            </v:line>
            <v:line style="position:absolute" from="4620,19" to="5700,19" stroked="true" strokeweight="1pt" strokecolor="#231f20">
              <v:stroke dashstyle="solid"/>
            </v:line>
            <v:line style="position:absolute" from="5780,19" to="6900,19" stroked="true" strokeweight="1pt" strokecolor="#231f20">
              <v:stroke dashstyle="solid"/>
            </v:line>
            <v:line style="position:absolute" from="7100,19" to="8100,19" stroked="true" strokeweight="1pt" strokecolor="#231f20">
              <v:stroke dashstyle="solid"/>
            </v:line>
            <v:line style="position:absolute" from="8180,19" to="9300,19" stroked="true" strokeweight="1pt" strokecolor="#231f20">
              <v:stroke dashstyle="solid"/>
            </v:line>
            <v:line style="position:absolute" from="946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86"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15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r>
        <w:rPr>
          <w:b/>
          <w:color w:val="231F20"/>
          <w:spacing w:val="-1"/>
          <w:sz w:val="16"/>
        </w:rPr>
        <w:t> </w:t>
      </w:r>
      <w:r>
        <w:rPr>
          <w:b/>
          <w:color w:val="231F20"/>
          <w:sz w:val="16"/>
        </w:rPr>
        <w:t>(a)</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39" w:right="109" w:hanging="2"/>
        <w:jc w:val="center"/>
        <w:rPr>
          <w:b/>
          <w:sz w:val="16"/>
        </w:rPr>
      </w:pPr>
      <w:r>
        <w:rPr/>
        <w:br w:type="column"/>
      </w:r>
      <w:r>
        <w:rPr>
          <w:b/>
          <w:color w:val="231F20"/>
          <w:sz w:val="16"/>
        </w:rPr>
        <w:t>Net amounts of assets presented in</w:t>
      </w:r>
      <w:r>
        <w:rPr>
          <w:b/>
          <w:color w:val="231F20"/>
          <w:spacing w:val="-1"/>
          <w:sz w:val="16"/>
        </w:rPr>
        <w:t> </w:t>
      </w:r>
      <w:r>
        <w:rPr>
          <w:b/>
          <w:color w:val="231F20"/>
          <w:sz w:val="16"/>
        </w:rPr>
        <w:t>the</w:t>
      </w:r>
      <w:r>
        <w:rPr>
          <w:b/>
          <w:color w:val="231F20"/>
          <w:spacing w:val="-1"/>
          <w:sz w:val="16"/>
        </w:rPr>
        <w:t> </w:t>
      </w:r>
      <w:r>
        <w:rPr>
          <w:b/>
          <w:color w:val="231F20"/>
          <w:sz w:val="16"/>
        </w:rPr>
        <w:t>Balance Sheet (a)</w:t>
      </w:r>
    </w:p>
    <w:p>
      <w:pPr>
        <w:spacing w:after="0" w:line="261" w:lineRule="auto"/>
        <w:jc w:val="center"/>
        <w:rPr>
          <w:sz w:val="16"/>
        </w:rPr>
        <w:sectPr>
          <w:type w:val="continuous"/>
          <w:pgSz w:w="11880" w:h="15480"/>
          <w:pgMar w:top="1260" w:bottom="280" w:left="1260" w:right="1240"/>
          <w:cols w:num="8" w:equalWidth="0">
            <w:col w:w="952" w:space="40"/>
            <w:col w:w="1050" w:space="40"/>
            <w:col w:w="1113" w:space="40"/>
            <w:col w:w="1180" w:space="40"/>
            <w:col w:w="1176" w:space="40"/>
            <w:col w:w="1186" w:space="40"/>
            <w:col w:w="1100" w:space="40"/>
            <w:col w:w="1343"/>
          </w:cols>
        </w:sectPr>
      </w:pPr>
    </w:p>
    <w:p>
      <w:pPr>
        <w:spacing w:line="172" w:lineRule="exact" w:before="0"/>
        <w:ind w:left="160" w:right="0" w:firstLine="0"/>
        <w:jc w:val="left"/>
        <w:rPr>
          <w:sz w:val="16"/>
        </w:rPr>
      </w:pPr>
      <w:r>
        <w:rPr>
          <w:color w:val="231F20"/>
          <w:sz w:val="16"/>
        </w:rPr>
        <w:t>contracts</w:t>
      </w:r>
    </w:p>
    <w:p>
      <w:pPr>
        <w:spacing w:line="172" w:lineRule="exact" w:before="59"/>
        <w:ind w:left="160" w:right="-20" w:firstLine="0"/>
        <w:jc w:val="left"/>
        <w:rPr>
          <w:sz w:val="16"/>
        </w:rPr>
      </w:pPr>
      <w:r>
        <w:rPr>
          <w:color w:val="231F20"/>
          <w:sz w:val="16"/>
        </w:rPr>
        <w:t>Fuel derivative</w:t>
      </w:r>
    </w:p>
    <w:p>
      <w:pPr>
        <w:tabs>
          <w:tab w:pos="1194" w:val="left" w:leader="none"/>
          <w:tab w:pos="2101" w:val="left" w:leader="none"/>
          <w:tab w:pos="3248" w:val="left" w:leader="none"/>
          <w:tab w:pos="4501" w:val="left" w:leader="none"/>
          <w:tab w:pos="4914" w:val="left" w:leader="none"/>
          <w:tab w:pos="5701" w:val="left" w:leader="none"/>
          <w:tab w:pos="6901" w:val="left" w:leader="none"/>
          <w:tab w:pos="7274" w:val="left" w:leader="none"/>
          <w:tab w:pos="8101" w:val="left" w:leader="none"/>
        </w:tabs>
        <w:spacing w:line="172" w:lineRule="exact" w:before="0"/>
        <w:ind w:left="160" w:right="0" w:firstLine="0"/>
        <w:jc w:val="left"/>
        <w:rPr>
          <w:sz w:val="16"/>
        </w:rPr>
      </w:pPr>
      <w:r>
        <w:rPr/>
        <w:br w:type="column"/>
      </w:r>
      <w:r>
        <w:rPr>
          <w:color w:val="231F20"/>
          <w:sz w:val="16"/>
        </w:rPr>
        <w:t>assets</w:t>
        <w:tab/>
        <w:t>$</w:t>
        <w:tab/>
        <w:t>41   </w:t>
      </w:r>
      <w:r>
        <w:rPr>
          <w:color w:val="231F20"/>
          <w:spacing w:val="13"/>
          <w:sz w:val="16"/>
        </w:rPr>
        <w:t> </w:t>
      </w:r>
      <w:r>
        <w:rPr>
          <w:color w:val="231F20"/>
          <w:sz w:val="16"/>
        </w:rPr>
        <w:t>$</w:t>
        <w:tab/>
        <w:t>(26)</w:t>
      </w:r>
      <w:r>
        <w:rPr>
          <w:color w:val="231F20"/>
          <w:spacing w:val="39"/>
          <w:sz w:val="16"/>
        </w:rPr>
        <w:t> </w:t>
      </w:r>
      <w:r>
        <w:rPr>
          <w:color w:val="231F20"/>
          <w:sz w:val="16"/>
        </w:rPr>
        <w:t>$</w:t>
        <w:tab/>
        <w:t>15</w:t>
        <w:tab/>
        <w:t>$</w:t>
        <w:tab/>
        <w:t>—  </w:t>
      </w:r>
      <w:r>
        <w:rPr>
          <w:color w:val="231F20"/>
          <w:spacing w:val="13"/>
          <w:sz w:val="16"/>
        </w:rPr>
        <w:t> </w:t>
      </w:r>
      <w:r>
        <w:rPr>
          <w:color w:val="231F20"/>
          <w:sz w:val="16"/>
        </w:rPr>
        <w:t>$</w:t>
        <w:tab/>
        <w:t>—</w:t>
        <w:tab/>
        <w:t>$</w:t>
        <w:tab/>
        <w:t>—</w:t>
      </w:r>
    </w:p>
    <w:p>
      <w:pPr>
        <w:spacing w:after="0" w:line="172" w:lineRule="exact"/>
        <w:jc w:val="left"/>
        <w:rPr>
          <w:sz w:val="16"/>
        </w:rPr>
        <w:sectPr>
          <w:type w:val="continuous"/>
          <w:pgSz w:w="11880" w:h="15480"/>
          <w:pgMar w:top="1260" w:bottom="280" w:left="1260" w:right="1240"/>
          <w:cols w:num="2" w:equalWidth="0">
            <w:col w:w="800" w:space="125"/>
            <w:col w:w="8455"/>
          </w:cols>
        </w:sectPr>
      </w:pPr>
    </w:p>
    <w:p>
      <w:pPr>
        <w:tabs>
          <w:tab w:pos="1084" w:val="left" w:leader="none"/>
          <w:tab w:pos="2119" w:val="left" w:leader="none"/>
          <w:tab w:pos="3106" w:val="left" w:leader="none"/>
          <w:tab w:pos="4226" w:val="left" w:leader="none"/>
          <w:tab w:pos="5506" w:val="left" w:leader="none"/>
          <w:tab w:pos="5839" w:val="left" w:leader="none"/>
          <w:tab w:pos="6626" w:val="left" w:leader="none"/>
          <w:tab w:pos="7826" w:val="left" w:leader="none"/>
          <w:tab w:pos="8199" w:val="left" w:leader="none"/>
          <w:tab w:pos="9026" w:val="left" w:leader="none"/>
        </w:tabs>
        <w:spacing w:line="171" w:lineRule="exact"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7   </w:t>
      </w:r>
      <w:r>
        <w:rPr>
          <w:color w:val="231F20"/>
          <w:spacing w:val="13"/>
          <w:sz w:val="16"/>
        </w:rPr>
        <w:t> </w:t>
      </w:r>
      <w:r>
        <w:rPr>
          <w:color w:val="231F20"/>
          <w:sz w:val="16"/>
        </w:rPr>
        <w:t>$</w:t>
        <w:tab/>
        <w:t>—  </w:t>
      </w:r>
      <w:r>
        <w:rPr>
          <w:color w:val="231F20"/>
          <w:spacing w:val="13"/>
          <w:sz w:val="16"/>
        </w:rPr>
        <w:t> </w:t>
      </w:r>
      <w:r>
        <w:rPr>
          <w:color w:val="231F20"/>
          <w:sz w:val="16"/>
        </w:rPr>
        <w:t>$</w:t>
        <w:tab/>
        <w:t>7</w:t>
        <w:tab/>
        <w:t>$</w:t>
        <w:tab/>
        <w:t>—  </w:t>
      </w:r>
      <w:r>
        <w:rPr>
          <w:color w:val="231F20"/>
          <w:spacing w:val="13"/>
          <w:sz w:val="16"/>
        </w:rPr>
        <w:t> </w:t>
      </w:r>
      <w:r>
        <w:rPr>
          <w:color w:val="231F20"/>
          <w:sz w:val="16"/>
        </w:rPr>
        <w:t>$</w:t>
        <w:tab/>
        <w:t>—</w:t>
        <w:tab/>
        <w:t>$</w:t>
        <w:tab/>
        <w:t>—</w:t>
      </w:r>
    </w:p>
    <w:p>
      <w:pPr>
        <w:spacing w:line="178" w:lineRule="exact" w:before="48"/>
        <w:ind w:left="160" w:right="0" w:firstLine="0"/>
        <w:jc w:val="left"/>
        <w:rPr>
          <w:sz w:val="16"/>
        </w:rPr>
      </w:pPr>
      <w:r>
        <w:rPr/>
        <w:pict>
          <v:rect style="position:absolute;margin-left:69pt;margin-top:1.268762pt;width:456pt;height:28.8pt;mso-position-horizontal-relative:page;mso-position-vertical-relative:paragraph;z-index:-389560" filled="true" fillcolor="#d1d3d4" stroked="false">
            <v:fill type="solid"/>
            <w10:wrap type="none"/>
          </v:rect>
        </w:pict>
      </w:r>
      <w:r>
        <w:rPr>
          <w:color w:val="231F20"/>
          <w:sz w:val="16"/>
        </w:rPr>
        <w:t>Fuel</w:t>
      </w:r>
    </w:p>
    <w:p>
      <w:pPr>
        <w:spacing w:after="0" w:line="178" w:lineRule="exact"/>
        <w:jc w:val="left"/>
        <w:rPr>
          <w:sz w:val="16"/>
        </w:rPr>
        <w:sectPr>
          <w:type w:val="continuous"/>
          <w:pgSz w:w="11880" w:h="15480"/>
          <w:pgMar w:top="1260" w:bottom="280" w:left="1260" w:right="1240"/>
        </w:sectPr>
      </w:pPr>
    </w:p>
    <w:p>
      <w:pPr>
        <w:spacing w:line="172" w:lineRule="exact" w:before="6"/>
        <w:ind w:left="160" w:right="98" w:firstLine="0"/>
        <w:jc w:val="left"/>
        <w:rPr>
          <w:sz w:val="16"/>
        </w:rPr>
      </w:pPr>
      <w:r>
        <w:rPr>
          <w:color w:val="231F20"/>
          <w:sz w:val="16"/>
        </w:rPr>
        <w:t>derivative contracts</w:t>
      </w:r>
    </w:p>
    <w:p>
      <w:pPr>
        <w:spacing w:line="172" w:lineRule="exact" w:before="59"/>
        <w:ind w:left="160" w:right="-20" w:firstLine="0"/>
        <w:jc w:val="left"/>
        <w:rPr>
          <w:sz w:val="16"/>
        </w:rPr>
      </w:pPr>
      <w:r>
        <w:rPr/>
        <w:pict>
          <v:rect style="position:absolute;margin-left:69pt;margin-top:30.029993pt;width:456pt;height:28.8pt;mso-position-horizontal-relative:page;mso-position-vertical-relative:paragraph;z-index:-389536" filled="true" fillcolor="#d1d3d4" stroked="false">
            <v:fill type="solid"/>
            <w10:wrap type="none"/>
          </v:rect>
        </w:pict>
      </w:r>
      <w:r>
        <w:rPr>
          <w:color w:val="231F20"/>
          <w:sz w:val="16"/>
        </w:rPr>
        <w:t>Fuel derivative contracts</w:t>
      </w:r>
    </w:p>
    <w:p>
      <w:pPr>
        <w:spacing w:line="172" w:lineRule="exact" w:before="59"/>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w:t>
      </w:r>
    </w:p>
    <w:p>
      <w:pPr>
        <w:spacing w:line="172" w:lineRule="exact" w:before="0"/>
        <w:ind w:left="127" w:right="0" w:firstLine="0"/>
        <w:jc w:val="left"/>
        <w:rPr>
          <w:sz w:val="16"/>
        </w:rPr>
      </w:pPr>
      <w:r>
        <w:rPr/>
        <w:br w:type="column"/>
      </w:r>
      <w:r>
        <w:rPr>
          <w:color w:val="231F20"/>
          <w:sz w:val="16"/>
        </w:rPr>
        <w:t>Accrued</w:t>
      </w:r>
    </w:p>
    <w:p>
      <w:pPr>
        <w:tabs>
          <w:tab w:pos="1162" w:val="left" w:leader="none"/>
          <w:tab w:pos="1869" w:val="left" w:leader="none"/>
          <w:tab w:pos="3016" w:val="left" w:leader="none"/>
          <w:tab w:pos="4469" w:val="left" w:leader="none"/>
          <w:tab w:pos="4882" w:val="left" w:leader="none"/>
          <w:tab w:pos="5469" w:val="left" w:leader="none"/>
          <w:tab w:pos="6616" w:val="left" w:leader="none"/>
          <w:tab w:pos="8069" w:val="left" w:leader="none"/>
        </w:tabs>
        <w:spacing w:line="178" w:lineRule="exact" w:before="0"/>
        <w:ind w:left="127" w:right="0" w:firstLine="0"/>
        <w:jc w:val="left"/>
        <w:rPr>
          <w:sz w:val="16"/>
        </w:rPr>
      </w:pPr>
      <w:r>
        <w:rPr>
          <w:color w:val="231F20"/>
          <w:sz w:val="16"/>
        </w:rPr>
        <w:t>liabilities</w:t>
        <w:tab/>
        <w:t>$</w:t>
        <w:tab/>
        <w:t>1,737   </w:t>
      </w:r>
      <w:r>
        <w:rPr>
          <w:color w:val="231F20"/>
          <w:spacing w:val="13"/>
          <w:sz w:val="16"/>
        </w:rPr>
        <w:t> </w:t>
      </w:r>
      <w:r>
        <w:rPr>
          <w:color w:val="231F20"/>
          <w:sz w:val="16"/>
        </w:rPr>
        <w:t>$</w:t>
        <w:tab/>
        <w:t>(1,737)</w:t>
      </w:r>
      <w:r>
        <w:rPr>
          <w:color w:val="231F20"/>
          <w:spacing w:val="39"/>
          <w:sz w:val="16"/>
        </w:rPr>
        <w:t> </w:t>
      </w:r>
      <w:r>
        <w:rPr>
          <w:color w:val="231F20"/>
          <w:sz w:val="16"/>
        </w:rPr>
        <w:t>$</w:t>
        <w:tab/>
        <w:t>—</w:t>
        <w:tab/>
        <w:t>$</w:t>
        <w:tab/>
        <w:t>1,258  </w:t>
      </w:r>
      <w:r>
        <w:rPr>
          <w:color w:val="231F20"/>
          <w:spacing w:val="13"/>
          <w:sz w:val="16"/>
        </w:rPr>
        <w:t> </w:t>
      </w:r>
      <w:r>
        <w:rPr>
          <w:color w:val="231F20"/>
          <w:sz w:val="16"/>
        </w:rPr>
        <w:t>$</w:t>
        <w:tab/>
        <w:t>(1,258)  </w:t>
      </w:r>
      <w:r>
        <w:rPr>
          <w:color w:val="231F20"/>
          <w:spacing w:val="39"/>
          <w:sz w:val="16"/>
        </w:rPr>
        <w:t> </w:t>
      </w:r>
      <w:r>
        <w:rPr>
          <w:color w:val="231F20"/>
          <w:sz w:val="16"/>
        </w:rPr>
        <w:t>$</w:t>
        <w:tab/>
        <w:t>—</w:t>
      </w:r>
    </w:p>
    <w:p>
      <w:pPr>
        <w:spacing w:line="172" w:lineRule="exact" w:before="59"/>
        <w:ind w:left="127" w:right="7581" w:firstLine="0"/>
        <w:jc w:val="left"/>
        <w:rPr>
          <w:sz w:val="16"/>
        </w:rPr>
      </w:pPr>
      <w:r>
        <w:rPr>
          <w:color w:val="231F20"/>
          <w:sz w:val="16"/>
        </w:rPr>
        <w:t>Other noncurrent</w:t>
      </w:r>
    </w:p>
    <w:p>
      <w:pPr>
        <w:tabs>
          <w:tab w:pos="1162" w:val="left" w:leader="none"/>
          <w:tab w:pos="1989" w:val="left" w:leader="none"/>
          <w:tab w:pos="3136" w:val="left" w:leader="none"/>
          <w:tab w:pos="4469" w:val="left" w:leader="none"/>
          <w:tab w:pos="4882" w:val="left" w:leader="none"/>
          <w:tab w:pos="5589" w:val="left" w:leader="none"/>
          <w:tab w:pos="6736" w:val="left" w:leader="none"/>
          <w:tab w:pos="8069" w:val="left" w:leader="none"/>
        </w:tabs>
        <w:spacing w:line="172" w:lineRule="exact" w:before="0"/>
        <w:ind w:left="127" w:right="0" w:firstLine="0"/>
        <w:jc w:val="left"/>
        <w:rPr>
          <w:sz w:val="16"/>
        </w:rPr>
      </w:pPr>
      <w:r>
        <w:rPr>
          <w:color w:val="231F20"/>
          <w:sz w:val="16"/>
        </w:rPr>
        <w:t>liabilities</w:t>
        <w:tab/>
        <w:t>$</w:t>
        <w:tab/>
        <w:t>985   </w:t>
      </w:r>
      <w:r>
        <w:rPr>
          <w:color w:val="231F20"/>
          <w:spacing w:val="13"/>
          <w:sz w:val="16"/>
        </w:rPr>
        <w:t> </w:t>
      </w:r>
      <w:r>
        <w:rPr>
          <w:color w:val="231F20"/>
          <w:sz w:val="16"/>
        </w:rPr>
        <w:t>$</w:t>
        <w:tab/>
        <w:t>(985)</w:t>
      </w:r>
      <w:r>
        <w:rPr>
          <w:color w:val="231F20"/>
          <w:spacing w:val="39"/>
          <w:sz w:val="16"/>
        </w:rPr>
        <w:t> </w:t>
      </w:r>
      <w:r>
        <w:rPr>
          <w:color w:val="231F20"/>
          <w:sz w:val="16"/>
        </w:rPr>
        <w:t>$</w:t>
        <w:tab/>
        <w:t>—</w:t>
        <w:tab/>
        <w:t>$</w:t>
        <w:tab/>
        <w:t>355  </w:t>
      </w:r>
      <w:r>
        <w:rPr>
          <w:color w:val="231F20"/>
          <w:spacing w:val="13"/>
          <w:sz w:val="16"/>
        </w:rPr>
        <w:t> </w:t>
      </w:r>
      <w:r>
        <w:rPr>
          <w:color w:val="231F20"/>
          <w:sz w:val="16"/>
        </w:rPr>
        <w:t>$</w:t>
        <w:tab/>
        <w:t>(355)  </w:t>
      </w:r>
      <w:r>
        <w:rPr>
          <w:color w:val="231F20"/>
          <w:spacing w:val="39"/>
          <w:sz w:val="16"/>
        </w:rPr>
        <w:t> </w:t>
      </w:r>
      <w:r>
        <w:rPr>
          <w:color w:val="231F20"/>
          <w:sz w:val="16"/>
        </w:rPr>
        <w:t>$</w:t>
        <w:tab/>
        <w:t>—</w:t>
      </w:r>
    </w:p>
    <w:p>
      <w:pPr>
        <w:spacing w:after="0" w:line="172" w:lineRule="exact"/>
        <w:jc w:val="left"/>
        <w:rPr>
          <w:sz w:val="16"/>
        </w:rPr>
        <w:sectPr>
          <w:type w:val="continuous"/>
          <w:pgSz w:w="11880" w:h="15480"/>
          <w:pgMar w:top="1260" w:bottom="280" w:left="1260" w:right="1240"/>
          <w:cols w:num="2" w:equalWidth="0">
            <w:col w:w="918" w:space="40"/>
            <w:col w:w="8422"/>
          </w:cols>
        </w:sectPr>
      </w:pPr>
    </w:p>
    <w:p>
      <w:pPr>
        <w:tabs>
          <w:tab w:pos="1084" w:val="left" w:leader="none"/>
          <w:tab w:pos="2119" w:val="left" w:leader="none"/>
          <w:tab w:pos="3106" w:val="left" w:leader="none"/>
          <w:tab w:pos="4226" w:val="left" w:leader="none"/>
          <w:tab w:pos="5506" w:val="left" w:leader="none"/>
          <w:tab w:pos="5839" w:val="left" w:leader="none"/>
          <w:tab w:pos="6626" w:val="left" w:leader="none"/>
          <w:tab w:pos="7826" w:val="left" w:leader="none"/>
          <w:tab w:pos="8199" w:val="left" w:leader="none"/>
          <w:tab w:pos="9186" w:val="right" w:leader="none"/>
        </w:tabs>
        <w:spacing w:line="172" w:lineRule="exact"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2   </w:t>
      </w:r>
      <w:r>
        <w:rPr>
          <w:color w:val="231F20"/>
          <w:spacing w:val="13"/>
          <w:sz w:val="16"/>
        </w:rPr>
        <w:t> </w:t>
      </w:r>
      <w:r>
        <w:rPr>
          <w:color w:val="231F20"/>
          <w:sz w:val="16"/>
        </w:rPr>
        <w:t>$</w:t>
        <w:tab/>
        <w:t>—  </w:t>
      </w:r>
      <w:r>
        <w:rPr>
          <w:color w:val="231F20"/>
          <w:spacing w:val="13"/>
          <w:sz w:val="16"/>
        </w:rPr>
        <w:t> </w:t>
      </w:r>
      <w:r>
        <w:rPr>
          <w:color w:val="231F20"/>
          <w:sz w:val="16"/>
        </w:rPr>
        <w:t>$</w:t>
        <w:tab/>
        <w:t>2</w:t>
        <w:tab/>
        <w:t>$</w:t>
        <w:tab/>
        <w:t>13  </w:t>
      </w:r>
      <w:r>
        <w:rPr>
          <w:color w:val="231F20"/>
          <w:spacing w:val="13"/>
          <w:sz w:val="16"/>
        </w:rPr>
        <w:t> </w:t>
      </w:r>
      <w:r>
        <w:rPr>
          <w:color w:val="231F20"/>
          <w:sz w:val="16"/>
        </w:rPr>
        <w:t>$</w:t>
        <w:tab/>
        <w:t>—</w:t>
        <w:tab/>
        <w:t>$</w:t>
        <w:tab/>
        <w:t>13</w:t>
      </w:r>
    </w:p>
    <w:p>
      <w:pPr>
        <w:spacing w:line="249" w:lineRule="auto" w:before="318"/>
        <w:ind w:left="120" w:right="391" w:firstLine="0"/>
        <w:jc w:val="left"/>
        <w:rPr>
          <w:sz w:val="20"/>
        </w:rPr>
      </w:pPr>
      <w:r>
        <w:rPr/>
        <w:pict>
          <v:line style="position:absolute;mso-position-horizontal-relative:page;mso-position-vertical-relative:paragraph;z-index:6016" from="69.25pt,49.485931pt" to="524.75pt,49.485931pt" stroked="true" strokeweight=".5pt" strokecolor="#231f20">
            <v:stroke dashstyle="solid"/>
            <w10:wrap type="none"/>
          </v:line>
        </w:pict>
      </w:r>
      <w:r>
        <w:rPr>
          <w:color w:val="231F20"/>
          <w:sz w:val="20"/>
        </w:rPr>
        <w:t>(a) The net amounts of derivative assets and liabilities are reconciled to the individual line item amounts presented in the Consolidated Balance Sheet in Note 5.</w:t>
      </w:r>
    </w:p>
    <w:p>
      <w:pPr>
        <w:tabs>
          <w:tab w:pos="3802" w:val="left" w:leader="none"/>
          <w:tab w:pos="4644" w:val="left" w:leader="none"/>
          <w:tab w:pos="6284" w:val="left" w:leader="none"/>
          <w:tab w:pos="7402" w:val="left" w:leader="none"/>
          <w:tab w:pos="8244" w:val="left" w:leader="none"/>
        </w:tabs>
        <w:spacing w:before="238"/>
        <w:ind w:left="262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912" w:val="left" w:leader="none"/>
        </w:tabs>
        <w:spacing w:before="16"/>
        <w:ind w:left="3253" w:right="0" w:firstLine="0"/>
        <w:jc w:val="left"/>
        <w:rPr>
          <w:b/>
          <w:sz w:val="16"/>
        </w:rPr>
      </w:pPr>
      <w:r>
        <w:rPr/>
        <w:pict>
          <v:line style="position:absolute;mso-position-horizontal-relative:page;mso-position-vertical-relative:paragraph;z-index:6040" from="171pt,11.018744pt" to="525pt,11.018744pt" stroked="true" strokeweight=".5pt" strokecolor="#231f20">
            <v:stroke dashstyle="solid"/>
            <w10:wrap type="none"/>
          </v:line>
        </w:pict>
      </w:r>
      <w:r>
        <w:rPr>
          <w:b/>
          <w:color w:val="231F20"/>
          <w:sz w:val="16"/>
        </w:rPr>
        <w:t>December 31, 2015</w:t>
        <w:tab/>
        <w:t>December 31, 2014</w:t>
      </w:r>
    </w:p>
    <w:p>
      <w:pPr>
        <w:spacing w:after="0"/>
        <w:jc w:val="left"/>
        <w:rPr>
          <w:sz w:val="16"/>
        </w:rPr>
        <w:sectPr>
          <w:type w:val="continuous"/>
          <w:pgSz w:w="11880" w:h="15480"/>
          <w:pgMar w:top="1260" w:bottom="280" w:left="1260" w:right="1240"/>
        </w:sectPr>
      </w:pPr>
    </w:p>
    <w:p>
      <w:pPr>
        <w:spacing w:before="876"/>
        <w:ind w:left="160" w:right="0" w:firstLine="0"/>
        <w:jc w:val="left"/>
        <w:rPr>
          <w:b/>
          <w:sz w:val="16"/>
        </w:rPr>
      </w:pPr>
      <w:r>
        <w:rPr>
          <w:b/>
          <w:color w:val="231F20"/>
          <w:sz w:val="16"/>
        </w:rPr>
        <w:t>Description</w:t>
      </w:r>
    </w:p>
    <w:p>
      <w:pPr>
        <w:spacing w:line="172" w:lineRule="exact" w:before="252"/>
        <w:ind w:left="160" w:right="132" w:firstLine="0"/>
        <w:jc w:val="left"/>
        <w:rPr>
          <w:sz w:val="16"/>
        </w:rPr>
      </w:pPr>
      <w:r>
        <w:rPr>
          <w:color w:val="231F20"/>
          <w:sz w:val="16"/>
        </w:rPr>
        <w:t>Fuel derivative</w:t>
      </w:r>
    </w:p>
    <w:p>
      <w:pPr>
        <w:spacing w:line="261" w:lineRule="auto" w:before="676"/>
        <w:ind w:left="300" w:right="-19" w:hanging="207"/>
        <w:jc w:val="left"/>
        <w:rPr>
          <w:b/>
          <w:sz w:val="16"/>
        </w:rPr>
      </w:pPr>
      <w:r>
        <w:rPr/>
        <w:br w:type="column"/>
      </w:r>
      <w:r>
        <w:rPr>
          <w:b/>
          <w:color w:val="231F20"/>
          <w:sz w:val="16"/>
        </w:rPr>
        <w:t>Balance Sheet location</w:t>
      </w:r>
    </w:p>
    <w:p>
      <w:pPr>
        <w:spacing w:line="172" w:lineRule="exact" w:before="64"/>
        <w:ind w:left="93" w:right="88" w:firstLine="0"/>
        <w:jc w:val="left"/>
        <w:rPr>
          <w:sz w:val="16"/>
        </w:rPr>
      </w:pPr>
      <w:r>
        <w:rPr/>
        <w:pict>
          <v:group style="position:absolute;margin-left:68.5pt;margin-top:.479988pt;width:457pt;height:38.4pt;mso-position-horizontal-relative:page;mso-position-vertical-relative:paragraph;z-index:-389488" coordorigin="1370,10" coordsize="9140,768">
            <v:rect style="position:absolute;left:1380;top:30;width:9120;height:748" filled="true" fillcolor="#d1d3d4" stroked="false">
              <v:fill type="solid"/>
            </v:rect>
            <v:line style="position:absolute" from="1380,20" to="2225,20" stroked="true" strokeweight="1pt" strokecolor="#231f20">
              <v:stroke dashstyle="solid"/>
            </v:line>
            <v:line style="position:absolute" from="2345,20" to="3300,20" stroked="true" strokeweight="1pt" strokecolor="#231f20">
              <v:stroke dashstyle="solid"/>
            </v:line>
            <v:line style="position:absolute" from="3420,20" to="4500,20" stroked="true" strokeweight="1pt" strokecolor="#231f20">
              <v:stroke dashstyle="solid"/>
            </v:line>
            <v:line style="position:absolute" from="4620,20" to="5700,20" stroked="true" strokeweight="1pt" strokecolor="#231f20">
              <v:stroke dashstyle="solid"/>
            </v:line>
            <v:line style="position:absolute" from="5820,20" to="6900,20" stroked="true" strokeweight="1pt" strokecolor="#231f20">
              <v:stroke dashstyle="solid"/>
            </v:line>
            <v:line style="position:absolute" from="7140,20" to="8100,20" stroked="true" strokeweight="1pt" strokecolor="#231f20">
              <v:stroke dashstyle="solid"/>
            </v:line>
            <v:line style="position:absolute" from="8220,20" to="9300,20" stroked="true" strokeweight="1pt" strokecolor="#231f20">
              <v:stroke dashstyle="solid"/>
            </v:line>
            <v:line style="position:absolute" from="9420,20" to="10500,20" stroked="true" strokeweight="1pt" strokecolor="#231f20">
              <v:stroke dashstyle="solid"/>
            </v:line>
            <w10:wrap type="none"/>
          </v:group>
        </w:pict>
      </w:r>
      <w:r>
        <w:rPr>
          <w:color w:val="231F20"/>
          <w:sz w:val="16"/>
        </w:rPr>
        <w:t>Prepaid expenses and other current</w:t>
      </w:r>
    </w:p>
    <w:p>
      <w:pPr>
        <w:spacing w:line="261" w:lineRule="auto" w:before="476"/>
        <w:ind w:left="106" w:right="0" w:firstLine="0"/>
        <w:jc w:val="center"/>
        <w:rPr>
          <w:b/>
          <w:sz w:val="16"/>
        </w:rPr>
      </w:pPr>
      <w:r>
        <w:rPr/>
        <w:br w:type="column"/>
      </w:r>
      <w:r>
        <w:rPr>
          <w:b/>
          <w:color w:val="231F20"/>
          <w:sz w:val="16"/>
        </w:rPr>
        <w:t>Gross amounts</w:t>
      </w:r>
      <w:r>
        <w:rPr>
          <w:b/>
          <w:color w:val="231F20"/>
          <w:w w:val="99"/>
          <w:sz w:val="16"/>
        </w:rPr>
        <w:t> </w:t>
      </w:r>
      <w:r>
        <w:rPr>
          <w:b/>
          <w:color w:val="231F20"/>
          <w:sz w:val="16"/>
        </w:rPr>
        <w:t>of recognized liabilities</w:t>
      </w:r>
    </w:p>
    <w:p>
      <w:pPr>
        <w:spacing w:line="261" w:lineRule="auto" w:before="476"/>
        <w:ind w:left="134" w:right="0" w:firstLine="0"/>
        <w:jc w:val="center"/>
        <w:rPr>
          <w:b/>
          <w:sz w:val="16"/>
        </w:rPr>
      </w:pPr>
      <w:r>
        <w:rPr/>
        <w:br w:type="column"/>
      </w: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6"/>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 Sheet (a)</w:t>
      </w:r>
    </w:p>
    <w:p>
      <w:pPr>
        <w:spacing w:line="261" w:lineRule="auto" w:before="476"/>
        <w:ind w:left="159" w:right="0" w:firstLine="0"/>
        <w:jc w:val="center"/>
        <w:rPr>
          <w:b/>
          <w:sz w:val="16"/>
        </w:rPr>
      </w:pPr>
      <w:r>
        <w:rPr/>
        <w:br w:type="column"/>
      </w:r>
      <w:r>
        <w:rPr>
          <w:b/>
          <w:color w:val="231F20"/>
          <w:sz w:val="16"/>
        </w:rPr>
        <w:t>Gross amounts</w:t>
      </w:r>
      <w:r>
        <w:rPr>
          <w:b/>
          <w:color w:val="231F20"/>
          <w:w w:val="99"/>
          <w:sz w:val="16"/>
        </w:rPr>
        <w:t> </w:t>
      </w:r>
      <w:r>
        <w:rPr>
          <w:b/>
          <w:color w:val="231F20"/>
          <w:sz w:val="16"/>
        </w:rPr>
        <w:t>of recognized liabilities</w:t>
      </w:r>
    </w:p>
    <w:p>
      <w:pPr>
        <w:spacing w:line="261" w:lineRule="auto" w:before="476"/>
        <w:ind w:left="73" w:right="0" w:firstLine="0"/>
        <w:jc w:val="center"/>
        <w:rPr>
          <w:b/>
          <w:sz w:val="16"/>
        </w:rPr>
      </w:pPr>
      <w:r>
        <w:rPr/>
        <w:br w:type="column"/>
      </w:r>
      <w:r>
        <w:rPr>
          <w:b/>
          <w:color w:val="231F20"/>
          <w:sz w:val="16"/>
        </w:rPr>
        <w:t>Gross amounts</w:t>
      </w:r>
      <w:r>
        <w:rPr>
          <w:b/>
          <w:color w:val="231F20"/>
          <w:w w:val="99"/>
          <w:sz w:val="16"/>
        </w:rPr>
        <w:t> </w:t>
      </w:r>
      <w:r>
        <w:rPr>
          <w:b/>
          <w:color w:val="231F20"/>
          <w:sz w:val="16"/>
        </w:rPr>
        <w:t>offset in the Balance Sheet</w:t>
      </w:r>
    </w:p>
    <w:p>
      <w:pPr>
        <w:spacing w:line="261" w:lineRule="auto" w:before="76"/>
        <w:ind w:left="101" w:right="131"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 Sheet (a)</w:t>
      </w:r>
    </w:p>
    <w:p>
      <w:pPr>
        <w:spacing w:after="0" w:line="261" w:lineRule="auto"/>
        <w:jc w:val="center"/>
        <w:rPr>
          <w:sz w:val="16"/>
        </w:rPr>
        <w:sectPr>
          <w:type w:val="continuous"/>
          <w:pgSz w:w="11880" w:h="15480"/>
          <w:pgMar w:top="1260" w:bottom="280" w:left="1260" w:right="1240"/>
          <w:cols w:num="8" w:equalWidth="0">
            <w:col w:w="952" w:space="40"/>
            <w:col w:w="1050" w:space="40"/>
            <w:col w:w="1133" w:space="40"/>
            <w:col w:w="1160" w:space="40"/>
            <w:col w:w="1194" w:space="41"/>
            <w:col w:w="1186" w:space="40"/>
            <w:col w:w="1100" w:space="40"/>
            <w:col w:w="1324"/>
          </w:cols>
        </w:sectPr>
      </w:pPr>
    </w:p>
    <w:p>
      <w:pPr>
        <w:spacing w:line="172" w:lineRule="exact" w:before="0"/>
        <w:ind w:left="160" w:right="0" w:firstLine="0"/>
        <w:jc w:val="left"/>
        <w:rPr>
          <w:sz w:val="16"/>
        </w:rPr>
      </w:pPr>
      <w:r>
        <w:rPr>
          <w:color w:val="231F20"/>
          <w:sz w:val="16"/>
        </w:rPr>
        <w:t>contracts</w:t>
      </w:r>
    </w:p>
    <w:p>
      <w:pPr>
        <w:spacing w:line="172" w:lineRule="exact" w:before="59"/>
        <w:ind w:left="160" w:right="98" w:firstLine="0"/>
        <w:jc w:val="left"/>
        <w:rPr>
          <w:sz w:val="16"/>
        </w:rPr>
      </w:pPr>
      <w:r>
        <w:rPr/>
        <w:pict>
          <v:rect style="position:absolute;margin-left:69pt;margin-top:30.029993pt;width:456pt;height:28.8pt;mso-position-horizontal-relative:page;mso-position-vertical-relative:paragraph;z-index:-389464" filled="true" fillcolor="#d1d3d4" stroked="false">
            <v:fill type="solid"/>
            <w10:wrap type="none"/>
          </v:rect>
        </w:pict>
      </w:r>
      <w:r>
        <w:rPr>
          <w:color w:val="231F20"/>
          <w:sz w:val="16"/>
        </w:rPr>
        <w:t>Fuel derivative contracts</w:t>
      </w:r>
    </w:p>
    <w:p>
      <w:pPr>
        <w:spacing w:line="172" w:lineRule="exact" w:before="59"/>
        <w:ind w:left="160" w:right="-20" w:firstLine="0"/>
        <w:jc w:val="left"/>
        <w:rPr>
          <w:sz w:val="16"/>
        </w:rPr>
      </w:pPr>
      <w:r>
        <w:rPr>
          <w:color w:val="231F20"/>
          <w:sz w:val="16"/>
        </w:rPr>
        <w:t>Fuel derivative contracts</w:t>
      </w:r>
    </w:p>
    <w:p>
      <w:pPr>
        <w:spacing w:line="172" w:lineRule="exact" w:before="59"/>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 contracts</w:t>
      </w:r>
    </w:p>
    <w:p>
      <w:pPr>
        <w:tabs>
          <w:tab w:pos="1202" w:val="left" w:leader="none"/>
          <w:tab w:pos="2069" w:val="left" w:leader="none"/>
          <w:tab w:pos="3216" w:val="left" w:leader="none"/>
          <w:tab w:pos="4469" w:val="left" w:leader="none"/>
          <w:tab w:pos="4922" w:val="left" w:leader="none"/>
          <w:tab w:pos="5669" w:val="left" w:leader="none"/>
          <w:tab w:pos="6869" w:val="left" w:leader="none"/>
          <w:tab w:pos="8069" w:val="left" w:leader="none"/>
        </w:tabs>
        <w:spacing w:line="172" w:lineRule="exact" w:before="0"/>
        <w:ind w:left="127" w:right="0" w:firstLine="0"/>
        <w:jc w:val="left"/>
        <w:rPr>
          <w:sz w:val="16"/>
        </w:rPr>
      </w:pPr>
      <w:r>
        <w:rPr/>
        <w:br w:type="column"/>
      </w:r>
      <w:r>
        <w:rPr>
          <w:color w:val="231F20"/>
          <w:sz w:val="16"/>
        </w:rPr>
        <w:t>assets</w:t>
        <w:tab/>
        <w:t>$</w:t>
        <w:tab/>
        <w:t>26   </w:t>
      </w:r>
      <w:r>
        <w:rPr>
          <w:color w:val="231F20"/>
          <w:spacing w:val="13"/>
          <w:sz w:val="16"/>
        </w:rPr>
        <w:t> </w:t>
      </w:r>
      <w:r>
        <w:rPr>
          <w:color w:val="231F20"/>
          <w:sz w:val="16"/>
        </w:rPr>
        <w:t>$</w:t>
        <w:tab/>
        <w:t>(26) </w:t>
      </w:r>
      <w:r>
        <w:rPr>
          <w:color w:val="231F20"/>
          <w:spacing w:val="39"/>
          <w:sz w:val="16"/>
        </w:rPr>
        <w:t> </w:t>
      </w:r>
      <w:r>
        <w:rPr>
          <w:color w:val="231F20"/>
          <w:sz w:val="16"/>
        </w:rPr>
        <w:t>$</w:t>
        <w:tab/>
        <w:t>—</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p>
    <w:p>
      <w:pPr>
        <w:pStyle w:val="BodyText"/>
        <w:spacing w:before="1"/>
        <w:rPr>
          <w:sz w:val="19"/>
        </w:rPr>
      </w:pPr>
    </w:p>
    <w:p>
      <w:pPr>
        <w:spacing w:line="178" w:lineRule="exact" w:before="0"/>
        <w:ind w:left="127" w:right="0" w:firstLine="0"/>
        <w:jc w:val="left"/>
        <w:rPr>
          <w:sz w:val="16"/>
        </w:rPr>
      </w:pPr>
      <w:r>
        <w:rPr>
          <w:color w:val="231F20"/>
          <w:sz w:val="16"/>
        </w:rPr>
        <w:t>Accrued</w:t>
      </w:r>
    </w:p>
    <w:p>
      <w:pPr>
        <w:tabs>
          <w:tab w:pos="1202" w:val="left" w:leader="none"/>
          <w:tab w:pos="1869" w:val="left" w:leader="none"/>
          <w:tab w:pos="3016" w:val="left" w:leader="none"/>
          <w:tab w:pos="4389" w:val="left" w:leader="none"/>
          <w:tab w:pos="4922" w:val="left" w:leader="none"/>
          <w:tab w:pos="5469" w:val="left" w:leader="none"/>
          <w:tab w:pos="6616" w:val="left" w:leader="none"/>
          <w:tab w:pos="8229" w:val="right" w:leader="none"/>
        </w:tabs>
        <w:spacing w:line="178" w:lineRule="exact" w:before="0"/>
        <w:ind w:left="127" w:right="0" w:firstLine="0"/>
        <w:jc w:val="left"/>
        <w:rPr>
          <w:sz w:val="16"/>
        </w:rPr>
      </w:pPr>
      <w:r>
        <w:rPr>
          <w:color w:val="231F20"/>
          <w:sz w:val="16"/>
        </w:rPr>
        <w:t>liabilities</w:t>
        <w:tab/>
        <w:t>$</w:t>
        <w:tab/>
        <w:t>2,380   </w:t>
      </w:r>
      <w:r>
        <w:rPr>
          <w:color w:val="231F20"/>
          <w:spacing w:val="13"/>
          <w:sz w:val="16"/>
        </w:rPr>
        <w:t> </w:t>
      </w:r>
      <w:r>
        <w:rPr>
          <w:color w:val="231F20"/>
          <w:sz w:val="16"/>
        </w:rPr>
        <w:t>$</w:t>
        <w:tab/>
        <w:t>(1,737) </w:t>
      </w:r>
      <w:r>
        <w:rPr>
          <w:color w:val="231F20"/>
          <w:spacing w:val="39"/>
          <w:sz w:val="16"/>
        </w:rPr>
        <w:t> </w:t>
      </w:r>
      <w:r>
        <w:rPr>
          <w:color w:val="231F20"/>
          <w:sz w:val="16"/>
        </w:rPr>
        <w:t>$</w:t>
        <w:tab/>
        <w:t>643</w:t>
        <w:tab/>
        <w:t>$</w:t>
        <w:tab/>
        <w:t>1,432   </w:t>
      </w:r>
      <w:r>
        <w:rPr>
          <w:color w:val="231F20"/>
          <w:spacing w:val="13"/>
          <w:sz w:val="16"/>
        </w:rPr>
        <w:t> </w:t>
      </w:r>
      <w:r>
        <w:rPr>
          <w:color w:val="231F20"/>
          <w:sz w:val="16"/>
        </w:rPr>
        <w:t>$</w:t>
        <w:tab/>
        <w:t>(1,258) </w:t>
      </w:r>
      <w:r>
        <w:rPr>
          <w:color w:val="231F20"/>
          <w:spacing w:val="39"/>
          <w:sz w:val="16"/>
        </w:rPr>
        <w:t> </w:t>
      </w:r>
      <w:r>
        <w:rPr>
          <w:color w:val="231F20"/>
          <w:sz w:val="16"/>
        </w:rPr>
        <w:t>$</w:t>
        <w:tab/>
        <w:t>174</w:t>
      </w:r>
    </w:p>
    <w:p>
      <w:pPr>
        <w:spacing w:line="172" w:lineRule="exact" w:before="60"/>
        <w:ind w:left="127" w:right="7581" w:firstLine="0"/>
        <w:jc w:val="left"/>
        <w:rPr>
          <w:sz w:val="16"/>
        </w:rPr>
      </w:pPr>
      <w:r>
        <w:rPr>
          <w:color w:val="231F20"/>
          <w:sz w:val="16"/>
        </w:rPr>
        <w:t>Other noncurrent</w:t>
      </w:r>
    </w:p>
    <w:p>
      <w:pPr>
        <w:tabs>
          <w:tab w:pos="1202" w:val="left" w:leader="none"/>
          <w:tab w:pos="1869" w:val="left" w:leader="none"/>
          <w:tab w:pos="3136" w:val="left" w:leader="none"/>
          <w:tab w:pos="4469" w:val="left" w:leader="none"/>
          <w:tab w:pos="4922" w:val="left" w:leader="none"/>
          <w:tab w:pos="5589" w:val="left" w:leader="none"/>
          <w:tab w:pos="6736" w:val="left" w:leader="none"/>
          <w:tab w:pos="8229" w:val="right" w:leader="none"/>
        </w:tabs>
        <w:spacing w:line="172" w:lineRule="exact" w:before="0"/>
        <w:ind w:left="127" w:right="0" w:firstLine="0"/>
        <w:jc w:val="left"/>
        <w:rPr>
          <w:sz w:val="16"/>
        </w:rPr>
      </w:pPr>
      <w:r>
        <w:rPr>
          <w:color w:val="231F20"/>
          <w:sz w:val="16"/>
        </w:rPr>
        <w:t>liabilities</w:t>
        <w:tab/>
        <w:t>$</w:t>
        <w:tab/>
        <w:t>1,010   </w:t>
      </w:r>
      <w:r>
        <w:rPr>
          <w:color w:val="231F20"/>
          <w:spacing w:val="13"/>
          <w:sz w:val="16"/>
        </w:rPr>
        <w:t> </w:t>
      </w:r>
      <w:r>
        <w:rPr>
          <w:color w:val="231F20"/>
          <w:sz w:val="16"/>
        </w:rPr>
        <w:t>$</w:t>
        <w:tab/>
        <w:t>(985) </w:t>
      </w:r>
      <w:r>
        <w:rPr>
          <w:color w:val="231F20"/>
          <w:spacing w:val="39"/>
          <w:sz w:val="16"/>
        </w:rPr>
        <w:t> </w:t>
      </w:r>
      <w:r>
        <w:rPr>
          <w:color w:val="231F20"/>
          <w:sz w:val="16"/>
        </w:rPr>
        <w:t>$</w:t>
        <w:tab/>
        <w:t>25</w:t>
        <w:tab/>
        <w:t>$</w:t>
        <w:tab/>
        <w:t>916   </w:t>
      </w:r>
      <w:r>
        <w:rPr>
          <w:color w:val="231F20"/>
          <w:spacing w:val="13"/>
          <w:sz w:val="16"/>
        </w:rPr>
        <w:t> </w:t>
      </w:r>
      <w:r>
        <w:rPr>
          <w:color w:val="231F20"/>
          <w:sz w:val="16"/>
        </w:rPr>
        <w:t>$</w:t>
        <w:tab/>
        <w:t>(355) </w:t>
      </w:r>
      <w:r>
        <w:rPr>
          <w:color w:val="231F20"/>
          <w:spacing w:val="39"/>
          <w:sz w:val="16"/>
        </w:rPr>
        <w:t> </w:t>
      </w:r>
      <w:r>
        <w:rPr>
          <w:color w:val="231F20"/>
          <w:sz w:val="16"/>
        </w:rPr>
        <w:t>$</w:t>
        <w:tab/>
        <w:t>561</w:t>
      </w:r>
    </w:p>
    <w:p>
      <w:pPr>
        <w:spacing w:line="172" w:lineRule="exact" w:before="60"/>
        <w:ind w:left="127" w:right="7581" w:firstLine="0"/>
        <w:jc w:val="left"/>
        <w:rPr>
          <w:sz w:val="16"/>
        </w:rPr>
      </w:pPr>
      <w:r>
        <w:rPr>
          <w:color w:val="231F20"/>
          <w:sz w:val="16"/>
        </w:rPr>
        <w:t>Other noncurrent</w:t>
      </w:r>
    </w:p>
    <w:p>
      <w:pPr>
        <w:tabs>
          <w:tab w:pos="1202" w:val="left" w:leader="none"/>
          <w:tab w:pos="2069" w:val="left" w:leader="none"/>
          <w:tab w:pos="3269" w:val="left" w:leader="none"/>
          <w:tab w:pos="4469" w:val="left" w:leader="none"/>
          <w:tab w:pos="4922" w:val="left" w:leader="none"/>
          <w:tab w:pos="5669" w:val="left" w:leader="none"/>
          <w:tab w:pos="6869" w:val="left" w:leader="none"/>
          <w:tab w:pos="8229" w:val="right" w:leader="none"/>
        </w:tabs>
        <w:spacing w:line="172" w:lineRule="exact" w:before="0"/>
        <w:ind w:left="127" w:right="0" w:firstLine="0"/>
        <w:jc w:val="left"/>
        <w:rPr>
          <w:sz w:val="16"/>
        </w:rPr>
      </w:pPr>
      <w:r>
        <w:rPr>
          <w:color w:val="231F20"/>
          <w:sz w:val="16"/>
        </w:rPr>
        <w:t>liabilities</w:t>
        <w:tab/>
        <w:t>$</w:t>
        <w:tab/>
        <w:t>49   </w:t>
      </w:r>
      <w:r>
        <w:rPr>
          <w:color w:val="231F20"/>
          <w:spacing w:val="13"/>
          <w:sz w:val="16"/>
        </w:rPr>
        <w:t> </w:t>
      </w:r>
      <w:r>
        <w:rPr>
          <w:color w:val="231F20"/>
          <w:sz w:val="16"/>
        </w:rPr>
        <w:t>$</w:t>
        <w:tab/>
        <w:t>—   </w:t>
      </w:r>
      <w:r>
        <w:rPr>
          <w:color w:val="231F20"/>
          <w:spacing w:val="13"/>
          <w:sz w:val="16"/>
        </w:rPr>
        <w:t> </w:t>
      </w:r>
      <w:r>
        <w:rPr>
          <w:color w:val="231F20"/>
          <w:sz w:val="16"/>
        </w:rPr>
        <w:t>$</w:t>
        <w:tab/>
        <w:t>49</w:t>
        <w:tab/>
        <w:t>$</w:t>
        <w:tab/>
        <w:t>61   </w:t>
      </w:r>
      <w:r>
        <w:rPr>
          <w:color w:val="231F20"/>
          <w:spacing w:val="13"/>
          <w:sz w:val="16"/>
        </w:rPr>
        <w:t> </w:t>
      </w:r>
      <w:r>
        <w:rPr>
          <w:color w:val="231F20"/>
          <w:sz w:val="16"/>
        </w:rPr>
        <w:t>$</w:t>
        <w:tab/>
        <w:t>—   </w:t>
      </w:r>
      <w:r>
        <w:rPr>
          <w:color w:val="231F20"/>
          <w:spacing w:val="13"/>
          <w:sz w:val="16"/>
        </w:rPr>
        <w:t> </w:t>
      </w:r>
      <w:r>
        <w:rPr>
          <w:color w:val="231F20"/>
          <w:sz w:val="16"/>
        </w:rPr>
        <w:t>$</w:t>
        <w:tab/>
        <w:t>61</w:t>
      </w:r>
    </w:p>
    <w:p>
      <w:pPr>
        <w:spacing w:after="0" w:line="172" w:lineRule="exact"/>
        <w:jc w:val="left"/>
        <w:rPr>
          <w:sz w:val="16"/>
        </w:rPr>
        <w:sectPr>
          <w:type w:val="continuous"/>
          <w:pgSz w:w="11880" w:h="15480"/>
          <w:pgMar w:top="1260" w:bottom="280" w:left="1260" w:right="1240"/>
          <w:cols w:num="2" w:equalWidth="0">
            <w:col w:w="918" w:space="40"/>
            <w:col w:w="8422"/>
          </w:cols>
        </w:sectPr>
      </w:pPr>
    </w:p>
    <w:p>
      <w:pPr>
        <w:spacing w:line="249" w:lineRule="auto" w:before="318"/>
        <w:ind w:left="120" w:right="391"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20"/>
      </w:pPr>
      <w:r>
        <w:rPr>
          <w:color w:val="231F20"/>
        </w:rPr>
        <w:t>The following tables present the impact of derivative instruments and their location within the Consolidated Statement of Income for the year ended December 31, 2015 and 2014:</w:t>
      </w:r>
    </w:p>
    <w:p>
      <w:pPr>
        <w:spacing w:after="0" w:line="247" w:lineRule="auto"/>
        <w:sectPr>
          <w:pgSz w:w="11880" w:h="15480"/>
          <w:pgMar w:header="0" w:footer="1240" w:top="1240" w:bottom="1420" w:left="1260" w:right="1140"/>
        </w:sectPr>
      </w:pPr>
    </w:p>
    <w:p>
      <w:pPr>
        <w:pStyle w:val="BodyText"/>
        <w:spacing w:before="7"/>
        <w:rPr>
          <w:sz w:val="20"/>
        </w:rPr>
      </w:pPr>
    </w:p>
    <w:p>
      <w:pPr>
        <w:spacing w:before="0"/>
        <w:ind w:left="120" w:right="0" w:firstLine="0"/>
        <w:jc w:val="left"/>
        <w:rPr>
          <w:b/>
          <w:sz w:val="20"/>
        </w:rPr>
      </w:pPr>
      <w:r>
        <w:rPr>
          <w:b/>
          <w:color w:val="231F20"/>
          <w:sz w:val="20"/>
          <w:u w:val="single" w:color="231F20"/>
        </w:rPr>
        <w:t>Derivatives in cash flow hedging relationships</w:t>
      </w:r>
    </w:p>
    <w:p>
      <w:pPr>
        <w:pStyle w:val="BodyText"/>
        <w:rPr>
          <w:b/>
        </w:rPr>
      </w:pPr>
    </w:p>
    <w:p>
      <w:pPr>
        <w:pStyle w:val="BodyText"/>
        <w:spacing w:before="2"/>
        <w:rPr>
          <w:b/>
          <w:sz w:val="29"/>
        </w:rPr>
      </w:pPr>
    </w:p>
    <w:p>
      <w:pPr>
        <w:spacing w:line="252" w:lineRule="auto" w:before="0"/>
        <w:ind w:left="2517" w:right="0" w:firstLine="0"/>
        <w:jc w:val="center"/>
        <w:rPr>
          <w:b/>
          <w:sz w:val="19"/>
        </w:rPr>
      </w:pPr>
      <w:r>
        <w:rPr/>
        <w:pict>
          <v:line style="position:absolute;mso-position-horizontal-relative:page;mso-position-vertical-relative:paragraph;z-index:6376" from="179.949997pt,35.369141pt" to="297.949997pt,35.369141pt" stroked="true" strokeweight="1pt" strokecolor="#231f20">
            <v:stroke dashstyle="solid"/>
            <w10:wrap type="none"/>
          </v:line>
        </w:pict>
      </w:r>
      <w:r>
        <w:rPr>
          <w:b/>
          <w:color w:val="231F20"/>
          <w:sz w:val="19"/>
        </w:rPr>
        <w:t>(Gain) loss recognized in AOCI on derivatives (effective portion)</w:t>
      </w:r>
    </w:p>
    <w:p>
      <w:pPr>
        <w:spacing w:line="252" w:lineRule="auto" w:before="81"/>
        <w:ind w:left="3034" w:right="375" w:firstLine="1"/>
        <w:jc w:val="center"/>
        <w:rPr>
          <w:b/>
          <w:sz w:val="19"/>
        </w:rPr>
      </w:pPr>
      <w:r>
        <w:rPr>
          <w:b/>
          <w:color w:val="231F20"/>
          <w:sz w:val="19"/>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10"/>
        <w:rPr>
          <w:b/>
          <w:sz w:val="25"/>
        </w:rPr>
      </w:pPr>
    </w:p>
    <w:p>
      <w:pPr>
        <w:spacing w:line="252" w:lineRule="auto" w:before="0"/>
        <w:ind w:left="120" w:right="0" w:firstLine="0"/>
        <w:jc w:val="center"/>
        <w:rPr>
          <w:b/>
          <w:sz w:val="19"/>
        </w:rPr>
      </w:pPr>
      <w:r>
        <w:rPr>
          <w:b/>
          <w:color w:val="231F20"/>
          <w:sz w:val="19"/>
        </w:rPr>
        <w:t>(Gain) loss reclassified from AOCI into income</w:t>
      </w:r>
      <w:r>
        <w:rPr>
          <w:b/>
          <w:color w:val="231F20"/>
          <w:w w:val="100"/>
          <w:sz w:val="19"/>
        </w:rPr>
        <w:t> </w:t>
      </w:r>
      <w:r>
        <w:rPr>
          <w:b/>
          <w:color w:val="231F20"/>
          <w:sz w:val="19"/>
        </w:rPr>
        <w:t>(effective portion)(a)</w:t>
      </w:r>
    </w:p>
    <w:p>
      <w:pPr>
        <w:spacing w:line="252" w:lineRule="auto" w:before="80"/>
        <w:ind w:left="465" w:right="483" w:firstLine="1"/>
        <w:jc w:val="center"/>
        <w:rPr>
          <w:b/>
          <w:sz w:val="19"/>
        </w:rPr>
      </w:pPr>
      <w:r>
        <w:rPr>
          <w:b/>
          <w:color w:val="231F20"/>
          <w:sz w:val="19"/>
        </w:rPr>
        <w:t>Year ended December 31,</w:t>
      </w:r>
    </w:p>
    <w:p>
      <w:pPr>
        <w:pStyle w:val="BodyText"/>
        <w:rPr>
          <w:b/>
        </w:rPr>
      </w:pPr>
      <w:r>
        <w:rPr/>
        <w:br w:type="column"/>
      </w:r>
      <w:r>
        <w:rPr>
          <w:b/>
        </w:rPr>
      </w:r>
    </w:p>
    <w:p>
      <w:pPr>
        <w:pStyle w:val="BodyText"/>
        <w:spacing w:before="10"/>
        <w:rPr>
          <w:b/>
          <w:sz w:val="29"/>
        </w:rPr>
      </w:pPr>
    </w:p>
    <w:p>
      <w:pPr>
        <w:spacing w:line="252" w:lineRule="auto" w:before="0"/>
        <w:ind w:left="671" w:right="91" w:hanging="552"/>
        <w:jc w:val="left"/>
        <w:rPr>
          <w:b/>
          <w:sz w:val="19"/>
        </w:rPr>
      </w:pPr>
      <w:r>
        <w:rPr>
          <w:b/>
          <w:color w:val="231F20"/>
          <w:sz w:val="19"/>
        </w:rPr>
        <w:t>(Gain) loss recognized in income on derivatives (ineffective portion)(b)</w:t>
      </w:r>
    </w:p>
    <w:p>
      <w:pPr>
        <w:pStyle w:val="BodyText"/>
        <w:spacing w:line="20" w:lineRule="exact"/>
        <w:ind w:left="240"/>
        <w:rPr>
          <w:sz w:val="2"/>
        </w:rPr>
      </w:pPr>
      <w:r>
        <w:rPr>
          <w:sz w:val="2"/>
        </w:rPr>
        <w:pict>
          <v:group style="width:88.05pt;height:1pt;mso-position-horizontal-relative:char;mso-position-vertical-relative:line" coordorigin="0,0" coordsize="1761,20">
            <v:line style="position:absolute" from="10,10" to="1751,10" stroked="true" strokeweight="1pt" strokecolor="#231f20">
              <v:stroke dashstyle="solid"/>
            </v:line>
          </v:group>
        </w:pict>
      </w:r>
      <w:r>
        <w:rPr>
          <w:sz w:val="2"/>
        </w:rPr>
      </w:r>
    </w:p>
    <w:p>
      <w:pPr>
        <w:spacing w:line="252" w:lineRule="auto" w:before="60"/>
        <w:ind w:left="567" w:right="536" w:firstLine="86"/>
        <w:jc w:val="left"/>
        <w:rPr>
          <w:b/>
          <w:sz w:val="19"/>
        </w:rPr>
      </w:pPr>
      <w:r>
        <w:rPr/>
        <w:pict>
          <v:line style="position:absolute;mso-position-horizontal-relative:page;mso-position-vertical-relative:paragraph;z-index:6400" from="312.950012pt,-.130859pt" to="429.950012pt,-.130859pt" stroked="true" strokeweight="1pt" strokecolor="#231f20">
            <v:stroke dashstyle="solid"/>
            <w10:wrap type="none"/>
          </v:line>
        </w:pict>
      </w:r>
      <w:r>
        <w:rPr>
          <w:b/>
          <w:color w:val="231F20"/>
          <w:sz w:val="19"/>
        </w:rPr>
        <w:t>Year ended December 31,</w:t>
      </w:r>
    </w:p>
    <w:p>
      <w:pPr>
        <w:spacing w:after="0" w:line="252" w:lineRule="auto"/>
        <w:jc w:val="left"/>
        <w:rPr>
          <w:sz w:val="19"/>
        </w:rPr>
        <w:sectPr>
          <w:type w:val="continuous"/>
          <w:pgSz w:w="11880" w:h="15480"/>
          <w:pgMar w:top="1260" w:bottom="280" w:left="1260" w:right="1140"/>
          <w:cols w:num="3" w:equalWidth="0">
            <w:col w:w="4520" w:space="560"/>
            <w:col w:w="2058" w:space="111"/>
            <w:col w:w="2231"/>
          </w:cols>
        </w:sectPr>
      </w:pPr>
    </w:p>
    <w:p>
      <w:pPr>
        <w:tabs>
          <w:tab w:pos="7489" w:val="left" w:leader="none"/>
        </w:tabs>
        <w:spacing w:line="20" w:lineRule="exact"/>
        <w:ind w:left="2329" w:right="0" w:firstLine="0"/>
        <w:rPr>
          <w:sz w:val="2"/>
        </w:rPr>
      </w:pPr>
      <w:r>
        <w:rPr>
          <w:sz w:val="2"/>
        </w:rPr>
        <w:pict>
          <v:group style="width:126pt;height:1pt;mso-position-horizontal-relative:char;mso-position-vertical-relative:line" coordorigin="0,0" coordsize="2520,20">
            <v:line style="position:absolute" from="10,10" to="2510,10" stroked="true" strokeweight="1pt" strokecolor="#231f20">
              <v:stroke dashstyle="solid"/>
            </v:line>
          </v:group>
        </w:pict>
      </w:r>
      <w:r>
        <w:rPr>
          <w:sz w:val="2"/>
        </w:rPr>
      </w:r>
      <w:r>
        <w:rPr>
          <w:spacing w:val="120"/>
          <w:sz w:val="2"/>
        </w:rPr>
        <w:t> </w:t>
      </w:r>
      <w:r>
        <w:rPr>
          <w:spacing w:val="120"/>
          <w:sz w:val="2"/>
        </w:rPr>
        <w:pict>
          <v:group style="width:111pt;height:1pt;mso-position-horizontal-relative:char;mso-position-vertical-relative:line" coordorigin="0,0" coordsize="2220,20">
            <v:line style="position:absolute" from="10,10" to="2210,10" stroked="true" strokeweight="1pt" strokecolor="#231f20">
              <v:stroke dashstyle="solid"/>
            </v:line>
          </v:group>
        </w:pict>
      </w:r>
      <w:r>
        <w:rPr>
          <w:spacing w:val="120"/>
          <w:sz w:val="2"/>
        </w:rPr>
      </w:r>
      <w:r>
        <w:rPr>
          <w:spacing w:val="120"/>
          <w:sz w:val="2"/>
        </w:rPr>
        <w:tab/>
      </w:r>
      <w:r>
        <w:rPr>
          <w:spacing w:val="120"/>
          <w:sz w:val="2"/>
        </w:rPr>
        <w:pict>
          <v:group style="width:88.05pt;height:1pt;mso-position-horizontal-relative:char;mso-position-vertical-relative:line" coordorigin="0,0" coordsize="1761,20">
            <v:line style="position:absolute" from="10,10" to="1751,10" stroked="true" strokeweight="1pt" strokecolor="#231f20">
              <v:stroke dashstyle="solid"/>
            </v:line>
          </v:group>
        </w:pict>
      </w:r>
      <w:r>
        <w:rPr>
          <w:spacing w:val="120"/>
          <w:sz w:val="2"/>
        </w:rPr>
      </w:r>
    </w:p>
    <w:p>
      <w:pPr>
        <w:tabs>
          <w:tab w:pos="2648" w:val="left" w:leader="none"/>
          <w:tab w:pos="3958" w:val="left" w:leader="none"/>
          <w:tab w:pos="5308" w:val="left" w:leader="none"/>
          <w:tab w:pos="6558" w:val="left" w:leader="none"/>
          <w:tab w:pos="7628" w:val="left" w:leader="none"/>
          <w:tab w:pos="8699" w:val="left" w:leader="none"/>
        </w:tabs>
        <w:spacing w:before="60"/>
        <w:ind w:left="120" w:right="0" w:firstLine="0"/>
        <w:jc w:val="left"/>
        <w:rPr>
          <w:b/>
          <w:sz w:val="19"/>
        </w:rPr>
      </w:pPr>
      <w:r>
        <w:rPr/>
        <w:pict>
          <v:group style="position:absolute;margin-left:68.5pt;margin-top:14.869141pt;width:457pt;height:16pt;mso-position-horizontal-relative:page;mso-position-vertical-relative:paragraph;z-index:-389128" coordorigin="1370,297" coordsize="9140,320">
            <v:rect style="position:absolute;left:1380;top:317;width:9120;height:300" filled="true" fillcolor="#d1d3d4" stroked="false">
              <v:fill type="solid"/>
            </v:rect>
            <v:line style="position:absolute" from="1380,307" to="2358,307" stroked="true" strokeweight="1pt" strokecolor="#231f20">
              <v:stroke dashstyle="solid"/>
            </v:line>
            <v:line style="position:absolute" from="3599,307" to="4599,307" stroked="true" strokeweight="1pt" strokecolor="#231f20">
              <v:stroke dashstyle="solid"/>
            </v:line>
            <v:line style="position:absolute" from="4859,307" to="5959,307" stroked="true" strokeweight="1pt" strokecolor="#231f20">
              <v:stroke dashstyle="solid"/>
            </v:line>
            <v:line style="position:absolute" from="6259,307" to="7259,307" stroked="true" strokeweight="1pt" strokecolor="#231f20">
              <v:stroke dashstyle="solid"/>
            </v:line>
            <v:line style="position:absolute" from="7559,307" to="8459,307" stroked="true" strokeweight="1pt" strokecolor="#231f20">
              <v:stroke dashstyle="solid"/>
            </v:line>
            <v:line style="position:absolute" from="8759,307" to="9400,307" stroked="true" strokeweight="1pt" strokecolor="#231f20">
              <v:stroke dashstyle="solid"/>
            </v:line>
            <v:line style="position:absolute" from="9800,307" to="10500,307" stroked="true" strokeweight="1pt" strokecolor="#231f20">
              <v:stroke dashstyle="solid"/>
            </v:line>
            <w10:wrap type="none"/>
          </v:group>
        </w:pict>
      </w:r>
      <w:r>
        <w:rPr>
          <w:b/>
          <w:color w:val="231F20"/>
          <w:sz w:val="19"/>
        </w:rPr>
        <w:t>(in millions)</w:t>
        <w:tab/>
        <w:t>2015</w:t>
        <w:tab/>
        <w:t>2014</w:t>
        <w:tab/>
        <w:t>2015</w:t>
        <w:tab/>
        <w:t>2014</w:t>
        <w:tab/>
        <w:t>2015</w:t>
        <w:tab/>
        <w:t>2014</w:t>
      </w:r>
    </w:p>
    <w:p>
      <w:pPr>
        <w:tabs>
          <w:tab w:pos="2218" w:val="left" w:leader="none"/>
          <w:tab w:pos="2818" w:val="left" w:leader="none"/>
          <w:tab w:pos="4178" w:val="left" w:leader="none"/>
          <w:tab w:pos="5478" w:val="left" w:leader="none"/>
          <w:tab w:pos="6778" w:val="left" w:leader="none"/>
          <w:tab w:pos="7852" w:val="left" w:leader="none"/>
          <w:tab w:pos="8419" w:val="left" w:leader="none"/>
          <w:tab w:pos="8919" w:val="left" w:leader="none"/>
        </w:tabs>
        <w:spacing w:before="91"/>
        <w:ind w:left="0" w:right="217" w:firstLine="0"/>
        <w:jc w:val="center"/>
        <w:rPr>
          <w:sz w:val="20"/>
        </w:rPr>
      </w:pPr>
      <w:r>
        <w:rPr>
          <w:color w:val="231F20"/>
          <w:sz w:val="20"/>
        </w:rPr>
        <w:t>Fuel derivative</w:t>
      </w:r>
      <w:r>
        <w:rPr>
          <w:color w:val="231F20"/>
          <w:spacing w:val="2"/>
          <w:sz w:val="20"/>
        </w:rPr>
        <w:t> </w:t>
      </w:r>
      <w:r>
        <w:rPr>
          <w:color w:val="231F20"/>
          <w:sz w:val="20"/>
        </w:rPr>
        <w:t>contracts</w:t>
        <w:tab/>
        <w:t>$</w:t>
        <w:tab/>
        <w:t>546 </w:t>
      </w:r>
      <w:r>
        <w:rPr>
          <w:color w:val="231F20"/>
          <w:spacing w:val="40"/>
          <w:sz w:val="20"/>
        </w:rPr>
        <w:t> </w:t>
      </w:r>
      <w:r>
        <w:rPr>
          <w:color w:val="231F20"/>
          <w:sz w:val="20"/>
        </w:rPr>
        <w:t>* </w:t>
      </w:r>
      <w:r>
        <w:rPr>
          <w:color w:val="231F20"/>
          <w:spacing w:val="20"/>
          <w:sz w:val="20"/>
        </w:rPr>
        <w:t> </w:t>
      </w:r>
      <w:r>
        <w:rPr>
          <w:color w:val="231F20"/>
          <w:sz w:val="20"/>
        </w:rPr>
        <w:t>$</w:t>
        <w:tab/>
        <w:t>749 </w:t>
      </w:r>
      <w:r>
        <w:rPr>
          <w:color w:val="231F20"/>
          <w:spacing w:val="40"/>
          <w:sz w:val="20"/>
        </w:rPr>
        <w:t> </w:t>
      </w:r>
      <w:r>
        <w:rPr>
          <w:color w:val="231F20"/>
          <w:sz w:val="20"/>
        </w:rPr>
        <w:t>*  </w:t>
      </w:r>
      <w:r>
        <w:rPr>
          <w:color w:val="231F20"/>
          <w:spacing w:val="10"/>
          <w:sz w:val="20"/>
        </w:rPr>
        <w:t> </w:t>
      </w:r>
      <w:r>
        <w:rPr>
          <w:color w:val="231F20"/>
          <w:sz w:val="20"/>
        </w:rPr>
        <w:t>$</w:t>
        <w:tab/>
        <w:t>238 </w:t>
      </w:r>
      <w:r>
        <w:rPr>
          <w:color w:val="231F20"/>
          <w:spacing w:val="40"/>
          <w:sz w:val="20"/>
        </w:rPr>
        <w:t> </w:t>
      </w:r>
      <w:r>
        <w:rPr>
          <w:color w:val="231F20"/>
          <w:sz w:val="20"/>
        </w:rPr>
        <w:t>*  </w:t>
      </w:r>
      <w:r>
        <w:rPr>
          <w:color w:val="231F20"/>
          <w:spacing w:val="10"/>
          <w:sz w:val="20"/>
        </w:rPr>
        <w:t> </w:t>
      </w:r>
      <w:r>
        <w:rPr>
          <w:color w:val="231F20"/>
          <w:sz w:val="20"/>
        </w:rPr>
        <w:t>$</w:t>
        <w:tab/>
        <w:t>22 </w:t>
      </w:r>
      <w:r>
        <w:rPr>
          <w:color w:val="231F20"/>
          <w:spacing w:val="40"/>
          <w:sz w:val="20"/>
        </w:rPr>
        <w:t> </w:t>
      </w:r>
      <w:r>
        <w:rPr>
          <w:color w:val="231F20"/>
          <w:sz w:val="20"/>
        </w:rPr>
        <w:t>*  </w:t>
      </w:r>
      <w:r>
        <w:rPr>
          <w:color w:val="231F20"/>
          <w:spacing w:val="10"/>
          <w:sz w:val="20"/>
        </w:rPr>
        <w:t> </w:t>
      </w:r>
      <w:r>
        <w:rPr>
          <w:color w:val="231F20"/>
          <w:sz w:val="20"/>
        </w:rPr>
        <w:t>$</w:t>
        <w:tab/>
        <w:t>(9)</w:t>
        <w:tab/>
        <w:t>$</w:t>
        <w:tab/>
        <w:t>7</w:t>
      </w:r>
    </w:p>
    <w:p>
      <w:pPr>
        <w:tabs>
          <w:tab w:pos="3018" w:val="left" w:leader="none"/>
          <w:tab w:pos="4378" w:val="left" w:leader="none"/>
          <w:tab w:pos="5578" w:val="left" w:leader="none"/>
          <w:tab w:pos="6778" w:val="left" w:leader="none"/>
          <w:tab w:pos="7852" w:val="left" w:leader="none"/>
          <w:tab w:pos="8885" w:val="left" w:leader="none"/>
        </w:tabs>
        <w:spacing w:before="69"/>
        <w:ind w:left="0" w:right="118" w:firstLine="0"/>
        <w:jc w:val="center"/>
        <w:rPr>
          <w:sz w:val="20"/>
        </w:rPr>
      </w:pPr>
      <w:r>
        <w:rPr/>
        <w:pict>
          <v:group style="position:absolute;margin-left:69pt;margin-top:16.285938pt;width:456.25pt;height:15.5pt;mso-position-horizontal-relative:page;mso-position-vertical-relative:paragraph;z-index:-389104" coordorigin="1380,326" coordsize="9125,310">
            <v:rect style="position:absolute;left:1380;top:336;width:9120;height:300" filled="true" fillcolor="#d1d3d4" stroked="false">
              <v:fill type="solid"/>
            </v:rect>
            <v:line style="position:absolute" from="3599,331" to="4599,331" stroked="true" strokeweight=".5pt" strokecolor="#231f20">
              <v:stroke dashstyle="solid"/>
            </v:line>
            <v:line style="position:absolute" from="4859,331" to="5959,331" stroked="true" strokeweight=".5pt" strokecolor="#231f20">
              <v:stroke dashstyle="solid"/>
            </v:line>
            <v:line style="position:absolute" from="6259,331" to="7259,331" stroked="true" strokeweight=".5pt" strokecolor="#231f20">
              <v:stroke dashstyle="solid"/>
            </v:line>
            <v:line style="position:absolute" from="7559,331" to="8459,331" stroked="true" strokeweight=".5pt" strokecolor="#231f20">
              <v:stroke dashstyle="solid"/>
            </v:line>
            <v:line style="position:absolute" from="8759,331" to="9400,331" stroked="true" strokeweight=".5pt" strokecolor="#231f20">
              <v:stroke dashstyle="solid"/>
            </v:line>
            <v:line style="position:absolute" from="9800,331" to="10500,331" stroked="true" strokeweight=".5pt" strokecolor="#231f20">
              <v:stroke dashstyle="solid"/>
            </v:line>
            <w10:wrap type="none"/>
          </v:group>
        </w:pict>
      </w:r>
      <w:r>
        <w:rPr>
          <w:color w:val="231F20"/>
          <w:sz w:val="20"/>
        </w:rPr>
        <w:t>Interest</w:t>
      </w:r>
      <w:r>
        <w:rPr>
          <w:color w:val="231F20"/>
          <w:spacing w:val="2"/>
          <w:sz w:val="20"/>
        </w:rPr>
        <w:t> </w:t>
      </w:r>
      <w:r>
        <w:rPr>
          <w:color w:val="231F20"/>
          <w:sz w:val="20"/>
        </w:rPr>
        <w:t>rate</w:t>
      </w:r>
      <w:r>
        <w:rPr>
          <w:color w:val="231F20"/>
          <w:spacing w:val="1"/>
          <w:sz w:val="20"/>
        </w:rPr>
        <w:t> </w:t>
      </w:r>
      <w:r>
        <w:rPr>
          <w:color w:val="231F20"/>
          <w:sz w:val="20"/>
        </w:rPr>
        <w:t>derivatives</w:t>
        <w:tab/>
        <w:t>4 </w:t>
      </w:r>
      <w:r>
        <w:rPr>
          <w:color w:val="231F20"/>
          <w:spacing w:val="40"/>
          <w:sz w:val="20"/>
        </w:rPr>
        <w:t> </w:t>
      </w:r>
      <w:r>
        <w:rPr>
          <w:color w:val="231F20"/>
          <w:sz w:val="20"/>
        </w:rPr>
        <w:t>*</w:t>
        <w:tab/>
        <w:t>6 </w:t>
      </w:r>
      <w:r>
        <w:rPr>
          <w:color w:val="231F20"/>
          <w:spacing w:val="40"/>
          <w:sz w:val="20"/>
        </w:rPr>
        <w:t> </w:t>
      </w:r>
      <w:r>
        <w:rPr>
          <w:color w:val="231F20"/>
          <w:sz w:val="20"/>
        </w:rPr>
        <w:t>*</w:t>
        <w:tab/>
        <w:t>13 </w:t>
      </w:r>
      <w:r>
        <w:rPr>
          <w:color w:val="231F20"/>
          <w:spacing w:val="40"/>
          <w:sz w:val="20"/>
        </w:rPr>
        <w:t> </w:t>
      </w:r>
      <w:r>
        <w:rPr>
          <w:color w:val="231F20"/>
          <w:sz w:val="20"/>
        </w:rPr>
        <w:t>*</w:t>
        <w:tab/>
        <w:t>14 </w:t>
      </w:r>
      <w:r>
        <w:rPr>
          <w:color w:val="231F20"/>
          <w:spacing w:val="40"/>
          <w:sz w:val="20"/>
        </w:rPr>
        <w:t> </w:t>
      </w:r>
      <w:r>
        <w:rPr>
          <w:color w:val="231F20"/>
          <w:sz w:val="20"/>
        </w:rPr>
        <w:t>*</w:t>
        <w:tab/>
        <w:t>(4)</w:t>
        <w:tab/>
        <w:t>(4)</w:t>
      </w:r>
    </w:p>
    <w:p>
      <w:pPr>
        <w:tabs>
          <w:tab w:pos="2018" w:val="left" w:leader="none"/>
          <w:tab w:pos="2618" w:val="left" w:leader="none"/>
          <w:tab w:pos="3278" w:val="left" w:leader="none"/>
          <w:tab w:pos="3978" w:val="left" w:leader="none"/>
          <w:tab w:pos="4678" w:val="left" w:leader="none"/>
          <w:tab w:pos="5278" w:val="left" w:leader="none"/>
          <w:tab w:pos="5978" w:val="left" w:leader="none"/>
          <w:tab w:pos="6578" w:val="left" w:leader="none"/>
          <w:tab w:pos="7178" w:val="left" w:leader="none"/>
          <w:tab w:pos="7552" w:val="left" w:leader="none"/>
          <w:tab w:pos="8219" w:val="left" w:leader="none"/>
          <w:tab w:pos="8719" w:val="left" w:leader="none"/>
        </w:tabs>
        <w:spacing w:before="89"/>
        <w:ind w:left="0" w:right="19" w:firstLine="0"/>
        <w:jc w:val="center"/>
        <w:rPr>
          <w:sz w:val="20"/>
        </w:rPr>
      </w:pPr>
      <w:r>
        <w:rPr/>
        <w:pict>
          <v:group style="position:absolute;margin-left:179.699997pt;margin-top:20.285938pt;width:50.5pt;height:2.5pt;mso-position-horizontal-relative:page;mso-position-vertical-relative:paragraph;z-index:6160;mso-wrap-distance-left:0;mso-wrap-distance-right:0" coordorigin="3594,406" coordsize="1010,50">
            <v:line style="position:absolute" from="3599,411" to="4599,411" stroked="true" strokeweight=".5pt" strokecolor="#231f20">
              <v:stroke dashstyle="solid"/>
            </v:line>
            <v:line style="position:absolute" from="3599,451" to="4599,451" stroked="true" strokeweight=".5pt" strokecolor="#231f20">
              <v:stroke dashstyle="solid"/>
            </v:line>
            <w10:wrap type="topAndBottom"/>
          </v:group>
        </w:pict>
      </w:r>
      <w:r>
        <w:rPr/>
        <w:pict>
          <v:group style="position:absolute;margin-left:242.699997pt;margin-top:20.285938pt;width:55.5pt;height:2.5pt;mso-position-horizontal-relative:page;mso-position-vertical-relative:paragraph;z-index:6184;mso-wrap-distance-left:0;mso-wrap-distance-right:0" coordorigin="4854,406" coordsize="1110,50">
            <v:line style="position:absolute" from="4859,411" to="5959,411" stroked="true" strokeweight=".5pt" strokecolor="#231f20">
              <v:stroke dashstyle="solid"/>
            </v:line>
            <v:line style="position:absolute" from="4859,451" to="5959,451" stroked="true" strokeweight=".5pt" strokecolor="#231f20">
              <v:stroke dashstyle="solid"/>
            </v:line>
            <w10:wrap type="topAndBottom"/>
          </v:group>
        </w:pict>
      </w:r>
      <w:r>
        <w:rPr/>
        <w:pict>
          <v:group style="position:absolute;margin-left:312.700012pt;margin-top:20.285938pt;width:50.5pt;height:2.5pt;mso-position-horizontal-relative:page;mso-position-vertical-relative:paragraph;z-index:6208;mso-wrap-distance-left:0;mso-wrap-distance-right:0" coordorigin="6254,406" coordsize="1010,50">
            <v:line style="position:absolute" from="6259,411" to="7259,411" stroked="true" strokeweight=".5pt" strokecolor="#231f20">
              <v:stroke dashstyle="solid"/>
            </v:line>
            <v:line style="position:absolute" from="6259,451" to="7259,451" stroked="true" strokeweight=".5pt" strokecolor="#231f20">
              <v:stroke dashstyle="solid"/>
            </v:line>
            <w10:wrap type="topAndBottom"/>
          </v:group>
        </w:pict>
      </w:r>
      <w:r>
        <w:rPr/>
        <w:pict>
          <v:group style="position:absolute;margin-left:377.700012pt;margin-top:20.285938pt;width:45.5pt;height:2.5pt;mso-position-horizontal-relative:page;mso-position-vertical-relative:paragraph;z-index:6232;mso-wrap-distance-left:0;mso-wrap-distance-right:0" coordorigin="7554,406" coordsize="910,50">
            <v:line style="position:absolute" from="7559,411" to="8459,411" stroked="true" strokeweight=".5pt" strokecolor="#231f20">
              <v:stroke dashstyle="solid"/>
            </v:line>
            <v:line style="position:absolute" from="7559,451" to="8459,451" stroked="true" strokeweight=".5pt" strokecolor="#231f20">
              <v:stroke dashstyle="solid"/>
            </v:line>
            <w10:wrap type="topAndBottom"/>
          </v:group>
        </w:pict>
      </w:r>
      <w:r>
        <w:rPr/>
        <w:pict>
          <v:group style="position:absolute;margin-left:437.700012pt;margin-top:20.285938pt;width:32.5500pt;height:2.5pt;mso-position-horizontal-relative:page;mso-position-vertical-relative:paragraph;z-index:6256;mso-wrap-distance-left:0;mso-wrap-distance-right:0" coordorigin="8754,406" coordsize="651,50">
            <v:line style="position:absolute" from="8759,411" to="9400,411" stroked="true" strokeweight=".5pt" strokecolor="#231f20">
              <v:stroke dashstyle="solid"/>
            </v:line>
            <v:line style="position:absolute" from="8759,451" to="9400,451" stroked="true" strokeweight=".5pt" strokecolor="#231f20">
              <v:stroke dashstyle="solid"/>
            </v:line>
            <w10:wrap type="topAndBottom"/>
          </v:group>
        </w:pict>
      </w:r>
      <w:r>
        <w:rPr/>
        <w:pict>
          <v:group style="position:absolute;margin-left:489.75pt;margin-top:20.285938pt;width:35.5pt;height:2.5pt;mso-position-horizontal-relative:page;mso-position-vertical-relative:paragraph;z-index:6280;mso-wrap-distance-left:0;mso-wrap-distance-right:0" coordorigin="9795,406" coordsize="710,50">
            <v:line style="position:absolute" from="9800,411" to="10500,411" stroked="true" strokeweight=".5pt" strokecolor="#231f20">
              <v:stroke dashstyle="solid"/>
            </v:line>
            <v:line style="position:absolute" from="9800,451" to="10500,451" stroked="true" strokeweight=".5pt" strokecolor="#231f20">
              <v:stroke dashstyle="solid"/>
            </v:line>
            <w10:wrap type="topAndBottom"/>
          </v:group>
        </w:pict>
      </w:r>
      <w:r>
        <w:rPr>
          <w:color w:val="231F20"/>
          <w:sz w:val="20"/>
        </w:rPr>
        <w:t>Total</w:t>
        <w:tab/>
        <w:t>$</w:t>
        <w:tab/>
        <w:t>550</w:t>
        <w:tab/>
        <w:t>$</w:t>
        <w:tab/>
        <w:t>755</w:t>
        <w:tab/>
        <w:t>$</w:t>
        <w:tab/>
        <w:t>251</w:t>
        <w:tab/>
        <w:t>$</w:t>
        <w:tab/>
        <w:t>36</w:t>
        <w:tab/>
        <w:t>$</w:t>
        <w:tab/>
        <w:t>(13)</w:t>
        <w:tab/>
        <w:t>$</w:t>
        <w:tab/>
        <w:t>3</w:t>
      </w:r>
    </w:p>
    <w:p>
      <w:pPr>
        <w:pStyle w:val="BodyText"/>
        <w:spacing w:before="10"/>
        <w:rPr>
          <w:sz w:val="14"/>
        </w:rPr>
      </w:pPr>
    </w:p>
    <w:p>
      <w:pPr>
        <w:spacing w:before="93"/>
        <w:ind w:left="120" w:right="0" w:firstLine="0"/>
        <w:jc w:val="left"/>
        <w:rPr>
          <w:sz w:val="20"/>
        </w:rPr>
      </w:pPr>
      <w:r>
        <w:rPr>
          <w:color w:val="231F20"/>
          <w:sz w:val="20"/>
        </w:rPr>
        <w:t>*Net of tax</w:t>
      </w:r>
    </w:p>
    <w:p>
      <w:pPr>
        <w:pStyle w:val="ListParagraph"/>
        <w:numPr>
          <w:ilvl w:val="0"/>
          <w:numId w:val="16"/>
        </w:numPr>
        <w:tabs>
          <w:tab w:pos="393" w:val="left" w:leader="none"/>
        </w:tabs>
        <w:spacing w:line="249" w:lineRule="auto" w:before="129" w:after="0"/>
        <w:ind w:left="120" w:right="71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6"/>
        </w:numPr>
        <w:tabs>
          <w:tab w:pos="404" w:val="left" w:leader="none"/>
        </w:tabs>
        <w:spacing w:line="240" w:lineRule="auto" w:before="120" w:after="0"/>
        <w:ind w:left="404" w:right="0" w:hanging="284"/>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rPr>
          <w:sz w:val="13"/>
        </w:rPr>
      </w:pPr>
    </w:p>
    <w:p>
      <w:pPr>
        <w:spacing w:before="100"/>
        <w:ind w:left="120" w:right="0" w:firstLine="0"/>
        <w:jc w:val="left"/>
        <w:rPr>
          <w:b/>
          <w:sz w:val="20"/>
        </w:rPr>
      </w:pPr>
      <w:r>
        <w:rPr>
          <w:b/>
          <w:color w:val="231F20"/>
          <w:sz w:val="20"/>
          <w:u w:val="single" w:color="231F20"/>
        </w:rPr>
        <w:t>Derivatives not in cash flow hedging relationships</w:t>
      </w:r>
    </w:p>
    <w:p>
      <w:pPr>
        <w:pStyle w:val="BodyText"/>
        <w:spacing w:before="1"/>
        <w:rPr>
          <w:b/>
          <w:sz w:val="13"/>
        </w:rPr>
      </w:pPr>
    </w:p>
    <w:p>
      <w:pPr>
        <w:spacing w:after="0"/>
        <w:rPr>
          <w:sz w:val="13"/>
        </w:rPr>
        <w:sectPr>
          <w:type w:val="continuous"/>
          <w:pgSz w:w="11880" w:h="15480"/>
          <w:pgMar w:top="1260" w:bottom="280" w:left="1260" w:right="1140"/>
        </w:sectPr>
      </w:pPr>
    </w:p>
    <w:p>
      <w:pPr>
        <w:spacing w:line="249" w:lineRule="auto" w:before="99"/>
        <w:ind w:left="4147" w:right="-16" w:firstLine="572"/>
        <w:jc w:val="left"/>
        <w:rPr>
          <w:b/>
          <w:sz w:val="20"/>
        </w:rPr>
      </w:pPr>
      <w:r>
        <w:rPr>
          <w:b/>
          <w:color w:val="231F20"/>
          <w:sz w:val="20"/>
        </w:rPr>
        <w:t>(Gain) loss recognized in income on</w:t>
      </w:r>
    </w:p>
    <w:p>
      <w:pPr>
        <w:spacing w:before="0"/>
        <w:ind w:left="0" w:right="538" w:firstLine="0"/>
        <w:jc w:val="right"/>
        <w:rPr>
          <w:b/>
          <w:sz w:val="20"/>
        </w:rPr>
      </w:pPr>
      <w:r>
        <w:rPr/>
        <w:pict>
          <v:line style="position:absolute;mso-position-horizontal-relative:page;mso-position-vertical-relative:paragraph;z-index:6424" from="257pt,12.835938pt" to="387pt,12.835938pt" stroked="true" strokeweight="1pt" strokecolor="#231f20">
            <v:stroke dashstyle="solid"/>
            <w10:wrap type="none"/>
          </v:line>
        </w:pict>
      </w:r>
      <w:r>
        <w:rPr>
          <w:b/>
          <w:color w:val="231F20"/>
          <w:sz w:val="20"/>
        </w:rPr>
        <w:t>derivatives</w:t>
      </w:r>
    </w:p>
    <w:p>
      <w:pPr>
        <w:spacing w:line="249" w:lineRule="auto" w:before="89"/>
        <w:ind w:left="459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2"/>
        <w:rPr>
          <w:b/>
          <w:sz w:val="19"/>
        </w:rPr>
      </w:pPr>
    </w:p>
    <w:p>
      <w:pPr>
        <w:spacing w:line="249" w:lineRule="auto" w:before="0"/>
        <w:ind w:left="847" w:right="519" w:hanging="42"/>
        <w:jc w:val="left"/>
        <w:rPr>
          <w:b/>
          <w:sz w:val="20"/>
        </w:rPr>
      </w:pPr>
      <w:r>
        <w:rPr/>
        <w:pict>
          <v:shape style="position:absolute;margin-left:71.5pt;margin-top:20.835938pt;width:442.4pt;height:34.75pt;mso-position-horizontal-relative:page;mso-position-vertical-relative:paragraph;z-index:64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10"/>
                    <w:gridCol w:w="1280"/>
                    <w:gridCol w:w="200"/>
                    <w:gridCol w:w="1120"/>
                    <w:gridCol w:w="2537"/>
                  </w:tblGrid>
                  <w:tr>
                    <w:trPr>
                      <w:trHeight w:val="320" w:hRule="exact"/>
                    </w:trPr>
                    <w:tc>
                      <w:tcPr>
                        <w:tcW w:w="3710" w:type="dxa"/>
                      </w:tcPr>
                      <w:p>
                        <w:pPr>
                          <w:pStyle w:val="TableParagraph"/>
                          <w:spacing w:before="63"/>
                          <w:ind w:left="50"/>
                          <w:rPr>
                            <w:b/>
                            <w:sz w:val="20"/>
                          </w:rPr>
                        </w:pPr>
                        <w:r>
                          <w:rPr>
                            <w:b/>
                            <w:color w:val="231F20"/>
                            <w:sz w:val="20"/>
                          </w:rPr>
                          <w:t>(in millions)</w:t>
                        </w:r>
                      </w:p>
                    </w:tc>
                    <w:tc>
                      <w:tcPr>
                        <w:tcW w:w="1280" w:type="dxa"/>
                        <w:tcBorders>
                          <w:top w:val="single" w:sz="8" w:space="0" w:color="231F20"/>
                          <w:bottom w:val="single" w:sz="8" w:space="0" w:color="231F20"/>
                        </w:tcBorders>
                      </w:tcPr>
                      <w:p>
                        <w:pPr>
                          <w:pStyle w:val="TableParagraph"/>
                          <w:jc w:val="center"/>
                          <w:rPr>
                            <w:b/>
                            <w:sz w:val="20"/>
                          </w:rPr>
                        </w:pPr>
                        <w:r>
                          <w:rPr>
                            <w:b/>
                            <w:color w:val="231F20"/>
                            <w:sz w:val="20"/>
                          </w:rPr>
                          <w:t>2015</w:t>
                        </w:r>
                      </w:p>
                    </w:tc>
                    <w:tc>
                      <w:tcPr>
                        <w:tcW w:w="200" w:type="dxa"/>
                        <w:tcBorders>
                          <w:top w:val="single" w:sz="8" w:space="0" w:color="231F20"/>
                        </w:tcBorders>
                      </w:tcPr>
                      <w:p>
                        <w:pPr/>
                      </w:p>
                    </w:tc>
                    <w:tc>
                      <w:tcPr>
                        <w:tcW w:w="1120" w:type="dxa"/>
                        <w:tcBorders>
                          <w:top w:val="single" w:sz="8" w:space="0" w:color="231F20"/>
                          <w:bottom w:val="single" w:sz="8" w:space="0" w:color="231F20"/>
                        </w:tcBorders>
                      </w:tcPr>
                      <w:p>
                        <w:pPr>
                          <w:pStyle w:val="TableParagraph"/>
                          <w:jc w:val="center"/>
                          <w:rPr>
                            <w:b/>
                            <w:sz w:val="20"/>
                          </w:rPr>
                        </w:pPr>
                        <w:r>
                          <w:rPr>
                            <w:b/>
                            <w:color w:val="231F20"/>
                            <w:sz w:val="20"/>
                          </w:rPr>
                          <w:t>2014</w:t>
                        </w:r>
                      </w:p>
                    </w:tc>
                    <w:tc>
                      <w:tcPr>
                        <w:tcW w:w="2537" w:type="dxa"/>
                      </w:tcPr>
                      <w:p>
                        <w:pPr>
                          <w:pStyle w:val="TableParagraph"/>
                          <w:spacing w:before="63"/>
                          <w:ind w:left="531" w:right="31"/>
                          <w:jc w:val="center"/>
                          <w:rPr>
                            <w:b/>
                            <w:sz w:val="20"/>
                          </w:rPr>
                        </w:pPr>
                        <w:r>
                          <w:rPr>
                            <w:b/>
                            <w:color w:val="231F20"/>
                            <w:sz w:val="20"/>
                          </w:rPr>
                          <w:t>on derivatives</w:t>
                        </w:r>
                      </w:p>
                    </w:tc>
                  </w:tr>
                  <w:tr>
                    <w:trPr>
                      <w:trHeight w:val="365" w:hRule="exact"/>
                    </w:trPr>
                    <w:tc>
                      <w:tcPr>
                        <w:tcW w:w="3710" w:type="dxa"/>
                        <w:shd w:val="clear" w:color="auto" w:fill="D1D3D4"/>
                      </w:tcPr>
                      <w:p>
                        <w:pPr>
                          <w:pStyle w:val="TableParagraph"/>
                          <w:spacing w:before="63"/>
                          <w:ind w:left="50"/>
                          <w:rPr>
                            <w:sz w:val="20"/>
                          </w:rPr>
                        </w:pPr>
                        <w:r>
                          <w:rPr>
                            <w:color w:val="231F20"/>
                            <w:sz w:val="20"/>
                          </w:rPr>
                          <w:t>Fuel derivative contracts</w:t>
                        </w:r>
                      </w:p>
                    </w:tc>
                    <w:tc>
                      <w:tcPr>
                        <w:tcW w:w="1280" w:type="dxa"/>
                        <w:tcBorders>
                          <w:top w:val="single" w:sz="8" w:space="0" w:color="231F20"/>
                          <w:bottom w:val="single" w:sz="4" w:space="0" w:color="231F20"/>
                        </w:tcBorders>
                        <w:shd w:val="clear" w:color="auto" w:fill="D1D3D4"/>
                      </w:tcPr>
                      <w:p>
                        <w:pPr>
                          <w:pStyle w:val="TableParagraph"/>
                          <w:tabs>
                            <w:tab w:pos="879" w:val="left" w:leader="none"/>
                          </w:tabs>
                          <w:ind w:right="97"/>
                          <w:jc w:val="center"/>
                          <w:rPr>
                            <w:sz w:val="20"/>
                          </w:rPr>
                        </w:pPr>
                        <w:r>
                          <w:rPr>
                            <w:color w:val="231F20"/>
                            <w:sz w:val="20"/>
                          </w:rPr>
                          <w:t>$</w:t>
                          <w:tab/>
                          <w:t>444</w:t>
                        </w:r>
                      </w:p>
                    </w:tc>
                    <w:tc>
                      <w:tcPr>
                        <w:tcW w:w="200" w:type="dxa"/>
                        <w:shd w:val="clear" w:color="auto" w:fill="D1D3D4"/>
                      </w:tcPr>
                      <w:p>
                        <w:pPr/>
                      </w:p>
                    </w:tc>
                    <w:tc>
                      <w:tcPr>
                        <w:tcW w:w="1120" w:type="dxa"/>
                        <w:tcBorders>
                          <w:top w:val="single" w:sz="8" w:space="0" w:color="231F20"/>
                          <w:bottom w:val="single" w:sz="4" w:space="0" w:color="231F20"/>
                        </w:tcBorders>
                        <w:shd w:val="clear" w:color="auto" w:fill="D1D3D4"/>
                      </w:tcPr>
                      <w:p>
                        <w:pPr>
                          <w:pStyle w:val="TableParagraph"/>
                          <w:tabs>
                            <w:tab w:pos="699" w:val="left" w:leader="none"/>
                          </w:tabs>
                          <w:ind w:right="117"/>
                          <w:jc w:val="center"/>
                          <w:rPr>
                            <w:sz w:val="20"/>
                          </w:rPr>
                        </w:pPr>
                        <w:r>
                          <w:rPr>
                            <w:color w:val="231F20"/>
                            <w:sz w:val="20"/>
                          </w:rPr>
                          <w:t>$</w:t>
                          <w:tab/>
                          <w:t>244</w:t>
                        </w:r>
                      </w:p>
                    </w:tc>
                    <w:tc>
                      <w:tcPr>
                        <w:tcW w:w="2537" w:type="dxa"/>
                        <w:shd w:val="clear" w:color="auto" w:fill="D1D3D4"/>
                      </w:tcPr>
                      <w:p>
                        <w:pPr>
                          <w:pStyle w:val="TableParagraph"/>
                          <w:spacing w:before="63"/>
                          <w:ind w:left="532" w:right="31"/>
                          <w:jc w:val="center"/>
                          <w:rPr>
                            <w:sz w:val="20"/>
                          </w:rPr>
                        </w:pPr>
                        <w:r>
                          <w:rPr>
                            <w:color w:val="231F20"/>
                            <w:sz w:val="20"/>
                          </w:rPr>
                          <w:t>Other (gains) losses, net</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60" w:right="1140"/>
          <w:cols w:num="2" w:equalWidth="0">
            <w:col w:w="6212" w:space="40"/>
            <w:col w:w="3228"/>
          </w:cols>
        </w:sectPr>
      </w:pPr>
    </w:p>
    <w:p>
      <w:pPr>
        <w:pStyle w:val="BodyText"/>
        <w:spacing w:before="6"/>
        <w:rPr>
          <w:b/>
          <w:sz w:val="21"/>
        </w:rPr>
      </w:pPr>
    </w:p>
    <w:p>
      <w:pPr>
        <w:pStyle w:val="BodyText"/>
        <w:ind w:left="110"/>
        <w:rPr>
          <w:sz w:val="20"/>
        </w:rPr>
      </w:pPr>
      <w:r>
        <w:rPr>
          <w:sz w:val="20"/>
        </w:rPr>
        <w:pict>
          <v:group style="width:457pt;height:17pt;mso-position-horizontal-relative:char;mso-position-vertical-relative:line" coordorigin="0,0" coordsize="9140,340">
            <v:rect style="position:absolute;left:10;top:20;width:9120;height:300" filled="true" fillcolor="#d1d3d4" stroked="false">
              <v:fill type="solid"/>
            </v:rect>
            <v:line style="position:absolute" from="6530,10" to="9130,10" stroked="true" strokeweight="1pt" strokecolor="#231f20">
              <v:stroke dashstyle="solid"/>
            </v:line>
            <v:line style="position:absolute" from="10,10" to="1141,10" stroked="true" strokeweight="1pt" strokecolor="#231f20">
              <v:stroke dashstyle="solid"/>
            </v:line>
            <v:line style="position:absolute" from="3770,335" to="5050,335" stroked="true" strokeweight=".5pt" strokecolor="#231f20">
              <v:stroke dashstyle="solid"/>
            </v:line>
            <v:line style="position:absolute" from="5250,335" to="6370,335" stroked="true" strokeweight=".5pt" strokecolor="#231f20">
              <v:stroke dashstyle="solid"/>
            </v:line>
          </v:group>
        </w:pict>
      </w:r>
      <w:r>
        <w:rPr>
          <w:sz w:val="20"/>
        </w:rPr>
      </w:r>
    </w:p>
    <w:p>
      <w:pPr>
        <w:pStyle w:val="BodyText"/>
        <w:spacing w:before="3"/>
        <w:rPr>
          <w:b/>
          <w:sz w:val="19"/>
        </w:rPr>
      </w:pPr>
    </w:p>
    <w:p>
      <w:pPr>
        <w:pStyle w:val="BodyText"/>
        <w:spacing w:line="247" w:lineRule="auto" w:before="93"/>
        <w:ind w:left="120" w:right="237"/>
        <w:jc w:val="both"/>
      </w:pPr>
      <w:r>
        <w:rPr>
          <w:color w:val="231F20"/>
        </w:rPr>
        <w:t>The Company also recorded expense associated with premiums paid for fuel derivative contracts that settled/expired during 2015, 2014, and 2013 of $124 million, $62 million, and $60 million, respectively. These amounts are excluded from the Company’s measurement of effectiveness for related hedges and are included as a component of Other (gains) losses, net, in the Consolidated Statement of</w:t>
      </w:r>
      <w:r>
        <w:rPr>
          <w:color w:val="231F20"/>
          <w:spacing w:val="-1"/>
        </w:rPr>
        <w:t> </w:t>
      </w:r>
      <w:r>
        <w:rPr>
          <w:color w:val="231F20"/>
        </w:rPr>
        <w:t>Income.</w:t>
      </w:r>
    </w:p>
    <w:p>
      <w:pPr>
        <w:pStyle w:val="BodyText"/>
        <w:spacing w:before="9"/>
        <w:rPr>
          <w:sz w:val="20"/>
        </w:rPr>
      </w:pPr>
    </w:p>
    <w:p>
      <w:pPr>
        <w:pStyle w:val="BodyText"/>
        <w:spacing w:line="247" w:lineRule="auto"/>
        <w:ind w:left="120" w:right="237"/>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2015, recorded in AOCI, were approximately $620 million in unrealized losses, net of taxes, which are expected to be realized in earnings during the twelve months subsequent to December 31, 2015.</w:t>
      </w:r>
    </w:p>
    <w:p>
      <w:pPr>
        <w:spacing w:after="0" w:line="247" w:lineRule="auto"/>
        <w:jc w:val="both"/>
        <w:sectPr>
          <w:type w:val="continuous"/>
          <w:pgSz w:w="11880" w:h="15480"/>
          <w:pgMar w:top="1260" w:bottom="280" w:left="1260" w:right="1140"/>
        </w:sectPr>
      </w:pPr>
    </w:p>
    <w:p>
      <w:pPr>
        <w:pStyle w:val="Heading2"/>
        <w:spacing w:before="74"/>
        <w:ind w:left="100"/>
        <w:jc w:val="both"/>
        <w:rPr>
          <w:i/>
        </w:rPr>
      </w:pPr>
      <w:r>
        <w:rPr>
          <w:i/>
          <w:color w:val="231F20"/>
        </w:rPr>
        <w:t>Interest Rate Swaps</w:t>
      </w:r>
    </w:p>
    <w:p>
      <w:pPr>
        <w:pStyle w:val="BodyText"/>
        <w:spacing w:before="3"/>
        <w:rPr>
          <w:b/>
          <w:i/>
          <w:sz w:val="19"/>
        </w:rPr>
      </w:pPr>
    </w:p>
    <w:p>
      <w:pPr>
        <w:pStyle w:val="BodyText"/>
        <w:spacing w:line="247" w:lineRule="auto" w:before="1"/>
        <w:ind w:left="100" w:right="117"/>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 Holdings’, interest rate swap agreements for all periods presented was not</w:t>
      </w:r>
      <w:r>
        <w:rPr>
          <w:color w:val="231F20"/>
          <w:spacing w:val="-1"/>
        </w:rPr>
        <w:t> </w:t>
      </w:r>
      <w:r>
        <w:rPr>
          <w:color w:val="231F20"/>
        </w:rPr>
        <w:t>material.</w:t>
      </w:r>
    </w:p>
    <w:p>
      <w:pPr>
        <w:pStyle w:val="BodyText"/>
        <w:spacing w:line="247" w:lineRule="auto" w:before="215"/>
        <w:ind w:left="100" w:right="117"/>
        <w:jc w:val="both"/>
      </w:pPr>
      <w:r>
        <w:rPr>
          <w:color w:val="231F20"/>
        </w:rPr>
        <w:t>The Company has floating-to-fixed interest rate swap agreements associated with its $600 million floating-rate term loan agreement due 2020 and its $332 million term loan agreement due 2019 that are accounted for as cash flow hedges. These interest rate hedges have fixed the interest rate on the $600 million floating-rate term loan agreement at 5.223 percent until maturity, and for the $332 million term loan agreement at 6.315 percent until maturity.</w:t>
      </w:r>
    </w:p>
    <w:p>
      <w:pPr>
        <w:pStyle w:val="BodyText"/>
        <w:spacing w:line="247" w:lineRule="auto" w:before="215"/>
        <w:ind w:left="100" w:right="117"/>
        <w:jc w:val="both"/>
      </w:pPr>
      <w:r>
        <w:rPr>
          <w:color w:val="231F20"/>
        </w:rPr>
        <w:t>The fair values of the interest rate swap agreements, which are adjusted regularly, have been aggregated by counterparty for classification in the Consolidated Balance Sheet. Agreements totaling an asset of $2 million are fair value hedges and are classified as a component of Other assets. The corresponding adjustment related to the net asset associated with the Company’s fair value hedges is to the carrying value of the long-term debt. Agreements totaling a net liability of $49 million are fair  value hedges and cash flow hedges and are classified as a component of Other noncurrent liabilities. The corresponding adjustment related to the net liability associated with the Company’s cash flow hedges is to AOCI and fair value hedges is to the carrying value of the long-term debt. See Note</w:t>
      </w:r>
      <w:r>
        <w:rPr>
          <w:color w:val="231F20"/>
          <w:spacing w:val="-4"/>
        </w:rPr>
        <w:t> </w:t>
      </w:r>
      <w:r>
        <w:rPr>
          <w:color w:val="231F20"/>
        </w:rPr>
        <w:t>12.</w:t>
      </w:r>
    </w:p>
    <w:p>
      <w:pPr>
        <w:pStyle w:val="BodyText"/>
        <w:spacing w:line="247" w:lineRule="auto" w:before="215"/>
        <w:ind w:left="100" w:right="117"/>
        <w:jc w:val="both"/>
      </w:pPr>
      <w:r>
        <w:rPr>
          <w:color w:val="231F20"/>
        </w:rPr>
        <w:t>There are also a number of interest rate swap agreements, which convert a portion of AirTran  Holdings’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six-month LIBOR on the notional values. The notional amount of outstanding debt related to interest rate swaps as of December 31, 2015, was $208 million. These interest rate swap arrangements were designated as cash flow hedges as of the acquisition date. The ineffectiveness associated with all of the Company’s interest rate cash flow hedges for all periods presented was not</w:t>
      </w:r>
      <w:r>
        <w:rPr>
          <w:color w:val="231F20"/>
          <w:spacing w:val="-1"/>
        </w:rPr>
        <w:t> </w:t>
      </w:r>
      <w:r>
        <w:rPr>
          <w:color w:val="231F20"/>
        </w:rPr>
        <w:t>material.</w:t>
      </w:r>
    </w:p>
    <w:p>
      <w:pPr>
        <w:pStyle w:val="BodyText"/>
        <w:spacing w:line="247" w:lineRule="auto" w:before="215"/>
        <w:ind w:left="100" w:right="117"/>
        <w:jc w:val="both"/>
      </w:pPr>
      <w:r>
        <w:rPr>
          <w:color w:val="231F20"/>
        </w:rPr>
        <w:t>During 2015, the Company terminated the fixed-to-floating interest rate swap agreements related to its$300 million 5.75% unsecured notes due 2016. The effect of this termination is such that the interest associated with the debt prospectively reverts back to its original fixed rate. As a result of the approximate $12 million gain realized on this transaction, which will be amortized over the remaining term of the corresponding unsecured notes, and based on projected interest rates at the date of termination, the Company does not believe its future interest expense associated with these unsecured notes will significantly differ from the expense it would have recorded had the unsecured notes remained at floating rates.</w:t>
      </w:r>
    </w:p>
    <w:p>
      <w:pPr>
        <w:pStyle w:val="BodyText"/>
        <w:spacing w:before="215"/>
        <w:ind w:left="100"/>
        <w:jc w:val="both"/>
      </w:pPr>
      <w:r>
        <w:rPr>
          <w:color w:val="231F20"/>
        </w:rPr>
        <w:t>During fourth quarter 2015, the Company entered into an interest rate swap agreement related to its</w:t>
      </w:r>
    </w:p>
    <w:p>
      <w:pPr>
        <w:pStyle w:val="BodyText"/>
        <w:spacing w:line="247" w:lineRule="auto" w:before="6"/>
        <w:ind w:left="100" w:right="118"/>
        <w:jc w:val="both"/>
      </w:pPr>
      <w:r>
        <w:rPr>
          <w:color w:val="231F20"/>
        </w:rPr>
        <w:t>$500 million 2.65% Notes due 2020. The primary objective for the Company’s use of this interest rate hedge was to reduce the volatility of net interest expense by better matching the repricing of its assets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and liabilities. Under this interest rate swap agreement, the Company pays LIBOR plus a margin every six months on the notional amount of the debt, and receives payments based on the fixed stated rate of the notes every six months until the date the notes become due. This interest rate swap agreement qualifies as a fair value hedge. As a result of the fixed-to-floating interest rate swap agreement in place, the average floating rate recognized during 2015 was approximately 1.94 percent, based on actual and forward rates as of December 31, 2015.</w:t>
      </w:r>
    </w:p>
    <w:p>
      <w:pPr>
        <w:pStyle w:val="BodyText"/>
        <w:spacing w:before="9"/>
        <w:rPr>
          <w:sz w:val="20"/>
        </w:rPr>
      </w:pPr>
    </w:p>
    <w:p>
      <w:pPr>
        <w:pStyle w:val="BodyText"/>
        <w:spacing w:line="247" w:lineRule="auto"/>
        <w:ind w:left="100" w:right="117"/>
        <w:jc w:val="both"/>
      </w:pPr>
      <w:r>
        <w:rPr>
          <w:color w:val="231F20"/>
        </w:rPr>
        <w:t>The Company also has fixed-to-floating interest rate swap agreements in place associated with its $300 million 2.75% Notes due 2019 that are accounted for as fair value hedges. As a result of the fixed-to- floating interest rate swap agreements in place, the average floating rate recognized during 2015 was approximately 1.27 percent, based on actual and forward rates as of December 31, 2015.</w:t>
      </w:r>
    </w:p>
    <w:p>
      <w:pPr>
        <w:pStyle w:val="BodyText"/>
        <w:spacing w:before="9"/>
        <w:rPr>
          <w:sz w:val="20"/>
        </w:rPr>
      </w:pPr>
    </w:p>
    <w:p>
      <w:pPr>
        <w:pStyle w:val="Heading2"/>
        <w:ind w:left="100"/>
        <w:jc w:val="both"/>
        <w:rPr>
          <w:i/>
        </w:rPr>
      </w:pPr>
      <w:r>
        <w:rPr>
          <w:i/>
          <w:color w:val="231F20"/>
        </w:rPr>
        <w:t>Credit Risk and Collateral</w:t>
      </w:r>
    </w:p>
    <w:p>
      <w:pPr>
        <w:pStyle w:val="BodyText"/>
        <w:spacing w:before="4"/>
        <w:rPr>
          <w:b/>
          <w:i/>
          <w:sz w:val="21"/>
        </w:rPr>
      </w:pPr>
    </w:p>
    <w:p>
      <w:pPr>
        <w:pStyle w:val="BodyText"/>
        <w:spacing w:line="247" w:lineRule="auto" w:before="1"/>
        <w:ind w:left="100" w:right="117"/>
        <w:jc w:val="both"/>
      </w:pPr>
      <w:r>
        <w:rPr>
          <w:color w:val="231F20"/>
        </w:rPr>
        <w:t>Credit exposure related to fuel derivative instruments is represented by the fair value of contracts that are an asset to the Company at the reporting date. At such times,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2015,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those counterparties exceeds specific thresholds. The following table provides the fair values of fuel derivatives, amounts posted as collateral, and applicable collateral posting threshold amounts as of December 31, 2015, at which such postings are triggered:</w:t>
      </w:r>
    </w:p>
    <w:p>
      <w:pPr>
        <w:pStyle w:val="BodyText"/>
        <w:spacing w:before="8"/>
        <w:rPr>
          <w:sz w:val="12"/>
        </w:rPr>
      </w:pPr>
    </w:p>
    <w:p>
      <w:pPr>
        <w:spacing w:before="99" w:after="16"/>
        <w:ind w:left="1014" w:right="95" w:firstLine="0"/>
        <w:jc w:val="center"/>
        <w:rPr>
          <w:b/>
          <w:sz w:val="20"/>
        </w:rPr>
      </w:pPr>
      <w:r>
        <w:rPr>
          <w:b/>
          <w:color w:val="231F20"/>
          <w:sz w:val="20"/>
        </w:rPr>
        <w:t>Counterparty (CP)</w:t>
      </w:r>
    </w:p>
    <w:p>
      <w:pPr>
        <w:pStyle w:val="BodyText"/>
        <w:spacing w:line="20" w:lineRule="exact"/>
        <w:ind w:left="1911"/>
        <w:rPr>
          <w:sz w:val="2"/>
        </w:rPr>
      </w:pPr>
      <w:r>
        <w:rPr>
          <w:sz w:val="2"/>
        </w:rPr>
        <w:pict>
          <v:group style="width:322.95pt;height:1pt;mso-position-horizontal-relative:char;mso-position-vertical-relative:line" coordorigin="0,0" coordsize="6459,20">
            <v:line style="position:absolute" from="10,10" to="6449,10" stroked="true" strokeweight="1pt" strokecolor="#231f20">
              <v:stroke dashstyle="solid"/>
            </v:line>
          </v:group>
        </w:pict>
      </w:r>
      <w:r>
        <w:rPr>
          <w:sz w:val="2"/>
        </w:rPr>
      </w:r>
    </w:p>
    <w:p>
      <w:pPr>
        <w:tabs>
          <w:tab w:pos="2242" w:val="left" w:leader="none"/>
          <w:tab w:pos="3266" w:val="left" w:leader="none"/>
          <w:tab w:pos="4160" w:val="left" w:leader="none"/>
          <w:tab w:pos="5058" w:val="left" w:leader="none"/>
          <w:tab w:pos="6122" w:val="left" w:leader="none"/>
          <w:tab w:pos="7076" w:val="left" w:leader="none"/>
          <w:tab w:pos="7774" w:val="left" w:leader="none"/>
          <w:tab w:pos="8717" w:val="left" w:leader="none"/>
        </w:tabs>
        <w:spacing w:before="10"/>
        <w:ind w:left="200" w:right="0" w:firstLine="0"/>
        <w:jc w:val="left"/>
        <w:rPr>
          <w:b/>
          <w:sz w:val="16"/>
        </w:rPr>
      </w:pP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w:t>
      </w:r>
      <w:r>
        <w:rPr>
          <w:color w:val="231F20"/>
          <w:sz w:val="16"/>
        </w:rPr>
        <w:t>(a)</w:t>
        <w:tab/>
      </w:r>
      <w:r>
        <w:rPr>
          <w:b/>
          <w:color w:val="231F20"/>
          <w:sz w:val="16"/>
        </w:rPr>
        <w:t>Total</w:t>
      </w:r>
    </w:p>
    <w:p>
      <w:pPr>
        <w:spacing w:after="0"/>
        <w:jc w:val="left"/>
        <w:rPr>
          <w:sz w:val="16"/>
        </w:rPr>
        <w:sectPr>
          <w:pgSz w:w="11880" w:h="15480"/>
          <w:pgMar w:header="0" w:footer="1240" w:top="1240" w:bottom="1420" w:left="1260" w:right="1260"/>
        </w:sectPr>
      </w:pPr>
    </w:p>
    <w:p>
      <w:pPr>
        <w:pStyle w:val="BodyText"/>
        <w:rPr>
          <w:b/>
          <w:sz w:val="3"/>
        </w:rPr>
      </w:pPr>
    </w:p>
    <w:p>
      <w:pPr>
        <w:pStyle w:val="BodyText"/>
        <w:spacing w:line="20" w:lineRule="exact"/>
        <w:ind w:left="115"/>
        <w:rPr>
          <w:sz w:val="2"/>
        </w:rPr>
      </w:pPr>
      <w:r>
        <w:rPr>
          <w:sz w:val="2"/>
        </w:rPr>
        <w:pict>
          <v:group style="width:44.1pt;height:.5pt;mso-position-horizontal-relative:char;mso-position-vertical-relative:line" coordorigin="0,0" coordsize="882,10">
            <v:line style="position:absolute" from="5,5" to="877,5" stroked="true" strokeweight=".5pt" strokecolor="#231f20">
              <v:stroke dashstyle="solid"/>
            </v:line>
          </v:group>
        </w:pict>
      </w:r>
      <w:r>
        <w:rPr>
          <w:sz w:val="2"/>
        </w:rPr>
      </w:r>
    </w:p>
    <w:p>
      <w:pPr>
        <w:spacing w:line="196" w:lineRule="exact" w:before="29"/>
        <w:ind w:left="300" w:right="165" w:hanging="90"/>
        <w:jc w:val="left"/>
        <w:rPr>
          <w:sz w:val="18"/>
        </w:rPr>
      </w:pPr>
      <w:r>
        <w:rPr/>
        <w:pict>
          <v:rect style="position:absolute;margin-left:69pt;margin-top:22.089989pt;width:456pt;height:22.6pt;mso-position-horizontal-relative:page;mso-position-vertical-relative:paragraph;z-index:-388744" filled="true" fillcolor="#d1d3d4" stroked="false">
            <v:fill type="solid"/>
            <w10:wrap type="none"/>
          </v:rect>
        </w:pict>
      </w:r>
      <w:r>
        <w:rPr>
          <w:color w:val="231F20"/>
          <w:sz w:val="18"/>
        </w:rPr>
        <w:t>Fair value of fuel derivatives</w:t>
      </w:r>
    </w:p>
    <w:p>
      <w:pPr>
        <w:spacing w:line="196" w:lineRule="exact" w:before="59"/>
        <w:ind w:left="300" w:right="-20" w:hanging="90"/>
        <w:jc w:val="left"/>
        <w:rPr>
          <w:sz w:val="18"/>
        </w:rPr>
      </w:pPr>
      <w:r>
        <w:rPr>
          <w:color w:val="231F20"/>
          <w:sz w:val="18"/>
        </w:rPr>
        <w:t>Cash collateral held</w:t>
      </w:r>
      <w:r>
        <w:rPr>
          <w:color w:val="231F20"/>
          <w:w w:val="100"/>
          <w:sz w:val="18"/>
        </w:rPr>
        <w:t> </w:t>
      </w:r>
      <w:r>
        <w:rPr>
          <w:color w:val="231F20"/>
          <w:sz w:val="18"/>
        </w:rPr>
        <w:t>(by) CP</w:t>
      </w:r>
    </w:p>
    <w:p>
      <w:pPr>
        <w:spacing w:line="196" w:lineRule="exact" w:before="59"/>
        <w:ind w:left="300" w:right="125" w:hanging="90"/>
        <w:jc w:val="left"/>
        <w:rPr>
          <w:sz w:val="18"/>
        </w:rPr>
      </w:pPr>
      <w:r>
        <w:rPr>
          <w:color w:val="231F20"/>
          <w:sz w:val="18"/>
        </w:rPr>
        <w:t>Aircraft collateral pledged to CP</w:t>
      </w:r>
    </w:p>
    <w:p>
      <w:pPr>
        <w:pStyle w:val="BodyText"/>
        <w:spacing w:before="1"/>
        <w:rPr>
          <w:sz w:val="2"/>
        </w:rPr>
      </w:pPr>
      <w:r>
        <w:rPr/>
        <w:br w:type="column"/>
      </w:r>
      <w:r>
        <w:rPr>
          <w:sz w:val="2"/>
        </w:rPr>
      </w:r>
    </w:p>
    <w:p>
      <w:pPr>
        <w:tabs>
          <w:tab w:pos="1200" w:val="left" w:leader="none"/>
        </w:tabs>
        <w:spacing w:line="20" w:lineRule="exact"/>
        <w:ind w:left="200" w:right="0" w:firstLine="0"/>
        <w:rPr>
          <w:sz w:val="2"/>
        </w:rPr>
      </w:pPr>
      <w:r>
        <w:rPr>
          <w:sz w:val="2"/>
        </w:rPr>
        <w:pict>
          <v:group style="width:39pt;height:1pt;mso-position-horizontal-relative:char;mso-position-vertical-relative:line" coordorigin="0,0" coordsize="780,20">
            <v:line style="position:absolute" from="10,10" to="770,10" stroked="true" strokeweight="1pt" strokecolor="#231f20">
              <v:stroke dashstyle="solid"/>
            </v:line>
          </v:group>
        </w:pict>
      </w:r>
      <w:r>
        <w:rPr>
          <w:sz w:val="2"/>
        </w:rPr>
      </w:r>
      <w:r>
        <w:rPr>
          <w:sz w:val="2"/>
        </w:rPr>
        <w:tab/>
      </w:r>
      <w:r>
        <w:rPr>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z w:val="2"/>
        </w:rPr>
      </w:r>
      <w:r>
        <w:rPr>
          <w:spacing w:val="170"/>
          <w:sz w:val="2"/>
        </w:rPr>
        <w:t> </w:t>
      </w:r>
      <w:r>
        <w:rPr>
          <w:spacing w:val="170"/>
          <w:sz w:val="2"/>
        </w:rPr>
        <w:pict>
          <v:group style="width:30.8pt;height:1pt;mso-position-horizontal-relative:char;mso-position-vertical-relative:line" coordorigin="0,0" coordsize="616,20">
            <v:line style="position:absolute" from="10,10" to="606,10" stroked="true" strokeweight="1pt" strokecolor="#231f20">
              <v:stroke dashstyle="solid"/>
            </v:line>
          </v:group>
        </w:pict>
      </w:r>
      <w:r>
        <w:rPr>
          <w:spacing w:val="170"/>
          <w:sz w:val="2"/>
        </w:rPr>
      </w:r>
      <w:r>
        <w:rPr>
          <w:spacing w:val="161"/>
          <w:sz w:val="2"/>
        </w:rPr>
        <w:t> </w:t>
      </w:r>
      <w:r>
        <w:rPr>
          <w:spacing w:val="161"/>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pacing w:val="161"/>
          <w:sz w:val="2"/>
        </w:rPr>
      </w:r>
      <w:r>
        <w:rPr>
          <w:spacing w:val="170"/>
          <w:sz w:val="2"/>
        </w:rPr>
        <w:t> </w:t>
      </w:r>
      <w:r>
        <w:rPr>
          <w:spacing w:val="170"/>
          <w:sz w:val="2"/>
        </w:rPr>
        <w:pict>
          <v:group style="width:47pt;height:1pt;mso-position-horizontal-relative:char;mso-position-vertical-relative:line" coordorigin="0,0" coordsize="940,20">
            <v:line style="position:absolute" from="10,10" to="930,10" stroked="true" strokeweight="1pt" strokecolor="#231f20">
              <v:stroke dashstyle="solid"/>
            </v:line>
          </v:group>
        </w:pict>
      </w:r>
      <w:r>
        <w:rPr>
          <w:spacing w:val="170"/>
          <w:sz w:val="2"/>
        </w:rPr>
      </w:r>
      <w:r>
        <w:rPr>
          <w:spacing w:val="170"/>
          <w:sz w:val="2"/>
        </w:rPr>
        <w:t> </w:t>
      </w:r>
      <w:r>
        <w:rPr>
          <w:spacing w:val="170"/>
          <w:sz w:val="2"/>
        </w:rPr>
        <w:pict>
          <v:group style="width:29.9pt;height:1pt;mso-position-horizontal-relative:char;mso-position-vertical-relative:line" coordorigin="0,0" coordsize="598,20">
            <v:line style="position:absolute" from="10,10" to="588,10" stroked="true" strokeweight="1pt" strokecolor="#231f20">
              <v:stroke dashstyle="solid"/>
            </v:line>
          </v:group>
        </w:pict>
      </w:r>
      <w:r>
        <w:rPr>
          <w:spacing w:val="170"/>
          <w:sz w:val="2"/>
        </w:rPr>
      </w:r>
      <w:r>
        <w:rPr>
          <w:spacing w:val="173"/>
          <w:sz w:val="2"/>
        </w:rPr>
        <w:t> </w:t>
      </w:r>
      <w:r>
        <w:rPr>
          <w:spacing w:val="173"/>
          <w:sz w:val="2"/>
        </w:rPr>
        <w:pict>
          <v:group style="width:38.25pt;height:1pt;mso-position-horizontal-relative:char;mso-position-vertical-relative:line" coordorigin="0,0" coordsize="765,20">
            <v:line style="position:absolute" from="10,10" to="755,10" stroked="true" strokeweight="1pt" strokecolor="#231f20">
              <v:stroke dashstyle="solid"/>
            </v:line>
          </v:group>
        </w:pict>
      </w:r>
      <w:r>
        <w:rPr>
          <w:spacing w:val="173"/>
          <w:sz w:val="2"/>
        </w:rPr>
      </w:r>
      <w:r>
        <w:rPr>
          <w:spacing w:val="160"/>
          <w:sz w:val="2"/>
        </w:rPr>
        <w:t> </w:t>
      </w:r>
      <w:r>
        <w:rPr>
          <w:spacing w:val="160"/>
          <w:sz w:val="2"/>
        </w:rPr>
        <w:pict>
          <v:group style="width:35pt;height:1pt;mso-position-horizontal-relative:char;mso-position-vertical-relative:line" coordorigin="0,0" coordsize="700,20">
            <v:line style="position:absolute" from="10,10" to="690,10" stroked="true" strokeweight="1pt" strokecolor="#231f20">
              <v:stroke dashstyle="solid"/>
            </v:line>
          </v:group>
        </w:pict>
      </w:r>
      <w:r>
        <w:rPr>
          <w:spacing w:val="160"/>
          <w:sz w:val="2"/>
        </w:rPr>
      </w:r>
    </w:p>
    <w:p>
      <w:pPr>
        <w:tabs>
          <w:tab w:pos="639" w:val="left" w:leader="none"/>
          <w:tab w:pos="1679" w:val="left" w:leader="none"/>
          <w:tab w:pos="3475" w:val="left" w:leader="none"/>
          <w:tab w:pos="4595" w:val="left" w:leader="none"/>
          <w:tab w:pos="5523" w:val="left" w:leader="none"/>
          <w:tab w:pos="6558" w:val="left" w:leader="none"/>
        </w:tabs>
        <w:spacing w:before="28"/>
        <w:ind w:left="210" w:right="0" w:firstLine="0"/>
        <w:jc w:val="left"/>
        <w:rPr>
          <w:sz w:val="18"/>
        </w:rPr>
      </w:pPr>
      <w:r>
        <w:rPr>
          <w:color w:val="231F20"/>
          <w:sz w:val="18"/>
        </w:rPr>
        <w:t>$</w:t>
        <w:tab/>
        <w:t>(562)    $</w:t>
        <w:tab/>
        <w:t>(201)   $   </w:t>
      </w:r>
      <w:r>
        <w:rPr>
          <w:color w:val="231F20"/>
          <w:spacing w:val="1"/>
          <w:sz w:val="18"/>
        </w:rPr>
        <w:t> </w:t>
      </w:r>
      <w:r>
        <w:rPr>
          <w:color w:val="231F20"/>
          <w:sz w:val="18"/>
        </w:rPr>
        <w:t>(176)  </w:t>
      </w:r>
      <w:r>
        <w:rPr>
          <w:color w:val="231F20"/>
          <w:spacing w:val="5"/>
          <w:sz w:val="18"/>
        </w:rPr>
        <w:t> </w:t>
      </w:r>
      <w:r>
        <w:rPr>
          <w:color w:val="231F20"/>
          <w:sz w:val="18"/>
        </w:rPr>
        <w:t>$</w:t>
        <w:tab/>
        <w:t>(411)  </w:t>
      </w:r>
      <w:r>
        <w:rPr>
          <w:color w:val="231F20"/>
          <w:spacing w:val="5"/>
          <w:sz w:val="18"/>
        </w:rPr>
        <w:t> </w:t>
      </w:r>
      <w:r>
        <w:rPr>
          <w:color w:val="231F20"/>
          <w:sz w:val="18"/>
        </w:rPr>
        <w:t>$</w:t>
        <w:tab/>
        <w:t>(159)  </w:t>
      </w:r>
      <w:r>
        <w:rPr>
          <w:color w:val="231F20"/>
          <w:spacing w:val="5"/>
          <w:sz w:val="18"/>
        </w:rPr>
        <w:t> </w:t>
      </w:r>
      <w:r>
        <w:rPr>
          <w:color w:val="231F20"/>
          <w:sz w:val="18"/>
        </w:rPr>
        <w:t>$</w:t>
        <w:tab/>
        <w:t>20   </w:t>
      </w:r>
      <w:r>
        <w:rPr>
          <w:color w:val="231F20"/>
          <w:spacing w:val="20"/>
          <w:sz w:val="18"/>
        </w:rPr>
        <w:t> </w:t>
      </w:r>
      <w:r>
        <w:rPr>
          <w:color w:val="231F20"/>
          <w:sz w:val="18"/>
        </w:rPr>
        <w:t>$</w:t>
        <w:tab/>
        <w:t>8    $</w:t>
      </w:r>
      <w:r>
        <w:rPr>
          <w:color w:val="231F20"/>
          <w:spacing w:val="40"/>
          <w:sz w:val="18"/>
        </w:rPr>
        <w:t> </w:t>
      </w:r>
      <w:r>
        <w:rPr>
          <w:color w:val="231F20"/>
          <w:sz w:val="18"/>
        </w:rPr>
        <w:t>(1,481)</w:t>
      </w:r>
    </w:p>
    <w:p>
      <w:pPr>
        <w:pStyle w:val="BodyText"/>
        <w:spacing w:before="2"/>
        <w:rPr>
          <w:sz w:val="21"/>
        </w:rPr>
      </w:pPr>
    </w:p>
    <w:p>
      <w:pPr>
        <w:tabs>
          <w:tab w:pos="1679" w:val="left" w:leader="none"/>
          <w:tab w:pos="2565" w:val="left" w:leader="none"/>
          <w:tab w:pos="3475" w:val="left" w:leader="none"/>
          <w:tab w:pos="4685" w:val="left" w:leader="none"/>
          <w:tab w:pos="5523" w:val="left" w:leader="none"/>
          <w:tab w:pos="6468" w:val="left" w:leader="none"/>
          <w:tab w:pos="7138" w:val="left" w:leader="none"/>
        </w:tabs>
        <w:spacing w:before="1"/>
        <w:ind w:left="639" w:right="0" w:firstLine="0"/>
        <w:jc w:val="left"/>
        <w:rPr>
          <w:sz w:val="18"/>
        </w:rPr>
      </w:pPr>
      <w:r>
        <w:rPr>
          <w:color w:val="231F20"/>
          <w:sz w:val="18"/>
        </w:rPr>
        <w:t>(284)</w:t>
        <w:tab/>
        <w:t>(159)</w:t>
        <w:tab/>
        <w:t>(56)</w:t>
        <w:tab/>
        <w:t>(299)</w:t>
        <w:tab/>
        <w:t>(37)</w:t>
        <w:tab/>
        <w:t>—</w:t>
        <w:tab/>
        <w:t>—</w:t>
        <w:tab/>
        <w:t>(835)</w:t>
      </w:r>
    </w:p>
    <w:p>
      <w:pPr>
        <w:pStyle w:val="BodyText"/>
        <w:spacing w:before="3"/>
        <w:rPr>
          <w:sz w:val="21"/>
        </w:rPr>
      </w:pPr>
    </w:p>
    <w:p>
      <w:pPr>
        <w:tabs>
          <w:tab w:pos="1829" w:val="left" w:leader="none"/>
          <w:tab w:pos="2625" w:val="left" w:leader="none"/>
          <w:tab w:pos="3625" w:val="left" w:leader="none"/>
          <w:tab w:pos="4745" w:val="left" w:leader="none"/>
          <w:tab w:pos="5523" w:val="left" w:leader="none"/>
          <w:tab w:pos="6468" w:val="left" w:leader="none"/>
          <w:tab w:pos="7138" w:val="left" w:leader="none"/>
        </w:tabs>
        <w:spacing w:before="0"/>
        <w:ind w:left="639" w:right="0" w:firstLine="0"/>
        <w:jc w:val="left"/>
        <w:rPr>
          <w:sz w:val="18"/>
        </w:rPr>
      </w:pPr>
      <w:r>
        <w:rPr>
          <w:color w:val="231F20"/>
          <w:sz w:val="18"/>
        </w:rPr>
        <w:t>(250)</w:t>
        <w:tab/>
        <w:t>—</w:t>
        <w:tab/>
        <w:t>—</w:t>
        <w:tab/>
        <w:t>—</w:t>
        <w:tab/>
        <w:t>—</w:t>
        <w:tab/>
        <w:t>—</w:t>
        <w:tab/>
        <w:t>—</w:t>
        <w:tab/>
        <w:t>(250)</w:t>
      </w:r>
    </w:p>
    <w:p>
      <w:pPr>
        <w:spacing w:after="0"/>
        <w:jc w:val="left"/>
        <w:rPr>
          <w:sz w:val="18"/>
        </w:rPr>
        <w:sectPr>
          <w:type w:val="continuous"/>
          <w:pgSz w:w="11880" w:h="15480"/>
          <w:pgMar w:top="1260" w:bottom="280" w:left="1260" w:right="1260"/>
          <w:cols w:num="2" w:equalWidth="0">
            <w:col w:w="1640" w:space="71"/>
            <w:col w:w="7649"/>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1"/>
        <w:gridCol w:w="952"/>
        <w:gridCol w:w="1061"/>
        <w:gridCol w:w="733"/>
        <w:gridCol w:w="1116"/>
        <w:gridCol w:w="1095"/>
        <w:gridCol w:w="2472"/>
      </w:tblGrid>
      <w:tr>
        <w:trPr>
          <w:trHeight w:val="452" w:hRule="exact"/>
        </w:trPr>
        <w:tc>
          <w:tcPr>
            <w:tcW w:w="1691" w:type="dxa"/>
            <w:shd w:val="clear" w:color="auto" w:fill="D1D3D4"/>
          </w:tcPr>
          <w:p>
            <w:pPr>
              <w:pStyle w:val="TableParagraph"/>
              <w:spacing w:line="196" w:lineRule="exact" w:before="50"/>
              <w:ind w:left="180" w:right="431" w:hanging="90"/>
              <w:rPr>
                <w:sz w:val="18"/>
              </w:rPr>
            </w:pPr>
            <w:r>
              <w:rPr>
                <w:color w:val="231F20"/>
                <w:sz w:val="18"/>
              </w:rPr>
              <w:t>Letters of credit (LC)</w:t>
            </w:r>
          </w:p>
        </w:tc>
        <w:tc>
          <w:tcPr>
            <w:tcW w:w="952" w:type="dxa"/>
            <w:shd w:val="clear" w:color="auto" w:fill="D1D3D4"/>
          </w:tcPr>
          <w:p>
            <w:pPr>
              <w:pStyle w:val="TableParagraph"/>
              <w:spacing w:before="38"/>
              <w:ind w:right="80"/>
              <w:jc w:val="right"/>
              <w:rPr>
                <w:sz w:val="18"/>
              </w:rPr>
            </w:pPr>
            <w:r>
              <w:rPr>
                <w:color w:val="231F20"/>
                <w:sz w:val="18"/>
              </w:rPr>
              <w:t>—</w:t>
            </w:r>
          </w:p>
        </w:tc>
        <w:tc>
          <w:tcPr>
            <w:tcW w:w="1061" w:type="dxa"/>
            <w:shd w:val="clear" w:color="auto" w:fill="D1D3D4"/>
          </w:tcPr>
          <w:p>
            <w:pPr>
              <w:pStyle w:val="TableParagraph"/>
              <w:spacing w:before="38"/>
              <w:ind w:right="101"/>
              <w:jc w:val="right"/>
              <w:rPr>
                <w:sz w:val="18"/>
              </w:rPr>
            </w:pPr>
            <w:r>
              <w:rPr>
                <w:color w:val="231F20"/>
                <w:sz w:val="18"/>
              </w:rPr>
              <w:t>—</w:t>
            </w:r>
          </w:p>
        </w:tc>
        <w:tc>
          <w:tcPr>
            <w:tcW w:w="733" w:type="dxa"/>
            <w:shd w:val="clear" w:color="auto" w:fill="D1D3D4"/>
          </w:tcPr>
          <w:p>
            <w:pPr>
              <w:pStyle w:val="TableParagraph"/>
              <w:spacing w:before="38"/>
              <w:ind w:right="38"/>
              <w:jc w:val="right"/>
              <w:rPr>
                <w:sz w:val="18"/>
              </w:rPr>
            </w:pPr>
            <w:r>
              <w:rPr>
                <w:color w:val="231F20"/>
                <w:sz w:val="18"/>
              </w:rPr>
              <w:t>—</w:t>
            </w:r>
          </w:p>
        </w:tc>
        <w:tc>
          <w:tcPr>
            <w:tcW w:w="1116" w:type="dxa"/>
            <w:shd w:val="clear" w:color="auto" w:fill="D1D3D4"/>
          </w:tcPr>
          <w:p>
            <w:pPr>
              <w:pStyle w:val="TableParagraph"/>
              <w:spacing w:before="38"/>
              <w:ind w:right="153"/>
              <w:jc w:val="right"/>
              <w:rPr>
                <w:sz w:val="18"/>
              </w:rPr>
            </w:pPr>
            <w:r>
              <w:rPr>
                <w:color w:val="231F20"/>
                <w:sz w:val="18"/>
              </w:rPr>
              <w:t>—</w:t>
            </w:r>
          </w:p>
        </w:tc>
        <w:tc>
          <w:tcPr>
            <w:tcW w:w="1095" w:type="dxa"/>
            <w:shd w:val="clear" w:color="auto" w:fill="D1D3D4"/>
          </w:tcPr>
          <w:p>
            <w:pPr>
              <w:pStyle w:val="TableParagraph"/>
              <w:spacing w:before="38"/>
              <w:ind w:right="129"/>
              <w:jc w:val="right"/>
              <w:rPr>
                <w:sz w:val="18"/>
              </w:rPr>
            </w:pPr>
            <w:r>
              <w:rPr>
                <w:color w:val="231F20"/>
                <w:sz w:val="18"/>
              </w:rPr>
              <w:t>—</w:t>
            </w:r>
          </w:p>
        </w:tc>
        <w:tc>
          <w:tcPr>
            <w:tcW w:w="2472" w:type="dxa"/>
            <w:shd w:val="clear" w:color="auto" w:fill="D1D3D4"/>
          </w:tcPr>
          <w:p>
            <w:pPr>
              <w:pStyle w:val="TableParagraph"/>
              <w:tabs>
                <w:tab w:pos="1411" w:val="left" w:leader="none"/>
                <w:tab w:pos="2246" w:val="left" w:leader="none"/>
              </w:tabs>
              <w:spacing w:before="38"/>
              <w:ind w:left="466"/>
              <w:rPr>
                <w:sz w:val="18"/>
              </w:rPr>
            </w:pPr>
            <w:r>
              <w:rPr>
                <w:color w:val="231F20"/>
                <w:sz w:val="18"/>
              </w:rPr>
              <w:t>—</w:t>
              <w:tab/>
              <w:t>—</w:t>
              <w:tab/>
              <w:t>—</w:t>
            </w:r>
          </w:p>
        </w:tc>
      </w:tr>
      <w:tr>
        <w:trPr>
          <w:trHeight w:val="452" w:hRule="exact"/>
        </w:trPr>
        <w:tc>
          <w:tcPr>
            <w:tcW w:w="1691" w:type="dxa"/>
          </w:tcPr>
          <w:p>
            <w:pPr>
              <w:pStyle w:val="TableParagraph"/>
              <w:spacing w:line="196" w:lineRule="exact" w:before="50"/>
              <w:ind w:left="270" w:right="70" w:hanging="90"/>
              <w:rPr>
                <w:sz w:val="18"/>
              </w:rPr>
            </w:pPr>
            <w:r>
              <w:rPr>
                <w:color w:val="231F20"/>
                <w:sz w:val="18"/>
              </w:rPr>
              <w:t>Option to substitute LC for aircraft</w:t>
            </w:r>
          </w:p>
        </w:tc>
        <w:tc>
          <w:tcPr>
            <w:tcW w:w="952" w:type="dxa"/>
          </w:tcPr>
          <w:p>
            <w:pPr>
              <w:pStyle w:val="TableParagraph"/>
              <w:spacing w:line="196" w:lineRule="exact" w:before="50"/>
              <w:ind w:left="90" w:right="242" w:firstLine="25"/>
              <w:rPr>
                <w:sz w:val="18"/>
              </w:rPr>
            </w:pPr>
            <w:r>
              <w:rPr>
                <w:color w:val="231F20"/>
                <w:sz w:val="18"/>
              </w:rPr>
              <w:t>(200) to</w:t>
            </w:r>
            <w:r>
              <w:rPr>
                <w:color w:val="231F20"/>
                <w:w w:val="100"/>
                <w:sz w:val="18"/>
              </w:rPr>
              <w:t> </w:t>
            </w:r>
            <w:r>
              <w:rPr>
                <w:color w:val="231F20"/>
                <w:sz w:val="18"/>
              </w:rPr>
              <w:t>(600)(h)</w:t>
            </w:r>
          </w:p>
        </w:tc>
        <w:tc>
          <w:tcPr>
            <w:tcW w:w="1061" w:type="dxa"/>
          </w:tcPr>
          <w:p>
            <w:pPr>
              <w:pStyle w:val="TableParagraph"/>
              <w:spacing w:line="196" w:lineRule="exact" w:before="50"/>
              <w:ind w:left="357" w:right="84" w:firstLine="25"/>
              <w:rPr>
                <w:sz w:val="18"/>
              </w:rPr>
            </w:pPr>
            <w:r>
              <w:rPr>
                <w:color w:val="231F20"/>
                <w:sz w:val="18"/>
              </w:rPr>
              <w:t>(100) to (500)(d)</w:t>
            </w:r>
          </w:p>
        </w:tc>
        <w:tc>
          <w:tcPr>
            <w:tcW w:w="733" w:type="dxa"/>
          </w:tcPr>
          <w:p>
            <w:pPr>
              <w:pStyle w:val="TableParagraph"/>
              <w:spacing w:before="38"/>
              <w:ind w:right="38"/>
              <w:jc w:val="right"/>
              <w:rPr>
                <w:sz w:val="18"/>
              </w:rPr>
            </w:pPr>
            <w:r>
              <w:rPr>
                <w:color w:val="231F20"/>
                <w:sz w:val="18"/>
              </w:rPr>
              <w:t>N/A</w:t>
            </w:r>
          </w:p>
        </w:tc>
        <w:tc>
          <w:tcPr>
            <w:tcW w:w="1116" w:type="dxa"/>
          </w:tcPr>
          <w:p>
            <w:pPr>
              <w:pStyle w:val="TableParagraph"/>
              <w:spacing w:line="196" w:lineRule="exact" w:before="50"/>
              <w:ind w:left="199" w:right="297" w:firstLine="12"/>
              <w:rPr>
                <w:sz w:val="18"/>
              </w:rPr>
            </w:pPr>
            <w:r>
              <w:rPr>
                <w:color w:val="231F20"/>
                <w:sz w:val="18"/>
              </w:rPr>
              <w:t>(150) to (550)(d)</w:t>
            </w:r>
          </w:p>
        </w:tc>
        <w:tc>
          <w:tcPr>
            <w:tcW w:w="1095" w:type="dxa"/>
          </w:tcPr>
          <w:p>
            <w:pPr>
              <w:pStyle w:val="TableParagraph"/>
              <w:spacing w:line="196" w:lineRule="exact" w:before="50"/>
              <w:ind w:left="204" w:right="271" w:firstLine="12"/>
              <w:rPr>
                <w:sz w:val="18"/>
              </w:rPr>
            </w:pPr>
            <w:r>
              <w:rPr>
                <w:color w:val="231F20"/>
                <w:sz w:val="18"/>
              </w:rPr>
              <w:t>(150) to (550)(d)</w:t>
            </w:r>
          </w:p>
        </w:tc>
        <w:tc>
          <w:tcPr>
            <w:tcW w:w="2472" w:type="dxa"/>
          </w:tcPr>
          <w:p>
            <w:pPr>
              <w:pStyle w:val="TableParagraph"/>
              <w:spacing w:before="38"/>
              <w:ind w:left="243"/>
              <w:rPr>
                <w:sz w:val="18"/>
              </w:rPr>
            </w:pPr>
            <w:r>
              <w:rPr>
                <w:color w:val="231F20"/>
                <w:sz w:val="18"/>
              </w:rPr>
              <w:t>N/A</w:t>
            </w:r>
          </w:p>
        </w:tc>
      </w:tr>
      <w:tr>
        <w:trPr>
          <w:trHeight w:val="648" w:hRule="exact"/>
        </w:trPr>
        <w:tc>
          <w:tcPr>
            <w:tcW w:w="1691" w:type="dxa"/>
            <w:shd w:val="clear" w:color="auto" w:fill="D1D3D4"/>
          </w:tcPr>
          <w:p>
            <w:pPr>
              <w:pStyle w:val="TableParagraph"/>
              <w:spacing w:line="196" w:lineRule="exact" w:before="50"/>
              <w:ind w:left="270" w:right="70" w:hanging="90"/>
              <w:rPr>
                <w:sz w:val="18"/>
              </w:rPr>
            </w:pPr>
            <w:r>
              <w:rPr>
                <w:color w:val="231F20"/>
                <w:sz w:val="18"/>
              </w:rPr>
              <w:t>Option to substitute LC for cash</w:t>
            </w:r>
          </w:p>
        </w:tc>
        <w:tc>
          <w:tcPr>
            <w:tcW w:w="952" w:type="dxa"/>
            <w:shd w:val="clear" w:color="auto" w:fill="D1D3D4"/>
          </w:tcPr>
          <w:p>
            <w:pPr>
              <w:pStyle w:val="TableParagraph"/>
              <w:spacing w:before="38"/>
              <w:ind w:left="200"/>
              <w:rPr>
                <w:sz w:val="18"/>
              </w:rPr>
            </w:pPr>
            <w:r>
              <w:rPr>
                <w:color w:val="231F20"/>
                <w:sz w:val="18"/>
              </w:rPr>
              <w:t>N/A</w:t>
            </w:r>
          </w:p>
        </w:tc>
        <w:tc>
          <w:tcPr>
            <w:tcW w:w="1061" w:type="dxa"/>
            <w:shd w:val="clear" w:color="auto" w:fill="D1D3D4"/>
          </w:tcPr>
          <w:p>
            <w:pPr>
              <w:pStyle w:val="TableParagraph"/>
              <w:spacing w:before="38"/>
              <w:ind w:right="101"/>
              <w:jc w:val="right"/>
              <w:rPr>
                <w:sz w:val="18"/>
              </w:rPr>
            </w:pPr>
            <w:r>
              <w:rPr>
                <w:color w:val="231F20"/>
                <w:sz w:val="18"/>
              </w:rPr>
              <w:t>&gt;(500)(e)</w:t>
            </w:r>
          </w:p>
        </w:tc>
        <w:tc>
          <w:tcPr>
            <w:tcW w:w="733" w:type="dxa"/>
            <w:shd w:val="clear" w:color="auto" w:fill="D1D3D4"/>
          </w:tcPr>
          <w:p>
            <w:pPr>
              <w:pStyle w:val="TableParagraph"/>
              <w:spacing w:line="196" w:lineRule="exact" w:before="50"/>
              <w:ind w:left="102" w:right="21" w:firstLine="15"/>
              <w:rPr>
                <w:sz w:val="18"/>
              </w:rPr>
            </w:pPr>
            <w:r>
              <w:rPr>
                <w:color w:val="231F20"/>
                <w:sz w:val="18"/>
              </w:rPr>
              <w:t>(225) to (275)(e)</w:t>
            </w:r>
          </w:p>
        </w:tc>
        <w:tc>
          <w:tcPr>
            <w:tcW w:w="1116" w:type="dxa"/>
            <w:shd w:val="clear" w:color="auto" w:fill="D1D3D4"/>
          </w:tcPr>
          <w:p>
            <w:pPr>
              <w:pStyle w:val="TableParagraph"/>
              <w:spacing w:line="201" w:lineRule="exact" w:before="38"/>
              <w:ind w:left="39"/>
              <w:rPr>
                <w:sz w:val="18"/>
              </w:rPr>
            </w:pPr>
            <w:r>
              <w:rPr>
                <w:color w:val="231F20"/>
                <w:sz w:val="18"/>
              </w:rPr>
              <w:t>(75) to (150)</w:t>
            </w:r>
          </w:p>
          <w:p>
            <w:pPr>
              <w:pStyle w:val="TableParagraph"/>
              <w:spacing w:line="201" w:lineRule="exact" w:before="0"/>
              <w:ind w:left="53"/>
              <w:rPr>
                <w:sz w:val="18"/>
              </w:rPr>
            </w:pPr>
            <w:r>
              <w:rPr>
                <w:color w:val="231F20"/>
                <w:sz w:val="18"/>
              </w:rPr>
              <w:t>or &gt;(550)(e)</w:t>
            </w:r>
          </w:p>
        </w:tc>
        <w:tc>
          <w:tcPr>
            <w:tcW w:w="1095" w:type="dxa"/>
            <w:shd w:val="clear" w:color="auto" w:fill="D1D3D4"/>
          </w:tcPr>
          <w:p>
            <w:pPr>
              <w:pStyle w:val="TableParagraph"/>
              <w:spacing w:line="201" w:lineRule="exact" w:before="38"/>
              <w:ind w:left="216"/>
              <w:rPr>
                <w:sz w:val="18"/>
              </w:rPr>
            </w:pPr>
            <w:r>
              <w:rPr>
                <w:color w:val="231F20"/>
                <w:sz w:val="18"/>
              </w:rPr>
              <w:t>(125) to</w:t>
            </w:r>
          </w:p>
          <w:p>
            <w:pPr>
              <w:pStyle w:val="TableParagraph"/>
              <w:spacing w:line="196" w:lineRule="exact" w:before="0"/>
              <w:ind w:left="211"/>
              <w:rPr>
                <w:sz w:val="18"/>
              </w:rPr>
            </w:pPr>
            <w:r>
              <w:rPr>
                <w:color w:val="231F20"/>
                <w:sz w:val="18"/>
              </w:rPr>
              <w:t>(150) or</w:t>
            </w:r>
          </w:p>
          <w:p>
            <w:pPr>
              <w:pStyle w:val="TableParagraph"/>
              <w:spacing w:line="201" w:lineRule="exact" w:before="0"/>
              <w:ind w:left="156"/>
              <w:rPr>
                <w:sz w:val="18"/>
              </w:rPr>
            </w:pPr>
            <w:r>
              <w:rPr>
                <w:color w:val="231F20"/>
                <w:sz w:val="18"/>
              </w:rPr>
              <w:t>&gt;(550)(e)</w:t>
            </w:r>
          </w:p>
        </w:tc>
        <w:tc>
          <w:tcPr>
            <w:tcW w:w="2472" w:type="dxa"/>
            <w:shd w:val="clear" w:color="auto" w:fill="D1D3D4"/>
          </w:tcPr>
          <w:p>
            <w:pPr>
              <w:pStyle w:val="TableParagraph"/>
              <w:spacing w:before="38"/>
              <w:ind w:left="293"/>
              <w:rPr>
                <w:sz w:val="18"/>
              </w:rPr>
            </w:pPr>
            <w:r>
              <w:rPr>
                <w:color w:val="231F20"/>
                <w:sz w:val="18"/>
              </w:rPr>
              <w:t>(g)</w:t>
            </w:r>
          </w:p>
        </w:tc>
      </w:tr>
      <w:tr>
        <w:trPr>
          <w:trHeight w:val="235" w:hRule="exact"/>
        </w:trPr>
        <w:tc>
          <w:tcPr>
            <w:tcW w:w="1691" w:type="dxa"/>
          </w:tcPr>
          <w:p>
            <w:pPr>
              <w:pStyle w:val="TableParagraph"/>
              <w:spacing w:before="38"/>
              <w:ind w:left="89"/>
              <w:rPr>
                <w:b/>
                <w:sz w:val="18"/>
              </w:rPr>
            </w:pPr>
            <w:r>
              <w:rPr>
                <w:b/>
                <w:color w:val="231F20"/>
                <w:sz w:val="18"/>
              </w:rPr>
              <w:t>If credit rating is</w:t>
            </w:r>
          </w:p>
        </w:tc>
        <w:tc>
          <w:tcPr>
            <w:tcW w:w="952" w:type="dxa"/>
          </w:tcPr>
          <w:p>
            <w:pPr/>
          </w:p>
        </w:tc>
        <w:tc>
          <w:tcPr>
            <w:tcW w:w="1061" w:type="dxa"/>
          </w:tcPr>
          <w:p>
            <w:pPr/>
          </w:p>
        </w:tc>
        <w:tc>
          <w:tcPr>
            <w:tcW w:w="733" w:type="dxa"/>
          </w:tcPr>
          <w:p>
            <w:pPr/>
          </w:p>
        </w:tc>
        <w:tc>
          <w:tcPr>
            <w:tcW w:w="1116" w:type="dxa"/>
          </w:tcPr>
          <w:p>
            <w:pPr/>
          </w:p>
        </w:tc>
        <w:tc>
          <w:tcPr>
            <w:tcW w:w="1095" w:type="dxa"/>
          </w:tcPr>
          <w:p>
            <w:pPr/>
          </w:p>
        </w:tc>
        <w:tc>
          <w:tcPr>
            <w:tcW w:w="2472" w:type="dxa"/>
          </w:tcPr>
          <w:p>
            <w:pPr/>
          </w:p>
        </w:tc>
      </w:tr>
    </w:tbl>
    <w:p>
      <w:pPr>
        <w:spacing w:line="196" w:lineRule="exact" w:before="20" w:after="15"/>
        <w:ind w:left="209" w:right="7761" w:firstLine="0"/>
        <w:jc w:val="left"/>
        <w:rPr>
          <w:b/>
          <w:sz w:val="18"/>
        </w:rPr>
      </w:pPr>
      <w:r>
        <w:rPr>
          <w:b/>
          <w:color w:val="231F20"/>
          <w:sz w:val="18"/>
        </w:rPr>
        <w:t>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08"/>
        <w:gridCol w:w="1013"/>
        <w:gridCol w:w="1086"/>
        <w:gridCol w:w="1873"/>
        <w:gridCol w:w="994"/>
        <w:gridCol w:w="2546"/>
      </w:tblGrid>
      <w:tr>
        <w:trPr>
          <w:trHeight w:val="648" w:hRule="exact"/>
        </w:trPr>
        <w:tc>
          <w:tcPr>
            <w:tcW w:w="1608" w:type="dxa"/>
            <w:shd w:val="clear" w:color="auto" w:fill="D1D3D4"/>
          </w:tcPr>
          <w:p>
            <w:pPr>
              <w:pStyle w:val="TableParagraph"/>
              <w:spacing w:line="196" w:lineRule="exact" w:before="44"/>
              <w:ind w:left="269" w:right="14" w:hanging="90"/>
              <w:rPr>
                <w:sz w:val="18"/>
              </w:rPr>
            </w:pPr>
            <w:r>
              <w:rPr>
                <w:color w:val="231F20"/>
                <w:sz w:val="18"/>
              </w:rPr>
              <w:t>Cash is provided to CP</w:t>
            </w:r>
          </w:p>
        </w:tc>
        <w:tc>
          <w:tcPr>
            <w:tcW w:w="1013" w:type="dxa"/>
            <w:shd w:val="clear" w:color="auto" w:fill="D1D3D4"/>
          </w:tcPr>
          <w:p>
            <w:pPr>
              <w:pStyle w:val="TableParagraph"/>
              <w:spacing w:line="201" w:lineRule="exact" w:before="33"/>
              <w:ind w:left="14" w:right="39"/>
              <w:jc w:val="center"/>
              <w:rPr>
                <w:sz w:val="18"/>
              </w:rPr>
            </w:pPr>
            <w:r>
              <w:rPr>
                <w:color w:val="231F20"/>
                <w:sz w:val="18"/>
              </w:rPr>
              <w:t>(50) to (200)</w:t>
            </w:r>
          </w:p>
          <w:p>
            <w:pPr>
              <w:pStyle w:val="TableParagraph"/>
              <w:spacing w:line="201" w:lineRule="exact" w:before="0"/>
              <w:ind w:left="13" w:right="39"/>
              <w:jc w:val="center"/>
              <w:rPr>
                <w:sz w:val="18"/>
              </w:rPr>
            </w:pPr>
            <w:r>
              <w:rPr>
                <w:color w:val="231F20"/>
                <w:sz w:val="18"/>
              </w:rPr>
              <w:t>or &gt;(600)</w:t>
            </w:r>
          </w:p>
        </w:tc>
        <w:tc>
          <w:tcPr>
            <w:tcW w:w="1086" w:type="dxa"/>
            <w:shd w:val="clear" w:color="auto" w:fill="D1D3D4"/>
          </w:tcPr>
          <w:p>
            <w:pPr>
              <w:pStyle w:val="TableParagraph"/>
              <w:spacing w:line="201" w:lineRule="exact" w:before="33"/>
              <w:ind w:left="41" w:right="85"/>
              <w:jc w:val="center"/>
              <w:rPr>
                <w:sz w:val="18"/>
              </w:rPr>
            </w:pPr>
            <w:r>
              <w:rPr>
                <w:color w:val="231F20"/>
                <w:sz w:val="18"/>
              </w:rPr>
              <w:t>(50) to (100)</w:t>
            </w:r>
          </w:p>
          <w:p>
            <w:pPr>
              <w:pStyle w:val="TableParagraph"/>
              <w:spacing w:line="201" w:lineRule="exact" w:before="0"/>
              <w:ind w:left="40" w:right="85"/>
              <w:jc w:val="center"/>
              <w:rPr>
                <w:sz w:val="18"/>
              </w:rPr>
            </w:pPr>
            <w:r>
              <w:rPr>
                <w:color w:val="231F20"/>
                <w:sz w:val="18"/>
              </w:rPr>
              <w:t>or &gt;(500)</w:t>
            </w:r>
          </w:p>
        </w:tc>
        <w:tc>
          <w:tcPr>
            <w:tcW w:w="1873" w:type="dxa"/>
            <w:shd w:val="clear" w:color="auto" w:fill="D1D3D4"/>
          </w:tcPr>
          <w:p>
            <w:pPr>
              <w:pStyle w:val="TableParagraph"/>
              <w:spacing w:line="201" w:lineRule="exact" w:before="33"/>
              <w:ind w:left="146"/>
              <w:rPr>
                <w:sz w:val="18"/>
              </w:rPr>
            </w:pPr>
            <w:r>
              <w:rPr>
                <w:color w:val="231F20"/>
                <w:sz w:val="18"/>
              </w:rPr>
              <w:t>&gt;(125)   (75) to (150)</w:t>
            </w:r>
          </w:p>
          <w:p>
            <w:pPr>
              <w:pStyle w:val="TableParagraph"/>
              <w:spacing w:line="201" w:lineRule="exact" w:before="0"/>
              <w:ind w:left="883"/>
              <w:rPr>
                <w:sz w:val="18"/>
              </w:rPr>
            </w:pPr>
            <w:r>
              <w:rPr>
                <w:color w:val="231F20"/>
                <w:sz w:val="18"/>
              </w:rPr>
              <w:t>or &gt;(550)</w:t>
            </w:r>
          </w:p>
        </w:tc>
        <w:tc>
          <w:tcPr>
            <w:tcW w:w="994" w:type="dxa"/>
            <w:shd w:val="clear" w:color="auto" w:fill="D1D3D4"/>
          </w:tcPr>
          <w:p>
            <w:pPr>
              <w:pStyle w:val="TableParagraph"/>
              <w:spacing w:line="201" w:lineRule="exact" w:before="33"/>
              <w:ind w:left="188"/>
              <w:rPr>
                <w:sz w:val="18"/>
              </w:rPr>
            </w:pPr>
            <w:r>
              <w:rPr>
                <w:color w:val="231F20"/>
                <w:sz w:val="18"/>
              </w:rPr>
              <w:t>(125) to</w:t>
            </w:r>
          </w:p>
          <w:p>
            <w:pPr>
              <w:pStyle w:val="TableParagraph"/>
              <w:spacing w:line="196" w:lineRule="exact" w:before="0"/>
              <w:ind w:left="183"/>
              <w:rPr>
                <w:sz w:val="18"/>
              </w:rPr>
            </w:pPr>
            <w:r>
              <w:rPr>
                <w:color w:val="231F20"/>
                <w:sz w:val="18"/>
              </w:rPr>
              <w:t>(150) or</w:t>
            </w:r>
          </w:p>
          <w:p>
            <w:pPr>
              <w:pStyle w:val="TableParagraph"/>
              <w:spacing w:line="201" w:lineRule="exact" w:before="0"/>
              <w:ind w:left="228"/>
              <w:rPr>
                <w:sz w:val="18"/>
              </w:rPr>
            </w:pPr>
            <w:r>
              <w:rPr>
                <w:color w:val="231F20"/>
                <w:sz w:val="18"/>
              </w:rPr>
              <w:t>&gt;(550)</w:t>
            </w:r>
          </w:p>
        </w:tc>
        <w:tc>
          <w:tcPr>
            <w:tcW w:w="2546" w:type="dxa"/>
            <w:shd w:val="clear" w:color="auto" w:fill="D1D3D4"/>
          </w:tcPr>
          <w:p>
            <w:pPr>
              <w:pStyle w:val="TableParagraph"/>
              <w:spacing w:before="33"/>
              <w:ind w:left="208" w:right="1806"/>
              <w:jc w:val="center"/>
              <w:rPr>
                <w:sz w:val="18"/>
              </w:rPr>
            </w:pPr>
            <w:r>
              <w:rPr>
                <w:color w:val="231F20"/>
                <w:sz w:val="18"/>
              </w:rPr>
              <w:t>&gt;(100)</w:t>
            </w:r>
          </w:p>
        </w:tc>
      </w:tr>
      <w:tr>
        <w:trPr>
          <w:trHeight w:val="235" w:hRule="exact"/>
        </w:trPr>
        <w:tc>
          <w:tcPr>
            <w:tcW w:w="1608" w:type="dxa"/>
          </w:tcPr>
          <w:p>
            <w:pPr>
              <w:pStyle w:val="TableParagraph"/>
              <w:spacing w:before="33"/>
              <w:ind w:left="179"/>
              <w:rPr>
                <w:sz w:val="18"/>
              </w:rPr>
            </w:pPr>
            <w:r>
              <w:rPr>
                <w:color w:val="231F20"/>
                <w:sz w:val="18"/>
              </w:rPr>
              <w:t>Cash is received</w:t>
            </w:r>
          </w:p>
        </w:tc>
        <w:tc>
          <w:tcPr>
            <w:tcW w:w="1013" w:type="dxa"/>
          </w:tcPr>
          <w:p>
            <w:pPr>
              <w:pStyle w:val="TableParagraph"/>
              <w:spacing w:before="33"/>
              <w:ind w:left="14" w:right="39"/>
              <w:jc w:val="center"/>
              <w:rPr>
                <w:sz w:val="18"/>
              </w:rPr>
            </w:pPr>
            <w:r>
              <w:rPr>
                <w:color w:val="231F20"/>
                <w:sz w:val="18"/>
              </w:rPr>
              <w:t>&gt;50</w:t>
            </w:r>
          </w:p>
        </w:tc>
        <w:tc>
          <w:tcPr>
            <w:tcW w:w="1086" w:type="dxa"/>
          </w:tcPr>
          <w:p>
            <w:pPr>
              <w:pStyle w:val="TableParagraph"/>
              <w:spacing w:before="33"/>
              <w:ind w:left="332"/>
              <w:rPr>
                <w:sz w:val="18"/>
              </w:rPr>
            </w:pPr>
            <w:r>
              <w:rPr>
                <w:color w:val="231F20"/>
                <w:sz w:val="18"/>
              </w:rPr>
              <w:t>&gt;150</w:t>
            </w:r>
          </w:p>
        </w:tc>
        <w:tc>
          <w:tcPr>
            <w:tcW w:w="1873" w:type="dxa"/>
          </w:tcPr>
          <w:p>
            <w:pPr>
              <w:pStyle w:val="TableParagraph"/>
              <w:tabs>
                <w:tab w:pos="1041" w:val="left" w:leader="none"/>
              </w:tabs>
              <w:spacing w:before="33"/>
              <w:ind w:left="106"/>
              <w:rPr>
                <w:sz w:val="18"/>
              </w:rPr>
            </w:pPr>
            <w:r>
              <w:rPr>
                <w:color w:val="231F20"/>
                <w:sz w:val="18"/>
              </w:rPr>
              <w:t>&gt;175(c)</w:t>
              <w:tab/>
              <w:t>&gt;250</w:t>
            </w:r>
          </w:p>
        </w:tc>
        <w:tc>
          <w:tcPr>
            <w:tcW w:w="994" w:type="dxa"/>
          </w:tcPr>
          <w:p>
            <w:pPr>
              <w:pStyle w:val="TableParagraph"/>
              <w:spacing w:before="33"/>
              <w:ind w:left="317" w:right="355"/>
              <w:jc w:val="center"/>
              <w:rPr>
                <w:sz w:val="18"/>
              </w:rPr>
            </w:pPr>
            <w:r>
              <w:rPr>
                <w:color w:val="231F20"/>
                <w:sz w:val="18"/>
              </w:rPr>
              <w:t>&gt;75</w:t>
            </w:r>
          </w:p>
        </w:tc>
        <w:tc>
          <w:tcPr>
            <w:tcW w:w="2546" w:type="dxa"/>
          </w:tcPr>
          <w:p>
            <w:pPr>
              <w:pStyle w:val="TableParagraph"/>
              <w:spacing w:before="33"/>
              <w:ind w:left="208" w:right="1806"/>
              <w:jc w:val="center"/>
              <w:rPr>
                <w:sz w:val="18"/>
              </w:rPr>
            </w:pPr>
            <w:r>
              <w:rPr>
                <w:color w:val="231F20"/>
                <w:sz w:val="18"/>
              </w:rPr>
              <w:t>&gt;0</w:t>
            </w:r>
          </w:p>
        </w:tc>
      </w:tr>
    </w:tbl>
    <w:p>
      <w:pPr>
        <w:spacing w:after="0"/>
        <w:jc w:val="center"/>
        <w:rPr>
          <w:sz w:val="18"/>
        </w:rPr>
        <w:sectPr>
          <w:type w:val="continuous"/>
          <w:pgSz w:w="11880" w:h="15480"/>
          <w:pgMar w:top="1260" w:bottom="280" w:left="1260" w:right="1260"/>
        </w:sectPr>
      </w:pPr>
    </w:p>
    <w:p>
      <w:pPr>
        <w:spacing w:line="201" w:lineRule="exact" w:before="0"/>
        <w:ind w:left="389" w:right="0" w:firstLine="0"/>
        <w:jc w:val="left"/>
        <w:rPr>
          <w:sz w:val="18"/>
        </w:rPr>
      </w:pPr>
      <w:r>
        <w:rPr/>
        <w:pict>
          <v:rect style="position:absolute;margin-left:69pt;margin-top:11.0912pt;width:456pt;height:32.4pt;mso-position-horizontal-relative:page;mso-position-vertical-relative:paragraph;z-index:-388720" filled="true" fillcolor="#d1d3d4" stroked="false">
            <v:fill type="solid"/>
            <w10:wrap type="none"/>
          </v:rect>
        </w:pict>
      </w:r>
      <w:r>
        <w:rPr>
          <w:color w:val="231F20"/>
          <w:sz w:val="18"/>
        </w:rPr>
        <w:t>from CP</w:t>
      </w:r>
    </w:p>
    <w:p>
      <w:pPr>
        <w:spacing w:line="196" w:lineRule="exact" w:before="60"/>
        <w:ind w:left="389" w:right="36" w:hanging="90"/>
        <w:jc w:val="left"/>
        <w:rPr>
          <w:sz w:val="18"/>
        </w:rPr>
      </w:pPr>
      <w:r>
        <w:rPr>
          <w:color w:val="231F20"/>
          <w:sz w:val="18"/>
        </w:rPr>
        <w:t>Aircraft or cash can be pledged to CP as collateral</w:t>
      </w:r>
    </w:p>
    <w:p>
      <w:pPr>
        <w:spacing w:line="196" w:lineRule="exact" w:before="59"/>
        <w:ind w:left="209" w:right="0" w:firstLine="0"/>
        <w:jc w:val="left"/>
        <w:rPr>
          <w:b/>
          <w:sz w:val="18"/>
        </w:rPr>
      </w:pPr>
      <w:r>
        <w:rPr>
          <w:b/>
          <w:color w:val="231F20"/>
          <w:sz w:val="18"/>
        </w:rPr>
        <w:t>If credit rating is non-investment grade, fair value of fuel derivative level</w:t>
      </w:r>
      <w:r>
        <w:rPr>
          <w:b/>
          <w:color w:val="231F20"/>
          <w:w w:val="100"/>
          <w:sz w:val="18"/>
        </w:rPr>
        <w:t> </w:t>
      </w:r>
      <w:r>
        <w:rPr>
          <w:b/>
          <w:color w:val="231F20"/>
          <w:sz w:val="18"/>
        </w:rPr>
        <w:t>at which:</w:t>
      </w:r>
    </w:p>
    <w:p>
      <w:pPr>
        <w:pStyle w:val="BodyText"/>
        <w:spacing w:before="8"/>
        <w:rPr>
          <w:b/>
        </w:rPr>
      </w:pPr>
      <w:r>
        <w:rPr/>
        <w:br w:type="column"/>
      </w:r>
      <w:r>
        <w:rPr>
          <w:b/>
        </w:rPr>
      </w:r>
    </w:p>
    <w:p>
      <w:pPr>
        <w:spacing w:line="196" w:lineRule="exact" w:before="0"/>
        <w:ind w:left="186" w:right="-19" w:hanging="3"/>
        <w:jc w:val="left"/>
        <w:rPr>
          <w:sz w:val="18"/>
        </w:rPr>
      </w:pPr>
      <w:r>
        <w:rPr>
          <w:color w:val="231F20"/>
          <w:sz w:val="18"/>
        </w:rPr>
        <w:t>(200) to</w:t>
      </w:r>
      <w:r>
        <w:rPr>
          <w:color w:val="231F20"/>
          <w:w w:val="100"/>
          <w:sz w:val="18"/>
        </w:rPr>
        <w:t> </w:t>
      </w:r>
      <w:r>
        <w:rPr>
          <w:color w:val="231F20"/>
          <w:sz w:val="18"/>
        </w:rPr>
        <w:t>(600)(f)</w:t>
      </w:r>
    </w:p>
    <w:p>
      <w:pPr>
        <w:pStyle w:val="BodyText"/>
        <w:spacing w:before="8"/>
      </w:pPr>
      <w:r>
        <w:rPr/>
        <w:br w:type="column"/>
      </w:r>
      <w:r>
        <w:rPr/>
      </w:r>
    </w:p>
    <w:p>
      <w:pPr>
        <w:spacing w:line="196" w:lineRule="exact" w:before="0"/>
        <w:ind w:left="209" w:right="-19" w:firstLine="12"/>
        <w:jc w:val="left"/>
        <w:rPr>
          <w:sz w:val="18"/>
        </w:rPr>
      </w:pPr>
      <w:r>
        <w:rPr>
          <w:color w:val="231F20"/>
          <w:sz w:val="18"/>
        </w:rPr>
        <w:t>(100) to (500)(d)</w:t>
      </w:r>
    </w:p>
    <w:p>
      <w:pPr>
        <w:pStyle w:val="BodyText"/>
        <w:spacing w:before="8"/>
      </w:pPr>
      <w:r>
        <w:rPr/>
        <w:br w:type="column"/>
      </w:r>
      <w:r>
        <w:rPr/>
      </w:r>
    </w:p>
    <w:p>
      <w:pPr>
        <w:tabs>
          <w:tab w:pos="911" w:val="left" w:leader="none"/>
        </w:tabs>
        <w:spacing w:line="196" w:lineRule="exact" w:before="0"/>
        <w:ind w:left="899" w:right="0" w:hanging="690"/>
        <w:jc w:val="left"/>
        <w:rPr>
          <w:sz w:val="18"/>
        </w:rPr>
      </w:pPr>
      <w:r>
        <w:rPr>
          <w:color w:val="231F20"/>
          <w:sz w:val="18"/>
        </w:rPr>
        <w:t>N/A</w:t>
        <w:tab/>
        <w:tab/>
        <w:t>(150) to</w:t>
      </w:r>
      <w:r>
        <w:rPr>
          <w:color w:val="231F20"/>
          <w:w w:val="100"/>
          <w:sz w:val="18"/>
        </w:rPr>
        <w:t> </w:t>
      </w:r>
      <w:r>
        <w:rPr>
          <w:color w:val="231F20"/>
          <w:sz w:val="18"/>
        </w:rPr>
        <w:t>(550)(d)</w:t>
      </w:r>
    </w:p>
    <w:p>
      <w:pPr>
        <w:pStyle w:val="BodyText"/>
        <w:spacing w:before="8"/>
      </w:pPr>
      <w:r>
        <w:rPr/>
        <w:br w:type="column"/>
      </w:r>
      <w:r>
        <w:rPr/>
      </w:r>
    </w:p>
    <w:p>
      <w:pPr>
        <w:spacing w:line="196" w:lineRule="exact" w:before="0"/>
        <w:ind w:left="209" w:right="-19" w:firstLine="12"/>
        <w:jc w:val="left"/>
        <w:rPr>
          <w:sz w:val="18"/>
        </w:rPr>
      </w:pPr>
      <w:r>
        <w:rPr>
          <w:color w:val="231F20"/>
          <w:sz w:val="18"/>
        </w:rPr>
        <w:t>(150) to (550)(d)</w:t>
      </w:r>
    </w:p>
    <w:p>
      <w:pPr>
        <w:pStyle w:val="BodyText"/>
        <w:spacing w:before="8"/>
        <w:rPr>
          <w:sz w:val="21"/>
        </w:rPr>
      </w:pPr>
      <w:r>
        <w:rPr/>
        <w:br w:type="column"/>
      </w:r>
      <w:r>
        <w:rPr>
          <w:sz w:val="21"/>
        </w:rPr>
      </w:r>
    </w:p>
    <w:p>
      <w:pPr>
        <w:spacing w:before="0"/>
        <w:ind w:left="209" w:right="0" w:firstLine="0"/>
        <w:jc w:val="left"/>
        <w:rPr>
          <w:sz w:val="18"/>
        </w:rPr>
      </w:pPr>
      <w:r>
        <w:rPr>
          <w:color w:val="231F20"/>
          <w:sz w:val="18"/>
        </w:rPr>
        <w:t>N/A</w:t>
      </w:r>
    </w:p>
    <w:p>
      <w:pPr>
        <w:spacing w:after="0"/>
        <w:jc w:val="left"/>
        <w:rPr>
          <w:sz w:val="18"/>
        </w:rPr>
        <w:sectPr>
          <w:type w:val="continuous"/>
          <w:pgSz w:w="11880" w:h="15480"/>
          <w:pgMar w:top="1260" w:bottom="280" w:left="1260" w:right="1260"/>
          <w:cols w:num="6" w:equalWidth="0">
            <w:col w:w="1710" w:space="40"/>
            <w:col w:w="759" w:space="243"/>
            <w:col w:w="810" w:space="296"/>
            <w:col w:w="1500" w:space="310"/>
            <w:col w:w="810" w:space="325"/>
            <w:col w:w="2557"/>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30"/>
        <w:gridCol w:w="990"/>
        <w:gridCol w:w="1130"/>
        <w:gridCol w:w="638"/>
        <w:gridCol w:w="1107"/>
        <w:gridCol w:w="1185"/>
        <w:gridCol w:w="2438"/>
      </w:tblGrid>
      <w:tr>
        <w:trPr>
          <w:trHeight w:val="452" w:hRule="exact"/>
        </w:trPr>
        <w:tc>
          <w:tcPr>
            <w:tcW w:w="1630" w:type="dxa"/>
            <w:shd w:val="clear" w:color="auto" w:fill="D1D3D4"/>
          </w:tcPr>
          <w:p>
            <w:pPr>
              <w:pStyle w:val="TableParagraph"/>
              <w:spacing w:line="196" w:lineRule="exact" w:before="39"/>
              <w:ind w:left="269" w:right="36" w:hanging="90"/>
              <w:rPr>
                <w:sz w:val="18"/>
              </w:rPr>
            </w:pPr>
            <w:r>
              <w:rPr>
                <w:color w:val="231F20"/>
                <w:sz w:val="18"/>
              </w:rPr>
              <w:t>Cash is provided to CP</w:t>
            </w:r>
          </w:p>
        </w:tc>
        <w:tc>
          <w:tcPr>
            <w:tcW w:w="990" w:type="dxa"/>
            <w:shd w:val="clear" w:color="auto" w:fill="D1D3D4"/>
          </w:tcPr>
          <w:p>
            <w:pPr>
              <w:pStyle w:val="TableParagraph"/>
              <w:spacing w:line="201" w:lineRule="exact" w:before="28"/>
              <w:ind w:left="55"/>
              <w:rPr>
                <w:sz w:val="18"/>
              </w:rPr>
            </w:pPr>
            <w:r>
              <w:rPr>
                <w:color w:val="231F20"/>
                <w:sz w:val="18"/>
              </w:rPr>
              <w:t>(0) to (200)</w:t>
            </w:r>
          </w:p>
          <w:p>
            <w:pPr>
              <w:pStyle w:val="TableParagraph"/>
              <w:spacing w:line="201" w:lineRule="exact" w:before="0"/>
              <w:ind w:left="124"/>
              <w:rPr>
                <w:sz w:val="18"/>
              </w:rPr>
            </w:pPr>
            <w:r>
              <w:rPr>
                <w:color w:val="231F20"/>
                <w:sz w:val="18"/>
              </w:rPr>
              <w:t>or &gt;(600)</w:t>
            </w:r>
          </w:p>
        </w:tc>
        <w:tc>
          <w:tcPr>
            <w:tcW w:w="1130" w:type="dxa"/>
            <w:shd w:val="clear" w:color="auto" w:fill="D1D3D4"/>
          </w:tcPr>
          <w:p>
            <w:pPr>
              <w:pStyle w:val="TableParagraph"/>
              <w:spacing w:line="201" w:lineRule="exact" w:before="28"/>
              <w:ind w:left="105"/>
              <w:rPr>
                <w:sz w:val="18"/>
              </w:rPr>
            </w:pPr>
            <w:r>
              <w:rPr>
                <w:color w:val="231F20"/>
                <w:sz w:val="18"/>
              </w:rPr>
              <w:t>(0) to (100)</w:t>
            </w:r>
          </w:p>
          <w:p>
            <w:pPr>
              <w:pStyle w:val="TableParagraph"/>
              <w:spacing w:line="201" w:lineRule="exact" w:before="0"/>
              <w:ind w:left="174"/>
              <w:rPr>
                <w:sz w:val="18"/>
              </w:rPr>
            </w:pPr>
            <w:r>
              <w:rPr>
                <w:color w:val="231F20"/>
                <w:sz w:val="18"/>
              </w:rPr>
              <w:t>or &gt;(500)</w:t>
            </w:r>
          </w:p>
        </w:tc>
        <w:tc>
          <w:tcPr>
            <w:tcW w:w="638" w:type="dxa"/>
            <w:shd w:val="clear" w:color="auto" w:fill="D1D3D4"/>
          </w:tcPr>
          <w:p>
            <w:pPr>
              <w:pStyle w:val="TableParagraph"/>
              <w:spacing w:before="28"/>
              <w:ind w:right="180"/>
              <w:jc w:val="right"/>
              <w:rPr>
                <w:sz w:val="18"/>
              </w:rPr>
            </w:pPr>
            <w:r>
              <w:rPr>
                <w:color w:val="231F20"/>
                <w:sz w:val="18"/>
              </w:rPr>
              <w:t>(b)</w:t>
            </w:r>
          </w:p>
        </w:tc>
        <w:tc>
          <w:tcPr>
            <w:tcW w:w="1107" w:type="dxa"/>
            <w:shd w:val="clear" w:color="auto" w:fill="D1D3D4"/>
          </w:tcPr>
          <w:p>
            <w:pPr>
              <w:pStyle w:val="TableParagraph"/>
              <w:spacing w:line="201" w:lineRule="exact" w:before="28"/>
              <w:ind w:left="132"/>
              <w:rPr>
                <w:sz w:val="18"/>
              </w:rPr>
            </w:pPr>
            <w:r>
              <w:rPr>
                <w:color w:val="231F20"/>
                <w:sz w:val="18"/>
              </w:rPr>
              <w:t>(0) to (150)</w:t>
            </w:r>
          </w:p>
          <w:p>
            <w:pPr>
              <w:pStyle w:val="TableParagraph"/>
              <w:spacing w:line="201" w:lineRule="exact" w:before="0"/>
              <w:ind w:left="201"/>
              <w:rPr>
                <w:sz w:val="18"/>
              </w:rPr>
            </w:pPr>
            <w:r>
              <w:rPr>
                <w:color w:val="231F20"/>
                <w:sz w:val="18"/>
              </w:rPr>
              <w:t>or &gt;(550)</w:t>
            </w:r>
          </w:p>
        </w:tc>
        <w:tc>
          <w:tcPr>
            <w:tcW w:w="1185" w:type="dxa"/>
            <w:shd w:val="clear" w:color="auto" w:fill="D1D3D4"/>
          </w:tcPr>
          <w:p>
            <w:pPr>
              <w:pStyle w:val="TableParagraph"/>
              <w:spacing w:line="201" w:lineRule="exact" w:before="28"/>
              <w:ind w:left="145"/>
              <w:rPr>
                <w:sz w:val="18"/>
              </w:rPr>
            </w:pPr>
            <w:r>
              <w:rPr>
                <w:color w:val="231F20"/>
                <w:sz w:val="18"/>
              </w:rPr>
              <w:t>(0) to (150)</w:t>
            </w:r>
          </w:p>
          <w:p>
            <w:pPr>
              <w:pStyle w:val="TableParagraph"/>
              <w:spacing w:line="201" w:lineRule="exact" w:before="0"/>
              <w:ind w:left="214"/>
              <w:rPr>
                <w:sz w:val="18"/>
              </w:rPr>
            </w:pPr>
            <w:r>
              <w:rPr>
                <w:color w:val="231F20"/>
                <w:sz w:val="18"/>
              </w:rPr>
              <w:t>or &gt;(550)</w:t>
            </w:r>
          </w:p>
        </w:tc>
        <w:tc>
          <w:tcPr>
            <w:tcW w:w="2438" w:type="dxa"/>
            <w:shd w:val="clear" w:color="auto" w:fill="D1D3D4"/>
          </w:tcPr>
          <w:p>
            <w:pPr>
              <w:pStyle w:val="TableParagraph"/>
              <w:spacing w:before="28"/>
              <w:ind w:left="260"/>
              <w:rPr>
                <w:sz w:val="18"/>
              </w:rPr>
            </w:pPr>
            <w:r>
              <w:rPr>
                <w:color w:val="231F20"/>
                <w:sz w:val="18"/>
              </w:rPr>
              <w:t>(b)</w:t>
            </w:r>
          </w:p>
        </w:tc>
      </w:tr>
      <w:tr>
        <w:trPr>
          <w:trHeight w:val="235" w:hRule="exact"/>
        </w:trPr>
        <w:tc>
          <w:tcPr>
            <w:tcW w:w="1630" w:type="dxa"/>
          </w:tcPr>
          <w:p>
            <w:pPr>
              <w:pStyle w:val="TableParagraph"/>
              <w:spacing w:before="28"/>
              <w:ind w:left="179"/>
              <w:rPr>
                <w:sz w:val="18"/>
              </w:rPr>
            </w:pPr>
            <w:r>
              <w:rPr>
                <w:color w:val="231F20"/>
                <w:sz w:val="18"/>
              </w:rPr>
              <w:t>Cash is received</w:t>
            </w:r>
          </w:p>
        </w:tc>
        <w:tc>
          <w:tcPr>
            <w:tcW w:w="990" w:type="dxa"/>
          </w:tcPr>
          <w:p>
            <w:pPr>
              <w:pStyle w:val="TableParagraph"/>
              <w:spacing w:before="28"/>
              <w:ind w:left="256" w:right="303"/>
              <w:jc w:val="center"/>
              <w:rPr>
                <w:sz w:val="18"/>
              </w:rPr>
            </w:pPr>
            <w:r>
              <w:rPr>
                <w:color w:val="231F20"/>
                <w:sz w:val="18"/>
              </w:rPr>
              <w:t>(b)</w:t>
            </w:r>
          </w:p>
        </w:tc>
        <w:tc>
          <w:tcPr>
            <w:tcW w:w="1130" w:type="dxa"/>
          </w:tcPr>
          <w:p>
            <w:pPr>
              <w:pStyle w:val="TableParagraph"/>
              <w:spacing w:before="28"/>
              <w:ind w:left="306" w:right="394"/>
              <w:jc w:val="center"/>
              <w:rPr>
                <w:sz w:val="18"/>
              </w:rPr>
            </w:pPr>
            <w:r>
              <w:rPr>
                <w:color w:val="231F20"/>
                <w:sz w:val="18"/>
              </w:rPr>
              <w:t>(b)</w:t>
            </w:r>
          </w:p>
        </w:tc>
        <w:tc>
          <w:tcPr>
            <w:tcW w:w="638" w:type="dxa"/>
          </w:tcPr>
          <w:p>
            <w:pPr>
              <w:pStyle w:val="TableParagraph"/>
              <w:spacing w:before="28"/>
              <w:ind w:right="180"/>
              <w:jc w:val="right"/>
              <w:rPr>
                <w:sz w:val="18"/>
              </w:rPr>
            </w:pPr>
            <w:r>
              <w:rPr>
                <w:color w:val="231F20"/>
                <w:sz w:val="18"/>
              </w:rPr>
              <w:t>(b)</w:t>
            </w:r>
          </w:p>
        </w:tc>
        <w:tc>
          <w:tcPr>
            <w:tcW w:w="1107" w:type="dxa"/>
          </w:tcPr>
          <w:p>
            <w:pPr>
              <w:pStyle w:val="TableParagraph"/>
              <w:spacing w:before="28"/>
              <w:ind w:left="333" w:right="343"/>
              <w:jc w:val="center"/>
              <w:rPr>
                <w:sz w:val="18"/>
              </w:rPr>
            </w:pPr>
            <w:r>
              <w:rPr>
                <w:color w:val="231F20"/>
                <w:sz w:val="18"/>
              </w:rPr>
              <w:t>(b)</w:t>
            </w:r>
          </w:p>
        </w:tc>
        <w:tc>
          <w:tcPr>
            <w:tcW w:w="1185" w:type="dxa"/>
          </w:tcPr>
          <w:p>
            <w:pPr>
              <w:pStyle w:val="TableParagraph"/>
              <w:spacing w:before="28"/>
              <w:ind w:left="345" w:right="408"/>
              <w:jc w:val="center"/>
              <w:rPr>
                <w:sz w:val="18"/>
              </w:rPr>
            </w:pPr>
            <w:r>
              <w:rPr>
                <w:color w:val="231F20"/>
                <w:sz w:val="18"/>
              </w:rPr>
              <w:t>(b)</w:t>
            </w:r>
          </w:p>
        </w:tc>
        <w:tc>
          <w:tcPr>
            <w:tcW w:w="2438" w:type="dxa"/>
          </w:tcPr>
          <w:p>
            <w:pPr>
              <w:pStyle w:val="TableParagraph"/>
              <w:spacing w:before="28"/>
              <w:ind w:left="260"/>
              <w:rPr>
                <w:sz w:val="18"/>
              </w:rPr>
            </w:pPr>
            <w:r>
              <w:rPr>
                <w:color w:val="231F20"/>
                <w:sz w:val="18"/>
              </w:rPr>
              <w:t>(b)</w:t>
            </w:r>
          </w:p>
        </w:tc>
      </w:tr>
      <w:tr>
        <w:trPr>
          <w:trHeight w:val="217" w:hRule="exact"/>
        </w:trPr>
        <w:tc>
          <w:tcPr>
            <w:tcW w:w="1630" w:type="dxa"/>
          </w:tcPr>
          <w:p>
            <w:pPr>
              <w:pStyle w:val="TableParagraph"/>
              <w:spacing w:line="196" w:lineRule="exact" w:before="0"/>
              <w:ind w:left="269"/>
              <w:rPr>
                <w:sz w:val="18"/>
              </w:rPr>
            </w:pPr>
            <w:r>
              <w:rPr>
                <w:color w:val="231F20"/>
                <w:sz w:val="18"/>
              </w:rPr>
              <w:t>from CP</w:t>
            </w:r>
          </w:p>
        </w:tc>
        <w:tc>
          <w:tcPr>
            <w:tcW w:w="990" w:type="dxa"/>
          </w:tcPr>
          <w:p>
            <w:pPr/>
          </w:p>
        </w:tc>
        <w:tc>
          <w:tcPr>
            <w:tcW w:w="1130" w:type="dxa"/>
          </w:tcPr>
          <w:p>
            <w:pPr/>
          </w:p>
        </w:tc>
        <w:tc>
          <w:tcPr>
            <w:tcW w:w="638" w:type="dxa"/>
          </w:tcPr>
          <w:p>
            <w:pPr/>
          </w:p>
        </w:tc>
        <w:tc>
          <w:tcPr>
            <w:tcW w:w="1107" w:type="dxa"/>
          </w:tcPr>
          <w:p>
            <w:pPr/>
          </w:p>
        </w:tc>
        <w:tc>
          <w:tcPr>
            <w:tcW w:w="1185" w:type="dxa"/>
          </w:tcPr>
          <w:p>
            <w:pPr/>
          </w:p>
        </w:tc>
        <w:tc>
          <w:tcPr>
            <w:tcW w:w="2438" w:type="dxa"/>
          </w:tcPr>
          <w:p>
            <w:pPr/>
          </w:p>
        </w:tc>
      </w:tr>
      <w:tr>
        <w:trPr>
          <w:trHeight w:val="233" w:hRule="exact"/>
        </w:trPr>
        <w:tc>
          <w:tcPr>
            <w:tcW w:w="1630" w:type="dxa"/>
            <w:shd w:val="clear" w:color="auto" w:fill="D1D3D4"/>
          </w:tcPr>
          <w:p>
            <w:pPr>
              <w:pStyle w:val="TableParagraph"/>
              <w:spacing w:before="28"/>
              <w:ind w:left="179"/>
              <w:rPr>
                <w:sz w:val="18"/>
              </w:rPr>
            </w:pPr>
            <w:r>
              <w:rPr>
                <w:color w:val="231F20"/>
                <w:sz w:val="18"/>
              </w:rPr>
              <w:t>Aircraft or cash</w:t>
            </w:r>
          </w:p>
        </w:tc>
        <w:tc>
          <w:tcPr>
            <w:tcW w:w="990" w:type="dxa"/>
            <w:shd w:val="clear" w:color="auto" w:fill="D1D3D4"/>
          </w:tcPr>
          <w:p>
            <w:pPr>
              <w:pStyle w:val="TableParagraph"/>
              <w:spacing w:before="28"/>
              <w:ind w:left="182"/>
              <w:rPr>
                <w:sz w:val="18"/>
              </w:rPr>
            </w:pPr>
            <w:r>
              <w:rPr>
                <w:color w:val="231F20"/>
                <w:sz w:val="18"/>
              </w:rPr>
              <w:t>(200) to</w:t>
            </w:r>
          </w:p>
        </w:tc>
        <w:tc>
          <w:tcPr>
            <w:tcW w:w="1130" w:type="dxa"/>
            <w:shd w:val="clear" w:color="auto" w:fill="D1D3D4"/>
          </w:tcPr>
          <w:p>
            <w:pPr>
              <w:pStyle w:val="TableParagraph"/>
              <w:spacing w:before="28"/>
              <w:ind w:left="232"/>
              <w:rPr>
                <w:sz w:val="18"/>
              </w:rPr>
            </w:pPr>
            <w:r>
              <w:rPr>
                <w:color w:val="231F20"/>
                <w:sz w:val="18"/>
              </w:rPr>
              <w:t>(100) to</w:t>
            </w:r>
          </w:p>
        </w:tc>
        <w:tc>
          <w:tcPr>
            <w:tcW w:w="638" w:type="dxa"/>
            <w:shd w:val="clear" w:color="auto" w:fill="D1D3D4"/>
          </w:tcPr>
          <w:p>
            <w:pPr>
              <w:pStyle w:val="TableParagraph"/>
              <w:spacing w:before="28"/>
              <w:ind w:right="130"/>
              <w:jc w:val="right"/>
              <w:rPr>
                <w:sz w:val="18"/>
              </w:rPr>
            </w:pPr>
            <w:r>
              <w:rPr>
                <w:color w:val="231F20"/>
                <w:sz w:val="18"/>
              </w:rPr>
              <w:t>N/A</w:t>
            </w:r>
          </w:p>
        </w:tc>
        <w:tc>
          <w:tcPr>
            <w:tcW w:w="1107" w:type="dxa"/>
            <w:shd w:val="clear" w:color="auto" w:fill="D1D3D4"/>
          </w:tcPr>
          <w:p>
            <w:pPr>
              <w:pStyle w:val="TableParagraph"/>
              <w:spacing w:before="28"/>
              <w:ind w:left="259"/>
              <w:rPr>
                <w:sz w:val="18"/>
              </w:rPr>
            </w:pPr>
            <w:r>
              <w:rPr>
                <w:color w:val="231F20"/>
                <w:sz w:val="18"/>
              </w:rPr>
              <w:t>(150) to</w:t>
            </w:r>
          </w:p>
        </w:tc>
        <w:tc>
          <w:tcPr>
            <w:tcW w:w="1185" w:type="dxa"/>
            <w:shd w:val="clear" w:color="auto" w:fill="D1D3D4"/>
          </w:tcPr>
          <w:p>
            <w:pPr>
              <w:pStyle w:val="TableParagraph"/>
              <w:spacing w:before="28"/>
              <w:ind w:left="272"/>
              <w:rPr>
                <w:sz w:val="18"/>
              </w:rPr>
            </w:pPr>
            <w:r>
              <w:rPr>
                <w:color w:val="231F20"/>
                <w:sz w:val="18"/>
              </w:rPr>
              <w:t>(150) to</w:t>
            </w:r>
          </w:p>
        </w:tc>
        <w:tc>
          <w:tcPr>
            <w:tcW w:w="2438" w:type="dxa"/>
            <w:shd w:val="clear" w:color="auto" w:fill="D1D3D4"/>
          </w:tcPr>
          <w:p>
            <w:pPr>
              <w:pStyle w:val="TableParagraph"/>
              <w:spacing w:before="28"/>
              <w:ind w:left="210"/>
              <w:rPr>
                <w:sz w:val="18"/>
              </w:rPr>
            </w:pPr>
            <w:r>
              <w:rPr>
                <w:color w:val="231F20"/>
                <w:sz w:val="18"/>
              </w:rPr>
              <w:t>N/A</w:t>
            </w:r>
          </w:p>
        </w:tc>
      </w:tr>
      <w:tr>
        <w:trPr>
          <w:trHeight w:val="196" w:hRule="exact"/>
        </w:trPr>
        <w:tc>
          <w:tcPr>
            <w:tcW w:w="1630" w:type="dxa"/>
            <w:shd w:val="clear" w:color="auto" w:fill="D1D3D4"/>
          </w:tcPr>
          <w:p>
            <w:pPr>
              <w:pStyle w:val="TableParagraph"/>
              <w:spacing w:line="198" w:lineRule="exact" w:before="0"/>
              <w:ind w:left="269"/>
              <w:rPr>
                <w:sz w:val="18"/>
              </w:rPr>
            </w:pPr>
            <w:r>
              <w:rPr>
                <w:color w:val="231F20"/>
                <w:sz w:val="18"/>
              </w:rPr>
              <w:t>can be pledged to</w:t>
            </w:r>
          </w:p>
        </w:tc>
        <w:tc>
          <w:tcPr>
            <w:tcW w:w="990" w:type="dxa"/>
            <w:shd w:val="clear" w:color="auto" w:fill="D1D3D4"/>
          </w:tcPr>
          <w:p>
            <w:pPr>
              <w:pStyle w:val="TableParagraph"/>
              <w:spacing w:line="198" w:lineRule="exact" w:before="0"/>
              <w:ind w:left="256" w:right="303"/>
              <w:jc w:val="center"/>
              <w:rPr>
                <w:sz w:val="18"/>
              </w:rPr>
            </w:pPr>
            <w:r>
              <w:rPr>
                <w:color w:val="231F20"/>
                <w:sz w:val="18"/>
              </w:rPr>
              <w:t>(600)</w:t>
            </w:r>
          </w:p>
        </w:tc>
        <w:tc>
          <w:tcPr>
            <w:tcW w:w="1130" w:type="dxa"/>
            <w:shd w:val="clear" w:color="auto" w:fill="D1D3D4"/>
          </w:tcPr>
          <w:p>
            <w:pPr>
              <w:pStyle w:val="TableParagraph"/>
              <w:spacing w:line="198" w:lineRule="exact" w:before="0"/>
              <w:ind w:left="306" w:right="394"/>
              <w:jc w:val="center"/>
              <w:rPr>
                <w:sz w:val="18"/>
              </w:rPr>
            </w:pPr>
            <w:r>
              <w:rPr>
                <w:color w:val="231F20"/>
                <w:sz w:val="18"/>
              </w:rPr>
              <w:t>(500)</w:t>
            </w:r>
          </w:p>
        </w:tc>
        <w:tc>
          <w:tcPr>
            <w:tcW w:w="638" w:type="dxa"/>
            <w:shd w:val="clear" w:color="auto" w:fill="D1D3D4"/>
          </w:tcPr>
          <w:p>
            <w:pPr/>
          </w:p>
        </w:tc>
        <w:tc>
          <w:tcPr>
            <w:tcW w:w="1107" w:type="dxa"/>
            <w:shd w:val="clear" w:color="auto" w:fill="D1D3D4"/>
          </w:tcPr>
          <w:p>
            <w:pPr>
              <w:pStyle w:val="TableParagraph"/>
              <w:spacing w:line="198" w:lineRule="exact" w:before="0"/>
              <w:ind w:left="333" w:right="343"/>
              <w:jc w:val="center"/>
              <w:rPr>
                <w:sz w:val="18"/>
              </w:rPr>
            </w:pPr>
            <w:r>
              <w:rPr>
                <w:color w:val="231F20"/>
                <w:sz w:val="18"/>
              </w:rPr>
              <w:t>(550)</w:t>
            </w:r>
          </w:p>
        </w:tc>
        <w:tc>
          <w:tcPr>
            <w:tcW w:w="1185" w:type="dxa"/>
            <w:shd w:val="clear" w:color="auto" w:fill="D1D3D4"/>
          </w:tcPr>
          <w:p>
            <w:pPr>
              <w:pStyle w:val="TableParagraph"/>
              <w:spacing w:line="198" w:lineRule="exact" w:before="0"/>
              <w:ind w:left="345" w:right="409"/>
              <w:jc w:val="center"/>
              <w:rPr>
                <w:sz w:val="18"/>
              </w:rPr>
            </w:pPr>
            <w:r>
              <w:rPr>
                <w:color w:val="231F20"/>
                <w:sz w:val="18"/>
              </w:rPr>
              <w:t>(550)</w:t>
            </w:r>
          </w:p>
        </w:tc>
        <w:tc>
          <w:tcPr>
            <w:tcW w:w="2438" w:type="dxa"/>
            <w:shd w:val="clear" w:color="auto" w:fill="D1D3D4"/>
          </w:tcPr>
          <w:p>
            <w:pPr/>
          </w:p>
        </w:tc>
      </w:tr>
      <w:tr>
        <w:trPr>
          <w:trHeight w:val="219" w:hRule="exact"/>
        </w:trPr>
        <w:tc>
          <w:tcPr>
            <w:tcW w:w="1630" w:type="dxa"/>
            <w:shd w:val="clear" w:color="auto" w:fill="D1D3D4"/>
          </w:tcPr>
          <w:p>
            <w:pPr>
              <w:pStyle w:val="TableParagraph"/>
              <w:spacing w:line="198" w:lineRule="exact" w:before="0"/>
              <w:ind w:left="269"/>
              <w:rPr>
                <w:sz w:val="18"/>
              </w:rPr>
            </w:pPr>
            <w:r>
              <w:rPr>
                <w:color w:val="231F20"/>
                <w:sz w:val="18"/>
              </w:rPr>
              <w:t>CP as collateral</w:t>
            </w:r>
          </w:p>
        </w:tc>
        <w:tc>
          <w:tcPr>
            <w:tcW w:w="990" w:type="dxa"/>
            <w:shd w:val="clear" w:color="auto" w:fill="D1D3D4"/>
          </w:tcPr>
          <w:p>
            <w:pPr/>
          </w:p>
        </w:tc>
        <w:tc>
          <w:tcPr>
            <w:tcW w:w="1130" w:type="dxa"/>
            <w:shd w:val="clear" w:color="auto" w:fill="D1D3D4"/>
          </w:tcPr>
          <w:p>
            <w:pPr/>
          </w:p>
        </w:tc>
        <w:tc>
          <w:tcPr>
            <w:tcW w:w="638" w:type="dxa"/>
            <w:shd w:val="clear" w:color="auto" w:fill="D1D3D4"/>
          </w:tcPr>
          <w:p>
            <w:pPr/>
          </w:p>
        </w:tc>
        <w:tc>
          <w:tcPr>
            <w:tcW w:w="1107" w:type="dxa"/>
            <w:shd w:val="clear" w:color="auto" w:fill="D1D3D4"/>
          </w:tcPr>
          <w:p>
            <w:pPr/>
          </w:p>
        </w:tc>
        <w:tc>
          <w:tcPr>
            <w:tcW w:w="1185" w:type="dxa"/>
            <w:shd w:val="clear" w:color="auto" w:fill="D1D3D4"/>
          </w:tcPr>
          <w:p>
            <w:pPr/>
          </w:p>
        </w:tc>
        <w:tc>
          <w:tcPr>
            <w:tcW w:w="2438" w:type="dxa"/>
            <w:shd w:val="clear" w:color="auto" w:fill="D1D3D4"/>
          </w:tcPr>
          <w:p>
            <w:pPr/>
          </w:p>
        </w:tc>
      </w:tr>
    </w:tbl>
    <w:p>
      <w:pPr>
        <w:pStyle w:val="BodyText"/>
        <w:spacing w:before="1"/>
        <w:rPr>
          <w:sz w:val="23"/>
        </w:rPr>
      </w:pPr>
    </w:p>
    <w:p>
      <w:pPr>
        <w:pStyle w:val="ListParagraph"/>
        <w:numPr>
          <w:ilvl w:val="0"/>
          <w:numId w:val="17"/>
        </w:numPr>
        <w:tabs>
          <w:tab w:pos="380" w:val="left" w:leader="none"/>
        </w:tabs>
        <w:spacing w:line="240" w:lineRule="auto" w:before="94" w:after="0"/>
        <w:ind w:left="379" w:right="0" w:hanging="260"/>
        <w:jc w:val="left"/>
        <w:rPr>
          <w:sz w:val="18"/>
        </w:rPr>
      </w:pPr>
      <w:r>
        <w:rPr>
          <w:color w:val="231F20"/>
          <w:sz w:val="18"/>
        </w:rPr>
        <w:t>Individual counterparties with fair value of fuel derivatives &lt;$10</w:t>
      </w:r>
      <w:r>
        <w:rPr>
          <w:color w:val="231F20"/>
          <w:spacing w:val="3"/>
          <w:sz w:val="18"/>
        </w:rPr>
        <w:t> </w:t>
      </w:r>
      <w:r>
        <w:rPr>
          <w:color w:val="231F20"/>
          <w:sz w:val="18"/>
        </w:rPr>
        <w:t>million.</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Thresholds may vary based on changes in credit ratings within investment</w:t>
      </w:r>
      <w:r>
        <w:rPr>
          <w:color w:val="231F20"/>
          <w:spacing w:val="-2"/>
          <w:sz w:val="18"/>
        </w:rPr>
        <w:t> </w:t>
      </w:r>
      <w:r>
        <w:rPr>
          <w:color w:val="231F20"/>
          <w:sz w:val="18"/>
        </w:rPr>
        <w:t>grade.</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of providing cash or pledging aircraft as</w:t>
      </w:r>
      <w:r>
        <w:rPr>
          <w:color w:val="231F20"/>
          <w:spacing w:val="-1"/>
          <w:sz w:val="18"/>
        </w:rPr>
        <w:t> </w:t>
      </w:r>
      <w:r>
        <w:rPr>
          <w:color w:val="231F20"/>
          <w:sz w:val="18"/>
        </w:rPr>
        <w:t>collateral.</w:t>
      </w:r>
    </w:p>
    <w:p>
      <w:pPr>
        <w:pStyle w:val="ListParagraph"/>
        <w:numPr>
          <w:ilvl w:val="0"/>
          <w:numId w:val="17"/>
        </w:numPr>
        <w:tabs>
          <w:tab w:pos="380" w:val="left" w:leader="none"/>
        </w:tabs>
        <w:spacing w:line="240" w:lineRule="auto" w:before="60" w:after="0"/>
        <w:ind w:left="379" w:right="0" w:hanging="260"/>
        <w:jc w:val="left"/>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0"/>
          <w:numId w:val="17"/>
        </w:numPr>
        <w:tabs>
          <w:tab w:pos="380" w:val="left" w:leader="none"/>
        </w:tabs>
        <w:spacing w:line="254" w:lineRule="auto" w:before="60" w:after="0"/>
        <w:ind w:left="379" w:right="118" w:hanging="26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w:t>
      </w:r>
    </w:p>
    <w:p>
      <w:pPr>
        <w:spacing w:after="0" w:line="254" w:lineRule="auto"/>
        <w:jc w:val="left"/>
        <w:rPr>
          <w:sz w:val="18"/>
        </w:rPr>
        <w:sectPr>
          <w:type w:val="continuous"/>
          <w:pgSz w:w="11880" w:h="15480"/>
          <w:pgMar w:top="1260" w:bottom="280" w:left="1260" w:right="1260"/>
        </w:sectPr>
      </w:pPr>
    </w:p>
    <w:p>
      <w:pPr>
        <w:pStyle w:val="Heading1"/>
        <w:numPr>
          <w:ilvl w:val="0"/>
          <w:numId w:val="14"/>
        </w:numPr>
        <w:tabs>
          <w:tab w:pos="430" w:val="left" w:leader="none"/>
        </w:tabs>
        <w:spacing w:line="240" w:lineRule="auto" w:before="74" w:after="0"/>
        <w:ind w:left="430" w:right="0" w:hanging="330"/>
        <w:jc w:val="both"/>
      </w:pPr>
      <w:r>
        <w:rPr>
          <w:color w:val="231F20"/>
        </w:rPr>
        <w:t>FAIR VALUE MEASUREMENTS</w:t>
      </w:r>
    </w:p>
    <w:p>
      <w:pPr>
        <w:pStyle w:val="BodyText"/>
        <w:spacing w:line="247" w:lineRule="auto" w:before="201"/>
        <w:ind w:left="100" w:right="118"/>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line="247" w:lineRule="auto" w:before="194"/>
        <w:ind w:left="100" w:right="117"/>
        <w:jc w:val="both"/>
      </w:pPr>
      <w:r>
        <w:rPr>
          <w:color w:val="231F20"/>
        </w:rPr>
        <w:t>As of December 31, 2015, the Company held certain items that are required to be measured at fair value on a recurring basis. These included cash equivalents, short-term investments (primarily treasury bills and certificates of deposit),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Other available-for- sale securities primarily consist of investments associated with the Company’s excess benefit plan.</w:t>
      </w:r>
    </w:p>
    <w:p>
      <w:pPr>
        <w:pStyle w:val="BodyText"/>
        <w:spacing w:line="247" w:lineRule="auto" w:before="194"/>
        <w:ind w:left="100" w:right="117"/>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3"/>
        </w:rPr>
        <w:t> </w:t>
      </w:r>
      <w:r>
        <w:rPr>
          <w:color w:val="231F20"/>
        </w:rPr>
        <w:t>holds.</w:t>
      </w:r>
    </w:p>
    <w:p>
      <w:pPr>
        <w:pStyle w:val="BodyText"/>
        <w:spacing w:line="247" w:lineRule="auto" w:before="194"/>
        <w:ind w:left="100" w:right="117"/>
        <w:jc w:val="both"/>
      </w:pPr>
      <w:r>
        <w:rPr>
          <w:color w:val="231F20"/>
        </w:rPr>
        <w:t>Included in Other available-for-sale securities are the Company’s investments associated with its excess benefit plan which consist of mutual funds that are publicly traded and for which market prices are readily available. This plan is a non-qualified deferred compensation plan designed to hold Employee contributions in excess of limits established by Section 415 of the Internal Revenue Code </w:t>
      </w:r>
      <w:r>
        <w:rPr>
          <w:color w:val="231F20"/>
          <w:spacing w:val="8"/>
        </w:rPr>
        <w:t> </w:t>
      </w:r>
      <w:r>
        <w:rPr>
          <w:color w:val="231F20"/>
        </w:rPr>
        <w:t>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asset in the Company’s earnings.</w:t>
      </w:r>
    </w:p>
    <w:p>
      <w:pPr>
        <w:pStyle w:val="BodyText"/>
        <w:spacing w:line="247" w:lineRule="auto" w:before="194"/>
        <w:ind w:left="100" w:right="118"/>
        <w:jc w:val="both"/>
      </w:pPr>
      <w:r>
        <w:rPr>
          <w:color w:val="231F20"/>
        </w:rPr>
        <w:t>The following tables present the Company’s assets and liabilities that are measured at fair value on a recurring basis at December 31, 2015, and December 31, 2014:</w:t>
      </w:r>
    </w:p>
    <w:p>
      <w:pPr>
        <w:spacing w:before="193"/>
        <w:ind w:left="4859" w:right="0" w:firstLine="0"/>
        <w:jc w:val="left"/>
        <w:rPr>
          <w:b/>
          <w:sz w:val="20"/>
        </w:rPr>
      </w:pPr>
      <w:r>
        <w:rPr/>
        <w:pict>
          <v:line style="position:absolute;mso-position-horizontal-relative:page;mso-position-vertical-relative:paragraph;z-index:6928" from="300.25pt,22.485937pt" to="525pt,22.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80" w:right="1260"/>
        </w:sectPr>
      </w:pPr>
    </w:p>
    <w:p>
      <w:pPr>
        <w:pStyle w:val="BodyText"/>
        <w:rPr>
          <w:b/>
        </w:rPr>
      </w:pPr>
    </w:p>
    <w:p>
      <w:pPr>
        <w:pStyle w:val="BodyText"/>
        <w:rPr>
          <w:b/>
        </w:rPr>
      </w:pPr>
    </w:p>
    <w:p>
      <w:pPr>
        <w:pStyle w:val="BodyText"/>
        <w:spacing w:before="4"/>
        <w:rPr>
          <w:b/>
          <w:sz w:val="26"/>
        </w:rPr>
      </w:pPr>
    </w:p>
    <w:p>
      <w:pPr>
        <w:tabs>
          <w:tab w:pos="2937" w:val="left" w:leader="none"/>
        </w:tabs>
        <w:spacing w:before="0"/>
        <w:ind w:left="180" w:right="0" w:firstLine="0"/>
        <w:jc w:val="left"/>
        <w:rPr>
          <w:b/>
          <w:sz w:val="20"/>
        </w:rPr>
      </w:pPr>
      <w:r>
        <w:rPr>
          <w:b/>
          <w:color w:val="231F20"/>
          <w:sz w:val="20"/>
        </w:rPr>
        <w:t>Description</w:t>
        <w:tab/>
        <w:t>December 31, 2015</w:t>
      </w:r>
    </w:p>
    <w:p>
      <w:pPr>
        <w:spacing w:line="249" w:lineRule="auto" w:before="89"/>
        <w:ind w:left="132" w:right="0" w:firstLine="0"/>
        <w:jc w:val="center"/>
        <w:rPr>
          <w:b/>
          <w:sz w:val="20"/>
        </w:rPr>
      </w:pPr>
      <w:r>
        <w:rPr/>
        <w:br w:type="column"/>
      </w:r>
      <w:r>
        <w:rPr>
          <w:b/>
          <w:color w:val="231F20"/>
          <w:sz w:val="20"/>
        </w:rPr>
        <w:t>Quoted prices in active markets</w:t>
      </w:r>
    </w:p>
    <w:p>
      <w:pPr>
        <w:spacing w:line="249" w:lineRule="auto" w:before="0"/>
        <w:ind w:left="129" w:right="0" w:firstLine="0"/>
        <w:jc w:val="center"/>
        <w:rPr>
          <w:b/>
          <w:sz w:val="20"/>
        </w:rPr>
      </w:pPr>
      <w:r>
        <w:rPr/>
        <w:pict>
          <v:line style="position:absolute;mso-position-horizontal-relative:page;mso-position-vertical-relative:paragraph;z-index:-388504" from="300.25pt,24.835938pt" to="379.3pt,24.835938pt" stroked="true" strokeweight="1pt" strokecolor="#231f20">
            <v:stroke dashstyle="solid"/>
            <w10:wrap type="none"/>
          </v:line>
        </w:pict>
      </w:r>
      <w:r>
        <w:rPr>
          <w:b/>
          <w:color w:val="231F20"/>
          <w:sz w:val="20"/>
        </w:rPr>
        <w:t>for identical assets</w:t>
      </w:r>
      <w:r>
        <w:rPr>
          <w:b/>
          <w:color w:val="231F20"/>
          <w:w w:val="99"/>
          <w:sz w:val="20"/>
        </w:rPr>
        <w:t> </w:t>
      </w:r>
      <w:r>
        <w:rPr>
          <w:b/>
          <w:color w:val="231F20"/>
          <w:sz w:val="20"/>
        </w:rPr>
        <w:t>(Level 1)</w:t>
      </w:r>
    </w:p>
    <w:p>
      <w:pPr>
        <w:spacing w:line="249" w:lineRule="auto" w:before="89"/>
        <w:ind w:left="81" w:right="-19" w:firstLine="252"/>
        <w:jc w:val="left"/>
        <w:rPr>
          <w:b/>
          <w:sz w:val="20"/>
        </w:rPr>
      </w:pPr>
      <w:r>
        <w:rPr/>
        <w:br w:type="column"/>
      </w:r>
      <w:r>
        <w:rPr>
          <w:b/>
          <w:color w:val="231F20"/>
          <w:sz w:val="20"/>
        </w:rPr>
        <w:t>Significant other observable</w:t>
      </w:r>
    </w:p>
    <w:p>
      <w:pPr>
        <w:spacing w:line="249" w:lineRule="auto" w:before="0"/>
        <w:ind w:left="420" w:right="320" w:firstLine="108"/>
        <w:jc w:val="left"/>
        <w:rPr>
          <w:b/>
          <w:sz w:val="20"/>
        </w:rPr>
      </w:pPr>
      <w:r>
        <w:rPr>
          <w:b/>
          <w:color w:val="231F20"/>
          <w:sz w:val="20"/>
        </w:rPr>
        <w:t>inputs (Level 2)</w:t>
      </w:r>
    </w:p>
    <w:p>
      <w:pPr>
        <w:spacing w:line="249" w:lineRule="auto" w:before="89"/>
        <w:ind w:left="80"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308" w:right="345" w:firstLine="0"/>
        <w:jc w:val="center"/>
        <w:rPr>
          <w:b/>
          <w:sz w:val="20"/>
        </w:rPr>
      </w:pPr>
      <w:r>
        <w:rPr>
          <w:b/>
          <w:color w:val="231F20"/>
          <w:sz w:val="20"/>
        </w:rPr>
        <w:t>(Level 3)</w:t>
      </w:r>
    </w:p>
    <w:p>
      <w:pPr>
        <w:spacing w:after="0"/>
        <w:jc w:val="center"/>
        <w:rPr>
          <w:sz w:val="20"/>
        </w:rPr>
        <w:sectPr>
          <w:type w:val="continuous"/>
          <w:pgSz w:w="11880" w:h="15480"/>
          <w:pgMar w:top="1260" w:bottom="280" w:left="1280" w:right="1260"/>
          <w:cols w:num="4" w:equalWidth="0">
            <w:col w:w="4556" w:space="40"/>
            <w:col w:w="1710" w:space="40"/>
            <w:col w:w="1510" w:space="40"/>
            <w:col w:w="1444"/>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68"/>
        <w:gridCol w:w="120"/>
        <w:gridCol w:w="1717"/>
        <w:gridCol w:w="120"/>
        <w:gridCol w:w="2106"/>
        <w:gridCol w:w="1024"/>
        <w:gridCol w:w="120"/>
        <w:gridCol w:w="1245"/>
      </w:tblGrid>
      <w:tr>
        <w:trPr>
          <w:trHeight w:val="610" w:hRule="exact"/>
        </w:trPr>
        <w:tc>
          <w:tcPr>
            <w:tcW w:w="2668" w:type="dxa"/>
            <w:tcBorders>
              <w:top w:val="single" w:sz="8" w:space="0" w:color="231F20"/>
            </w:tcBorders>
          </w:tcPr>
          <w:p>
            <w:pPr>
              <w:pStyle w:val="TableParagraph"/>
              <w:ind w:left="80"/>
              <w:rPr>
                <w:b/>
                <w:sz w:val="20"/>
              </w:rPr>
            </w:pPr>
            <w:r>
              <w:rPr>
                <w:b/>
                <w:color w:val="231F20"/>
                <w:sz w:val="20"/>
              </w:rPr>
              <w:t>Assets</w:t>
            </w:r>
          </w:p>
          <w:p>
            <w:pPr>
              <w:pStyle w:val="TableParagraph"/>
              <w:spacing w:before="69"/>
              <w:ind w:left="80"/>
              <w:rPr>
                <w:sz w:val="20"/>
              </w:rPr>
            </w:pPr>
            <w:r>
              <w:rPr>
                <w:color w:val="231F20"/>
                <w:sz w:val="20"/>
              </w:rPr>
              <w:t>Cash equivalents</w:t>
            </w:r>
          </w:p>
        </w:tc>
        <w:tc>
          <w:tcPr>
            <w:tcW w:w="120" w:type="dxa"/>
          </w:tcPr>
          <w:p>
            <w:pPr/>
          </w:p>
        </w:tc>
        <w:tc>
          <w:tcPr>
            <w:tcW w:w="1717" w:type="dxa"/>
            <w:tcBorders>
              <w:top w:val="single" w:sz="8" w:space="0" w:color="231F20"/>
            </w:tcBorders>
          </w:tcPr>
          <w:p>
            <w:pPr/>
          </w:p>
        </w:tc>
        <w:tc>
          <w:tcPr>
            <w:tcW w:w="120" w:type="dxa"/>
          </w:tcPr>
          <w:p>
            <w:pPr/>
          </w:p>
        </w:tc>
        <w:tc>
          <w:tcPr>
            <w:tcW w:w="3130" w:type="dxa"/>
            <w:gridSpan w:val="2"/>
          </w:tcPr>
          <w:p>
            <w:pPr>
              <w:pStyle w:val="TableParagraph"/>
              <w:spacing w:before="63"/>
              <w:ind w:left="891"/>
              <w:rPr>
                <w:sz w:val="20"/>
              </w:rPr>
            </w:pPr>
            <w:r>
              <w:rPr>
                <w:color w:val="231F20"/>
                <w:sz w:val="20"/>
              </w:rPr>
              <w:t>(in millions)</w:t>
            </w:r>
          </w:p>
        </w:tc>
        <w:tc>
          <w:tcPr>
            <w:tcW w:w="1365" w:type="dxa"/>
            <w:gridSpan w:val="2"/>
          </w:tcPr>
          <w:p>
            <w:pPr/>
          </w:p>
        </w:tc>
      </w:tr>
      <w:tr>
        <w:trPr>
          <w:trHeight w:val="300" w:hRule="exact"/>
        </w:trPr>
        <w:tc>
          <w:tcPr>
            <w:tcW w:w="2668" w:type="dxa"/>
            <w:shd w:val="clear" w:color="auto" w:fill="D1D3D4"/>
          </w:tcPr>
          <w:p>
            <w:pPr>
              <w:pStyle w:val="TableParagraph"/>
              <w:ind w:left="280"/>
              <w:rPr>
                <w:sz w:val="20"/>
              </w:rPr>
            </w:pPr>
            <w:r>
              <w:rPr>
                <w:color w:val="231F20"/>
                <w:sz w:val="20"/>
              </w:rPr>
              <w:t>Cash equivalents (a)</w:t>
            </w:r>
          </w:p>
        </w:tc>
        <w:tc>
          <w:tcPr>
            <w:tcW w:w="120" w:type="dxa"/>
            <w:shd w:val="clear" w:color="auto" w:fill="D1D3D4"/>
          </w:tcPr>
          <w:p>
            <w:pPr/>
          </w:p>
        </w:tc>
        <w:tc>
          <w:tcPr>
            <w:tcW w:w="1717" w:type="dxa"/>
            <w:shd w:val="clear" w:color="auto" w:fill="D1D3D4"/>
          </w:tcPr>
          <w:p>
            <w:pPr>
              <w:pStyle w:val="TableParagraph"/>
              <w:tabs>
                <w:tab w:pos="1158" w:val="left" w:leader="none"/>
              </w:tabs>
              <w:ind w:right="105"/>
              <w:jc w:val="right"/>
              <w:rPr>
                <w:sz w:val="20"/>
              </w:rPr>
            </w:pPr>
            <w:r>
              <w:rPr>
                <w:color w:val="231F20"/>
                <w:sz w:val="20"/>
              </w:rPr>
              <w:t>$</w:t>
              <w:tab/>
            </w:r>
            <w:r>
              <w:rPr>
                <w:color w:val="231F20"/>
                <w:spacing w:val="-1"/>
                <w:sz w:val="20"/>
              </w:rPr>
              <w:t>1,337</w:t>
            </w:r>
          </w:p>
        </w:tc>
        <w:tc>
          <w:tcPr>
            <w:tcW w:w="120" w:type="dxa"/>
            <w:shd w:val="clear" w:color="auto" w:fill="D1D3D4"/>
          </w:tcPr>
          <w:p>
            <w:pPr/>
          </w:p>
        </w:tc>
        <w:tc>
          <w:tcPr>
            <w:tcW w:w="3130" w:type="dxa"/>
            <w:gridSpan w:val="2"/>
            <w:shd w:val="clear" w:color="auto" w:fill="D1D3D4"/>
          </w:tcPr>
          <w:p>
            <w:pPr>
              <w:pStyle w:val="TableParagraph"/>
              <w:tabs>
                <w:tab w:pos="1030" w:val="left" w:leader="none"/>
                <w:tab w:pos="1700" w:val="left" w:leader="none"/>
                <w:tab w:pos="2829" w:val="left" w:leader="none"/>
              </w:tabs>
              <w:rPr>
                <w:sz w:val="20"/>
              </w:rPr>
            </w:pPr>
            <w:r>
              <w:rPr>
                <w:color w:val="231F20"/>
                <w:sz w:val="20"/>
              </w:rPr>
              <w:t>$</w:t>
              <w:tab/>
              <w:t>1,337</w:t>
              <w:tab/>
              <w:t>$</w:t>
              <w:tab/>
              <w:t>—</w:t>
            </w:r>
          </w:p>
        </w:tc>
        <w:tc>
          <w:tcPr>
            <w:tcW w:w="120" w:type="dxa"/>
            <w:shd w:val="clear" w:color="auto" w:fill="D1D3D4"/>
          </w:tcPr>
          <w:p>
            <w:pPr/>
          </w:p>
        </w:tc>
        <w:tc>
          <w:tcPr>
            <w:tcW w:w="1245" w:type="dxa"/>
            <w:shd w:val="clear" w:color="auto" w:fill="D1D3D4"/>
          </w:tcPr>
          <w:p>
            <w:pPr>
              <w:pStyle w:val="TableParagraph"/>
              <w:tabs>
                <w:tab w:pos="944" w:val="left" w:leader="none"/>
              </w:tabs>
              <w:ind w:right="97"/>
              <w:jc w:val="right"/>
              <w:rPr>
                <w:sz w:val="20"/>
              </w:rPr>
            </w:pPr>
            <w:r>
              <w:rPr>
                <w:color w:val="231F20"/>
                <w:sz w:val="20"/>
              </w:rPr>
              <w:t>$</w:t>
              <w:tab/>
              <w:t>—</w:t>
            </w:r>
          </w:p>
        </w:tc>
      </w:tr>
      <w:tr>
        <w:trPr>
          <w:trHeight w:val="300" w:hRule="exact"/>
        </w:trPr>
        <w:tc>
          <w:tcPr>
            <w:tcW w:w="2668" w:type="dxa"/>
          </w:tcPr>
          <w:p>
            <w:pPr>
              <w:pStyle w:val="TableParagraph"/>
              <w:ind w:left="280"/>
              <w:rPr>
                <w:sz w:val="20"/>
              </w:rPr>
            </w:pPr>
            <w:r>
              <w:rPr>
                <w:color w:val="231F20"/>
                <w:sz w:val="20"/>
              </w:rPr>
              <w:t>Commercial paper</w:t>
            </w:r>
          </w:p>
        </w:tc>
        <w:tc>
          <w:tcPr>
            <w:tcW w:w="120" w:type="dxa"/>
          </w:tcPr>
          <w:p>
            <w:pPr/>
          </w:p>
        </w:tc>
        <w:tc>
          <w:tcPr>
            <w:tcW w:w="1717" w:type="dxa"/>
          </w:tcPr>
          <w:p>
            <w:pPr>
              <w:pStyle w:val="TableParagraph"/>
              <w:ind w:right="105"/>
              <w:jc w:val="right"/>
              <w:rPr>
                <w:sz w:val="20"/>
              </w:rPr>
            </w:pPr>
            <w:r>
              <w:rPr>
                <w:color w:val="231F20"/>
                <w:sz w:val="20"/>
              </w:rPr>
              <w:t>200</w:t>
            </w:r>
          </w:p>
        </w:tc>
        <w:tc>
          <w:tcPr>
            <w:tcW w:w="120" w:type="dxa"/>
          </w:tcPr>
          <w:p>
            <w:pPr/>
          </w:p>
        </w:tc>
        <w:tc>
          <w:tcPr>
            <w:tcW w:w="3130" w:type="dxa"/>
            <w:gridSpan w:val="2"/>
          </w:tcPr>
          <w:p>
            <w:pPr>
              <w:pStyle w:val="TableParagraph"/>
              <w:tabs>
                <w:tab w:pos="2729" w:val="left" w:leader="none"/>
              </w:tabs>
              <w:ind w:left="1281"/>
              <w:rPr>
                <w:sz w:val="20"/>
              </w:rPr>
            </w:pPr>
            <w:r>
              <w:rPr>
                <w:color w:val="231F20"/>
                <w:sz w:val="20"/>
              </w:rPr>
              <w:t>—</w:t>
              <w:tab/>
              <w:t>200</w:t>
            </w:r>
          </w:p>
        </w:tc>
        <w:tc>
          <w:tcPr>
            <w:tcW w:w="120" w:type="dxa"/>
          </w:tcPr>
          <w:p>
            <w:pPr/>
          </w:p>
        </w:tc>
        <w:tc>
          <w:tcPr>
            <w:tcW w:w="1245" w:type="dxa"/>
          </w:tcPr>
          <w:p>
            <w:pPr>
              <w:pStyle w:val="TableParagraph"/>
              <w:ind w:right="97"/>
              <w:jc w:val="right"/>
              <w:rPr>
                <w:sz w:val="20"/>
              </w:rPr>
            </w:pPr>
            <w:r>
              <w:rPr>
                <w:color w:val="231F20"/>
                <w:sz w:val="20"/>
              </w:rPr>
              <w:t>—</w:t>
            </w:r>
          </w:p>
        </w:tc>
      </w:tr>
      <w:tr>
        <w:trPr>
          <w:trHeight w:val="300" w:hRule="exact"/>
        </w:trPr>
        <w:tc>
          <w:tcPr>
            <w:tcW w:w="2668" w:type="dxa"/>
            <w:shd w:val="clear" w:color="auto" w:fill="D1D3D4"/>
          </w:tcPr>
          <w:p>
            <w:pPr>
              <w:pStyle w:val="TableParagraph"/>
              <w:ind w:left="280"/>
              <w:rPr>
                <w:sz w:val="20"/>
              </w:rPr>
            </w:pPr>
            <w:r>
              <w:rPr>
                <w:color w:val="231F20"/>
                <w:sz w:val="20"/>
              </w:rPr>
              <w:t>Certificates of deposit</w:t>
            </w:r>
          </w:p>
        </w:tc>
        <w:tc>
          <w:tcPr>
            <w:tcW w:w="120" w:type="dxa"/>
            <w:shd w:val="clear" w:color="auto" w:fill="D1D3D4"/>
          </w:tcPr>
          <w:p>
            <w:pPr/>
          </w:p>
        </w:tc>
        <w:tc>
          <w:tcPr>
            <w:tcW w:w="1717" w:type="dxa"/>
            <w:shd w:val="clear" w:color="auto" w:fill="D1D3D4"/>
          </w:tcPr>
          <w:p>
            <w:pPr>
              <w:pStyle w:val="TableParagraph"/>
              <w:ind w:right="105"/>
              <w:jc w:val="right"/>
              <w:rPr>
                <w:sz w:val="20"/>
              </w:rPr>
            </w:pPr>
            <w:r>
              <w:rPr>
                <w:color w:val="231F20"/>
                <w:sz w:val="20"/>
              </w:rPr>
              <w:t>13</w:t>
            </w:r>
          </w:p>
        </w:tc>
        <w:tc>
          <w:tcPr>
            <w:tcW w:w="120" w:type="dxa"/>
            <w:shd w:val="clear" w:color="auto" w:fill="D1D3D4"/>
          </w:tcPr>
          <w:p>
            <w:pPr/>
          </w:p>
        </w:tc>
        <w:tc>
          <w:tcPr>
            <w:tcW w:w="3130" w:type="dxa"/>
            <w:gridSpan w:val="2"/>
            <w:shd w:val="clear" w:color="auto" w:fill="D1D3D4"/>
          </w:tcPr>
          <w:p>
            <w:pPr>
              <w:pStyle w:val="TableParagraph"/>
              <w:tabs>
                <w:tab w:pos="2829" w:val="left" w:leader="none"/>
              </w:tabs>
              <w:ind w:left="1281"/>
              <w:rPr>
                <w:sz w:val="20"/>
              </w:rPr>
            </w:pPr>
            <w:r>
              <w:rPr>
                <w:color w:val="231F20"/>
                <w:sz w:val="20"/>
              </w:rPr>
              <w:t>—</w:t>
              <w:tab/>
              <w:t>13</w:t>
            </w:r>
          </w:p>
        </w:tc>
        <w:tc>
          <w:tcPr>
            <w:tcW w:w="120" w:type="dxa"/>
            <w:shd w:val="clear" w:color="auto" w:fill="D1D3D4"/>
          </w:tcPr>
          <w:p>
            <w:pPr/>
          </w:p>
        </w:tc>
        <w:tc>
          <w:tcPr>
            <w:tcW w:w="1245" w:type="dxa"/>
            <w:shd w:val="clear" w:color="auto" w:fill="D1D3D4"/>
          </w:tcPr>
          <w:p>
            <w:pPr>
              <w:pStyle w:val="TableParagraph"/>
              <w:ind w:right="97"/>
              <w:jc w:val="right"/>
              <w:rPr>
                <w:sz w:val="20"/>
              </w:rPr>
            </w:pPr>
            <w:r>
              <w:rPr>
                <w:color w:val="231F20"/>
                <w:sz w:val="20"/>
              </w:rPr>
              <w:t>—</w:t>
            </w:r>
          </w:p>
        </w:tc>
      </w:tr>
      <w:tr>
        <w:trPr>
          <w:trHeight w:val="284" w:hRule="exact"/>
        </w:trPr>
        <w:tc>
          <w:tcPr>
            <w:tcW w:w="2668" w:type="dxa"/>
          </w:tcPr>
          <w:p>
            <w:pPr>
              <w:pStyle w:val="TableParagraph"/>
              <w:ind w:left="280"/>
              <w:rPr>
                <w:sz w:val="20"/>
              </w:rPr>
            </w:pPr>
            <w:r>
              <w:rPr>
                <w:color w:val="231F20"/>
                <w:sz w:val="20"/>
              </w:rPr>
              <w:t>Eurodollar Time Deposits</w:t>
            </w:r>
          </w:p>
        </w:tc>
        <w:tc>
          <w:tcPr>
            <w:tcW w:w="120" w:type="dxa"/>
          </w:tcPr>
          <w:p>
            <w:pPr/>
          </w:p>
        </w:tc>
        <w:tc>
          <w:tcPr>
            <w:tcW w:w="1717" w:type="dxa"/>
          </w:tcPr>
          <w:p>
            <w:pPr>
              <w:pStyle w:val="TableParagraph"/>
              <w:ind w:right="105"/>
              <w:jc w:val="right"/>
              <w:rPr>
                <w:sz w:val="20"/>
              </w:rPr>
            </w:pPr>
            <w:r>
              <w:rPr>
                <w:color w:val="231F20"/>
                <w:sz w:val="20"/>
              </w:rPr>
              <w:t>33</w:t>
            </w:r>
          </w:p>
        </w:tc>
        <w:tc>
          <w:tcPr>
            <w:tcW w:w="120" w:type="dxa"/>
          </w:tcPr>
          <w:p>
            <w:pPr/>
          </w:p>
        </w:tc>
        <w:tc>
          <w:tcPr>
            <w:tcW w:w="3130" w:type="dxa"/>
            <w:gridSpan w:val="2"/>
          </w:tcPr>
          <w:p>
            <w:pPr>
              <w:pStyle w:val="TableParagraph"/>
              <w:tabs>
                <w:tab w:pos="2829" w:val="left" w:leader="none"/>
              </w:tabs>
              <w:ind w:left="1281"/>
              <w:rPr>
                <w:sz w:val="20"/>
              </w:rPr>
            </w:pPr>
            <w:r>
              <w:rPr>
                <w:color w:val="231F20"/>
                <w:sz w:val="20"/>
              </w:rPr>
              <w:t>—</w:t>
              <w:tab/>
              <w:t>33</w:t>
            </w:r>
          </w:p>
        </w:tc>
        <w:tc>
          <w:tcPr>
            <w:tcW w:w="120" w:type="dxa"/>
          </w:tcPr>
          <w:p>
            <w:pPr/>
          </w:p>
        </w:tc>
        <w:tc>
          <w:tcPr>
            <w:tcW w:w="1245" w:type="dxa"/>
          </w:tcPr>
          <w:p>
            <w:pPr>
              <w:pStyle w:val="TableParagraph"/>
              <w:ind w:right="97"/>
              <w:jc w:val="right"/>
              <w:rPr>
                <w:sz w:val="20"/>
              </w:rPr>
            </w:pPr>
            <w:r>
              <w:rPr>
                <w:color w:val="231F20"/>
                <w:sz w:val="20"/>
              </w:rPr>
              <w:t>—</w:t>
            </w:r>
          </w:p>
        </w:tc>
      </w:tr>
      <w:tr>
        <w:trPr>
          <w:trHeight w:val="316" w:hRule="exact"/>
        </w:trPr>
        <w:tc>
          <w:tcPr>
            <w:tcW w:w="9120" w:type="dxa"/>
            <w:gridSpan w:val="8"/>
            <w:shd w:val="clear" w:color="auto" w:fill="D1D3D4"/>
          </w:tcPr>
          <w:p>
            <w:pPr>
              <w:pStyle w:val="TableParagraph"/>
              <w:ind w:left="80"/>
              <w:rPr>
                <w:sz w:val="20"/>
              </w:rPr>
            </w:pPr>
            <w:r>
              <w:rPr>
                <w:color w:val="231F20"/>
                <w:sz w:val="20"/>
              </w:rPr>
              <w:t>Short-term investments:</w:t>
            </w:r>
          </w:p>
        </w:tc>
      </w:tr>
      <w:tr>
        <w:trPr>
          <w:trHeight w:val="300" w:hRule="exact"/>
        </w:trPr>
        <w:tc>
          <w:tcPr>
            <w:tcW w:w="2668" w:type="dxa"/>
          </w:tcPr>
          <w:p>
            <w:pPr>
              <w:pStyle w:val="TableParagraph"/>
              <w:ind w:left="280"/>
              <w:rPr>
                <w:sz w:val="20"/>
              </w:rPr>
            </w:pPr>
            <w:r>
              <w:rPr>
                <w:color w:val="231F20"/>
                <w:sz w:val="20"/>
              </w:rPr>
              <w:t>Treasury bills</w:t>
            </w:r>
          </w:p>
        </w:tc>
        <w:tc>
          <w:tcPr>
            <w:tcW w:w="1837" w:type="dxa"/>
            <w:gridSpan w:val="2"/>
          </w:tcPr>
          <w:p>
            <w:pPr>
              <w:pStyle w:val="TableParagraph"/>
              <w:ind w:right="107"/>
              <w:jc w:val="right"/>
              <w:rPr>
                <w:sz w:val="20"/>
              </w:rPr>
            </w:pPr>
            <w:r>
              <w:rPr>
                <w:color w:val="231F20"/>
                <w:sz w:val="20"/>
              </w:rPr>
              <w:t>1,248</w:t>
            </w:r>
          </w:p>
        </w:tc>
        <w:tc>
          <w:tcPr>
            <w:tcW w:w="2226" w:type="dxa"/>
            <w:gridSpan w:val="2"/>
          </w:tcPr>
          <w:p>
            <w:pPr>
              <w:pStyle w:val="TableParagraph"/>
              <w:ind w:left="1151"/>
              <w:rPr>
                <w:sz w:val="20"/>
              </w:rPr>
            </w:pPr>
            <w:r>
              <w:rPr>
                <w:color w:val="231F20"/>
                <w:sz w:val="20"/>
              </w:rPr>
              <w:t>1,248</w:t>
            </w:r>
          </w:p>
        </w:tc>
        <w:tc>
          <w:tcPr>
            <w:tcW w:w="1024" w:type="dxa"/>
          </w:tcPr>
          <w:p>
            <w:pPr>
              <w:pStyle w:val="TableParagraph"/>
              <w:ind w:right="99"/>
              <w:jc w:val="right"/>
              <w:rPr>
                <w:sz w:val="20"/>
              </w:rPr>
            </w:pPr>
            <w:r>
              <w:rPr>
                <w:color w:val="231F20"/>
                <w:sz w:val="20"/>
              </w:rPr>
              <w:t>—</w:t>
            </w:r>
          </w:p>
        </w:tc>
        <w:tc>
          <w:tcPr>
            <w:tcW w:w="1365" w:type="dxa"/>
            <w:gridSpan w:val="2"/>
          </w:tcPr>
          <w:p>
            <w:pPr>
              <w:pStyle w:val="TableParagraph"/>
              <w:ind w:right="99"/>
              <w:jc w:val="right"/>
              <w:rPr>
                <w:sz w:val="20"/>
              </w:rPr>
            </w:pPr>
            <w:r>
              <w:rPr>
                <w:color w:val="231F20"/>
                <w:sz w:val="20"/>
              </w:rPr>
              <w:t>—</w:t>
            </w:r>
          </w:p>
        </w:tc>
      </w:tr>
      <w:tr>
        <w:trPr>
          <w:trHeight w:val="300" w:hRule="exact"/>
        </w:trPr>
        <w:tc>
          <w:tcPr>
            <w:tcW w:w="2668" w:type="dxa"/>
            <w:shd w:val="clear" w:color="auto" w:fill="D1D3D4"/>
          </w:tcPr>
          <w:p>
            <w:pPr>
              <w:pStyle w:val="TableParagraph"/>
              <w:ind w:left="280"/>
              <w:rPr>
                <w:sz w:val="20"/>
              </w:rPr>
            </w:pPr>
            <w:r>
              <w:rPr>
                <w:color w:val="231F20"/>
                <w:sz w:val="20"/>
              </w:rPr>
              <w:t>Certificates of deposit</w:t>
            </w:r>
          </w:p>
        </w:tc>
        <w:tc>
          <w:tcPr>
            <w:tcW w:w="1837" w:type="dxa"/>
            <w:gridSpan w:val="2"/>
            <w:shd w:val="clear" w:color="auto" w:fill="D1D3D4"/>
          </w:tcPr>
          <w:p>
            <w:pPr>
              <w:pStyle w:val="TableParagraph"/>
              <w:ind w:right="105"/>
              <w:jc w:val="right"/>
              <w:rPr>
                <w:sz w:val="20"/>
              </w:rPr>
            </w:pPr>
            <w:r>
              <w:rPr>
                <w:color w:val="231F20"/>
                <w:sz w:val="20"/>
              </w:rPr>
              <w:t>220</w:t>
            </w:r>
          </w:p>
        </w:tc>
        <w:tc>
          <w:tcPr>
            <w:tcW w:w="2226" w:type="dxa"/>
            <w:gridSpan w:val="2"/>
            <w:shd w:val="clear" w:color="auto" w:fill="D1D3D4"/>
          </w:tcPr>
          <w:p>
            <w:pPr>
              <w:pStyle w:val="TableParagraph"/>
              <w:ind w:left="1401"/>
              <w:rPr>
                <w:sz w:val="20"/>
              </w:rPr>
            </w:pPr>
            <w:r>
              <w:rPr>
                <w:color w:val="231F20"/>
                <w:sz w:val="20"/>
              </w:rPr>
              <w:t>—</w:t>
            </w:r>
          </w:p>
        </w:tc>
        <w:tc>
          <w:tcPr>
            <w:tcW w:w="1024" w:type="dxa"/>
            <w:shd w:val="clear" w:color="auto" w:fill="D1D3D4"/>
          </w:tcPr>
          <w:p>
            <w:pPr>
              <w:pStyle w:val="TableParagraph"/>
              <w:ind w:right="97"/>
              <w:jc w:val="right"/>
              <w:rPr>
                <w:sz w:val="20"/>
              </w:rPr>
            </w:pPr>
            <w:r>
              <w:rPr>
                <w:color w:val="231F20"/>
                <w:sz w:val="20"/>
              </w:rPr>
              <w:t>220</w:t>
            </w:r>
          </w:p>
        </w:tc>
        <w:tc>
          <w:tcPr>
            <w:tcW w:w="1365" w:type="dxa"/>
            <w:gridSpan w:val="2"/>
            <w:shd w:val="clear" w:color="auto" w:fill="D1D3D4"/>
          </w:tcPr>
          <w:p>
            <w:pPr>
              <w:pStyle w:val="TableParagraph"/>
              <w:ind w:right="97"/>
              <w:jc w:val="right"/>
              <w:rPr>
                <w:sz w:val="20"/>
              </w:rPr>
            </w:pPr>
            <w:r>
              <w:rPr>
                <w:color w:val="231F20"/>
                <w:sz w:val="20"/>
              </w:rPr>
              <w:t>—</w:t>
            </w:r>
          </w:p>
        </w:tc>
      </w:tr>
      <w:tr>
        <w:trPr>
          <w:trHeight w:val="524" w:hRule="exact"/>
        </w:trPr>
        <w:tc>
          <w:tcPr>
            <w:tcW w:w="2668" w:type="dxa"/>
          </w:tcPr>
          <w:p>
            <w:pPr>
              <w:pStyle w:val="TableParagraph"/>
              <w:spacing w:line="249" w:lineRule="auto"/>
              <w:ind w:left="280" w:right="319" w:hanging="200"/>
              <w:rPr>
                <w:sz w:val="20"/>
              </w:rPr>
            </w:pPr>
            <w:r>
              <w:rPr>
                <w:color w:val="231F20"/>
                <w:sz w:val="20"/>
              </w:rPr>
              <w:t>Interest rate derivatives (see Note 10)</w:t>
            </w:r>
          </w:p>
        </w:tc>
        <w:tc>
          <w:tcPr>
            <w:tcW w:w="1837" w:type="dxa"/>
            <w:gridSpan w:val="2"/>
          </w:tcPr>
          <w:p>
            <w:pPr>
              <w:pStyle w:val="TableParagraph"/>
              <w:spacing w:before="5"/>
              <w:rPr>
                <w:b/>
                <w:sz w:val="25"/>
              </w:rPr>
            </w:pPr>
          </w:p>
          <w:p>
            <w:pPr>
              <w:pStyle w:val="TableParagraph"/>
              <w:spacing w:before="1"/>
              <w:ind w:right="107"/>
              <w:jc w:val="right"/>
              <w:rPr>
                <w:sz w:val="20"/>
              </w:rPr>
            </w:pPr>
            <w:r>
              <w:rPr>
                <w:color w:val="231F20"/>
                <w:sz w:val="20"/>
              </w:rPr>
              <w:t>2</w:t>
            </w:r>
          </w:p>
        </w:tc>
        <w:tc>
          <w:tcPr>
            <w:tcW w:w="2226" w:type="dxa"/>
            <w:gridSpan w:val="2"/>
          </w:tcPr>
          <w:p>
            <w:pPr>
              <w:pStyle w:val="TableParagraph"/>
              <w:spacing w:before="5"/>
              <w:rPr>
                <w:b/>
                <w:sz w:val="25"/>
              </w:rPr>
            </w:pPr>
          </w:p>
          <w:p>
            <w:pPr>
              <w:pStyle w:val="TableParagraph"/>
              <w:spacing w:before="1"/>
              <w:ind w:left="1401"/>
              <w:rPr>
                <w:sz w:val="20"/>
              </w:rPr>
            </w:pPr>
            <w:r>
              <w:rPr>
                <w:color w:val="231F20"/>
                <w:sz w:val="20"/>
              </w:rPr>
              <w:t>—</w:t>
            </w:r>
          </w:p>
        </w:tc>
        <w:tc>
          <w:tcPr>
            <w:tcW w:w="1024" w:type="dxa"/>
          </w:tcPr>
          <w:p>
            <w:pPr>
              <w:pStyle w:val="TableParagraph"/>
              <w:spacing w:before="5"/>
              <w:rPr>
                <w:b/>
                <w:sz w:val="25"/>
              </w:rPr>
            </w:pPr>
          </w:p>
          <w:p>
            <w:pPr>
              <w:pStyle w:val="TableParagraph"/>
              <w:spacing w:before="1"/>
              <w:ind w:right="99"/>
              <w:jc w:val="right"/>
              <w:rPr>
                <w:sz w:val="20"/>
              </w:rPr>
            </w:pPr>
            <w:r>
              <w:rPr>
                <w:color w:val="231F20"/>
                <w:sz w:val="20"/>
              </w:rPr>
              <w:t>2</w:t>
            </w:r>
          </w:p>
        </w:tc>
        <w:tc>
          <w:tcPr>
            <w:tcW w:w="1365" w:type="dxa"/>
            <w:gridSpan w:val="2"/>
          </w:tcPr>
          <w:p>
            <w:pPr>
              <w:pStyle w:val="TableParagraph"/>
              <w:spacing w:before="5"/>
              <w:rPr>
                <w:b/>
                <w:sz w:val="25"/>
              </w:rPr>
            </w:pPr>
          </w:p>
          <w:p>
            <w:pPr>
              <w:pStyle w:val="TableParagraph"/>
              <w:spacing w:before="1"/>
              <w:ind w:right="99"/>
              <w:jc w:val="right"/>
              <w:rPr>
                <w:sz w:val="20"/>
              </w:rPr>
            </w:pPr>
            <w:r>
              <w:rPr>
                <w:color w:val="231F20"/>
                <w:sz w:val="20"/>
              </w:rPr>
              <w:t>—</w:t>
            </w:r>
          </w:p>
        </w:tc>
      </w:tr>
      <w:tr>
        <w:trPr>
          <w:trHeight w:val="316" w:hRule="exact"/>
        </w:trPr>
        <w:tc>
          <w:tcPr>
            <w:tcW w:w="9120" w:type="dxa"/>
            <w:gridSpan w:val="8"/>
            <w:shd w:val="clear" w:color="auto" w:fill="D1D3D4"/>
          </w:tcPr>
          <w:p>
            <w:pPr>
              <w:pStyle w:val="TableParagraph"/>
              <w:ind w:left="80"/>
              <w:rPr>
                <w:sz w:val="20"/>
              </w:rPr>
            </w:pPr>
            <w:r>
              <w:rPr>
                <w:color w:val="231F20"/>
                <w:sz w:val="20"/>
              </w:rPr>
              <w:t>Fuel derivatives:</w:t>
            </w:r>
          </w:p>
        </w:tc>
      </w:tr>
      <w:tr>
        <w:trPr>
          <w:trHeight w:val="300" w:hRule="exact"/>
        </w:trPr>
        <w:tc>
          <w:tcPr>
            <w:tcW w:w="2788" w:type="dxa"/>
            <w:gridSpan w:val="2"/>
          </w:tcPr>
          <w:p>
            <w:pPr>
              <w:pStyle w:val="TableParagraph"/>
              <w:ind w:left="280"/>
              <w:rPr>
                <w:sz w:val="20"/>
              </w:rPr>
            </w:pPr>
            <w:r>
              <w:rPr>
                <w:color w:val="231F20"/>
                <w:sz w:val="20"/>
              </w:rPr>
              <w:t>Swap contracts (b)</w:t>
            </w:r>
          </w:p>
        </w:tc>
        <w:tc>
          <w:tcPr>
            <w:tcW w:w="1837" w:type="dxa"/>
            <w:gridSpan w:val="2"/>
          </w:tcPr>
          <w:p>
            <w:pPr>
              <w:pStyle w:val="TableParagraph"/>
              <w:ind w:right="227"/>
              <w:jc w:val="right"/>
              <w:rPr>
                <w:sz w:val="20"/>
              </w:rPr>
            </w:pPr>
            <w:r>
              <w:rPr>
                <w:color w:val="231F20"/>
                <w:sz w:val="20"/>
              </w:rPr>
              <w:t>38</w:t>
            </w:r>
          </w:p>
        </w:tc>
        <w:tc>
          <w:tcPr>
            <w:tcW w:w="4495" w:type="dxa"/>
            <w:gridSpan w:val="4"/>
          </w:tcPr>
          <w:p>
            <w:pPr>
              <w:pStyle w:val="TableParagraph"/>
              <w:tabs>
                <w:tab w:pos="2829" w:val="left" w:leader="none"/>
                <w:tab w:pos="4194" w:val="left" w:leader="none"/>
              </w:tabs>
              <w:ind w:left="1281"/>
              <w:rPr>
                <w:sz w:val="20"/>
              </w:rPr>
            </w:pPr>
            <w:r>
              <w:rPr>
                <w:color w:val="231F20"/>
                <w:sz w:val="20"/>
              </w:rPr>
              <w:t>—</w:t>
              <w:tab/>
              <w:t>38</w:t>
              <w:tab/>
              <w:t>—</w:t>
            </w:r>
          </w:p>
        </w:tc>
      </w:tr>
      <w:tr>
        <w:trPr>
          <w:trHeight w:val="300" w:hRule="exact"/>
        </w:trPr>
        <w:tc>
          <w:tcPr>
            <w:tcW w:w="2788" w:type="dxa"/>
            <w:gridSpan w:val="2"/>
            <w:shd w:val="clear" w:color="auto" w:fill="D1D3D4"/>
          </w:tcPr>
          <w:p>
            <w:pPr>
              <w:pStyle w:val="TableParagraph"/>
              <w:ind w:left="280"/>
              <w:rPr>
                <w:sz w:val="20"/>
              </w:rPr>
            </w:pPr>
            <w:r>
              <w:rPr>
                <w:color w:val="231F20"/>
                <w:sz w:val="20"/>
              </w:rPr>
              <w:t>Swap contracts (c)</w:t>
            </w:r>
          </w:p>
        </w:tc>
        <w:tc>
          <w:tcPr>
            <w:tcW w:w="1837" w:type="dxa"/>
            <w:gridSpan w:val="2"/>
            <w:shd w:val="clear" w:color="auto" w:fill="D1D3D4"/>
          </w:tcPr>
          <w:p>
            <w:pPr>
              <w:pStyle w:val="TableParagraph"/>
              <w:ind w:right="227"/>
              <w:jc w:val="right"/>
              <w:rPr>
                <w:sz w:val="20"/>
              </w:rPr>
            </w:pPr>
            <w:r>
              <w:rPr>
                <w:color w:val="231F20"/>
                <w:sz w:val="20"/>
              </w:rPr>
              <w:t>931</w:t>
            </w:r>
          </w:p>
        </w:tc>
        <w:tc>
          <w:tcPr>
            <w:tcW w:w="4495" w:type="dxa"/>
            <w:gridSpan w:val="4"/>
            <w:shd w:val="clear" w:color="auto" w:fill="D1D3D4"/>
          </w:tcPr>
          <w:p>
            <w:pPr>
              <w:pStyle w:val="TableParagraph"/>
              <w:tabs>
                <w:tab w:pos="2729" w:val="left" w:leader="none"/>
                <w:tab w:pos="4194" w:val="left" w:leader="none"/>
              </w:tabs>
              <w:ind w:left="1281"/>
              <w:rPr>
                <w:sz w:val="20"/>
              </w:rPr>
            </w:pPr>
            <w:r>
              <w:rPr>
                <w:color w:val="231F20"/>
                <w:sz w:val="20"/>
              </w:rPr>
              <w:t>—</w:t>
              <w:tab/>
              <w:t>931</w:t>
              <w:tab/>
              <w:t>—</w:t>
            </w:r>
          </w:p>
        </w:tc>
      </w:tr>
      <w:tr>
        <w:trPr>
          <w:trHeight w:val="300" w:hRule="exact"/>
        </w:trPr>
        <w:tc>
          <w:tcPr>
            <w:tcW w:w="2788" w:type="dxa"/>
            <w:gridSpan w:val="2"/>
          </w:tcPr>
          <w:p>
            <w:pPr>
              <w:pStyle w:val="TableParagraph"/>
              <w:ind w:left="280"/>
              <w:rPr>
                <w:sz w:val="20"/>
              </w:rPr>
            </w:pPr>
            <w:r>
              <w:rPr>
                <w:color w:val="231F20"/>
                <w:sz w:val="20"/>
              </w:rPr>
              <w:t>Option contracts (b)</w:t>
            </w:r>
          </w:p>
        </w:tc>
        <w:tc>
          <w:tcPr>
            <w:tcW w:w="1837" w:type="dxa"/>
            <w:gridSpan w:val="2"/>
          </w:tcPr>
          <w:p>
            <w:pPr>
              <w:pStyle w:val="TableParagraph"/>
              <w:ind w:right="227"/>
              <w:jc w:val="right"/>
              <w:rPr>
                <w:sz w:val="20"/>
              </w:rPr>
            </w:pPr>
            <w:r>
              <w:rPr>
                <w:color w:val="231F20"/>
                <w:sz w:val="20"/>
              </w:rPr>
              <w:t>10</w:t>
            </w:r>
          </w:p>
        </w:tc>
        <w:tc>
          <w:tcPr>
            <w:tcW w:w="4495" w:type="dxa"/>
            <w:gridSpan w:val="4"/>
          </w:tcPr>
          <w:p>
            <w:pPr>
              <w:pStyle w:val="TableParagraph"/>
              <w:tabs>
                <w:tab w:pos="2829" w:val="left" w:leader="none"/>
                <w:tab w:pos="4194" w:val="left" w:leader="none"/>
              </w:tabs>
              <w:ind w:left="1281"/>
              <w:rPr>
                <w:sz w:val="20"/>
              </w:rPr>
            </w:pPr>
            <w:r>
              <w:rPr>
                <w:color w:val="231F20"/>
                <w:sz w:val="20"/>
              </w:rPr>
              <w:t>—</w:t>
              <w:tab/>
              <w:t>—</w:t>
              <w:tab/>
              <w:t>10</w:t>
            </w:r>
          </w:p>
        </w:tc>
      </w:tr>
      <w:tr>
        <w:trPr>
          <w:trHeight w:val="300" w:hRule="exact"/>
        </w:trPr>
        <w:tc>
          <w:tcPr>
            <w:tcW w:w="2788" w:type="dxa"/>
            <w:gridSpan w:val="2"/>
            <w:shd w:val="clear" w:color="auto" w:fill="D1D3D4"/>
          </w:tcPr>
          <w:p>
            <w:pPr>
              <w:pStyle w:val="TableParagraph"/>
              <w:ind w:left="280"/>
              <w:rPr>
                <w:sz w:val="20"/>
              </w:rPr>
            </w:pPr>
            <w:r>
              <w:rPr>
                <w:color w:val="231F20"/>
                <w:sz w:val="20"/>
              </w:rPr>
              <w:t>Option contracts (c)</w:t>
            </w:r>
          </w:p>
        </w:tc>
        <w:tc>
          <w:tcPr>
            <w:tcW w:w="1837" w:type="dxa"/>
            <w:gridSpan w:val="2"/>
            <w:shd w:val="clear" w:color="auto" w:fill="D1D3D4"/>
          </w:tcPr>
          <w:p>
            <w:pPr>
              <w:pStyle w:val="TableParagraph"/>
              <w:ind w:right="227"/>
              <w:jc w:val="right"/>
              <w:rPr>
                <w:sz w:val="20"/>
              </w:rPr>
            </w:pPr>
            <w:r>
              <w:rPr>
                <w:color w:val="231F20"/>
                <w:sz w:val="20"/>
              </w:rPr>
              <w:t>956</w:t>
            </w:r>
          </w:p>
        </w:tc>
        <w:tc>
          <w:tcPr>
            <w:tcW w:w="4495" w:type="dxa"/>
            <w:gridSpan w:val="4"/>
            <w:shd w:val="clear" w:color="auto" w:fill="D1D3D4"/>
          </w:tcPr>
          <w:p>
            <w:pPr>
              <w:pStyle w:val="TableParagraph"/>
              <w:tabs>
                <w:tab w:pos="2829" w:val="left" w:leader="none"/>
                <w:tab w:pos="4094" w:val="left" w:leader="none"/>
              </w:tabs>
              <w:ind w:left="1281"/>
              <w:rPr>
                <w:sz w:val="20"/>
              </w:rPr>
            </w:pPr>
            <w:r>
              <w:rPr>
                <w:color w:val="231F20"/>
                <w:sz w:val="20"/>
              </w:rPr>
              <w:t>—</w:t>
              <w:tab/>
              <w:t>—</w:t>
              <w:tab/>
              <w:t>956</w:t>
            </w:r>
          </w:p>
        </w:tc>
      </w:tr>
      <w:tr>
        <w:trPr>
          <w:trHeight w:val="555" w:hRule="exact"/>
        </w:trPr>
        <w:tc>
          <w:tcPr>
            <w:tcW w:w="2788" w:type="dxa"/>
            <w:gridSpan w:val="2"/>
          </w:tcPr>
          <w:p>
            <w:pPr>
              <w:pStyle w:val="TableParagraph"/>
              <w:spacing w:line="249" w:lineRule="auto"/>
              <w:ind w:left="280" w:right="783" w:hanging="200"/>
              <w:rPr>
                <w:sz w:val="20"/>
              </w:rPr>
            </w:pPr>
            <w:r>
              <w:rPr>
                <w:color w:val="231F20"/>
                <w:sz w:val="20"/>
              </w:rPr>
              <w:t>Other available-for-sale securities</w:t>
            </w:r>
          </w:p>
        </w:tc>
        <w:tc>
          <w:tcPr>
            <w:tcW w:w="1837" w:type="dxa"/>
            <w:gridSpan w:val="2"/>
            <w:tcBorders>
              <w:bottom w:val="single" w:sz="4" w:space="0" w:color="231F20"/>
            </w:tcBorders>
          </w:tcPr>
          <w:p>
            <w:pPr>
              <w:pStyle w:val="TableParagraph"/>
              <w:spacing w:before="5"/>
              <w:rPr>
                <w:b/>
                <w:sz w:val="25"/>
              </w:rPr>
            </w:pPr>
          </w:p>
          <w:p>
            <w:pPr>
              <w:pStyle w:val="TableParagraph"/>
              <w:spacing w:before="1"/>
              <w:ind w:right="225"/>
              <w:jc w:val="right"/>
              <w:rPr>
                <w:sz w:val="20"/>
              </w:rPr>
            </w:pPr>
            <w:r>
              <w:rPr>
                <w:color w:val="231F20"/>
                <w:sz w:val="20"/>
              </w:rPr>
              <w:t>93</w:t>
            </w:r>
          </w:p>
        </w:tc>
        <w:tc>
          <w:tcPr>
            <w:tcW w:w="4495" w:type="dxa"/>
            <w:gridSpan w:val="4"/>
          </w:tcPr>
          <w:p>
            <w:pPr>
              <w:pStyle w:val="TableParagraph"/>
              <w:spacing w:before="5"/>
              <w:rPr>
                <w:b/>
                <w:sz w:val="25"/>
              </w:rPr>
            </w:pPr>
          </w:p>
          <w:p>
            <w:pPr>
              <w:pStyle w:val="TableParagraph"/>
              <w:tabs>
                <w:tab w:pos="2829" w:val="left" w:leader="none"/>
                <w:tab w:pos="4194" w:val="left" w:leader="none"/>
              </w:tabs>
              <w:spacing w:before="1"/>
              <w:ind w:left="1281"/>
              <w:rPr>
                <w:sz w:val="20"/>
              </w:rPr>
            </w:pPr>
            <w:r>
              <w:rPr>
                <w:color w:val="231F20"/>
                <w:sz w:val="20"/>
              </w:rPr>
              <w:t>66</w:t>
              <w:tab/>
              <w:t>—</w:t>
              <w:tab/>
              <w:t>27</w:t>
            </w:r>
          </w:p>
        </w:tc>
      </w:tr>
      <w:tr>
        <w:trPr>
          <w:trHeight w:val="340" w:hRule="exact"/>
        </w:trPr>
        <w:tc>
          <w:tcPr>
            <w:tcW w:w="2788" w:type="dxa"/>
            <w:gridSpan w:val="2"/>
            <w:shd w:val="clear" w:color="auto" w:fill="D1D3D4"/>
          </w:tcPr>
          <w:p>
            <w:pPr>
              <w:pStyle w:val="TableParagraph"/>
              <w:ind w:left="80"/>
              <w:rPr>
                <w:b/>
                <w:sz w:val="20"/>
              </w:rPr>
            </w:pPr>
            <w:r>
              <w:rPr>
                <w:b/>
                <w:color w:val="231F20"/>
                <w:sz w:val="20"/>
              </w:rPr>
              <w:t>Total assets</w:t>
            </w:r>
          </w:p>
        </w:tc>
        <w:tc>
          <w:tcPr>
            <w:tcW w:w="1837" w:type="dxa"/>
            <w:gridSpan w:val="2"/>
            <w:tcBorders>
              <w:top w:val="single" w:sz="4" w:space="0" w:color="231F20"/>
              <w:bottom w:val="single" w:sz="4" w:space="0" w:color="231F20"/>
            </w:tcBorders>
            <w:shd w:val="clear" w:color="auto" w:fill="D1D3D4"/>
          </w:tcPr>
          <w:p>
            <w:pPr>
              <w:pStyle w:val="TableParagraph"/>
              <w:tabs>
                <w:tab w:pos="1158" w:val="left" w:leader="none"/>
              </w:tabs>
              <w:ind w:left="-1"/>
              <w:rPr>
                <w:sz w:val="20"/>
              </w:rPr>
            </w:pPr>
            <w:r>
              <w:rPr>
                <w:color w:val="231F20"/>
                <w:sz w:val="20"/>
                <w:u w:val="single" w:color="231F20"/>
              </w:rPr>
              <w:t>$</w:t>
              <w:tab/>
              <w:t>5,081</w:t>
            </w:r>
            <w:r>
              <w:rPr>
                <w:color w:val="231F20"/>
                <w:spacing w:val="8"/>
                <w:sz w:val="20"/>
                <w:u w:val="single" w:color="231F20"/>
              </w:rPr>
              <w:t> </w:t>
            </w:r>
          </w:p>
        </w:tc>
        <w:tc>
          <w:tcPr>
            <w:tcW w:w="4495" w:type="dxa"/>
            <w:gridSpan w:val="4"/>
            <w:shd w:val="clear" w:color="auto" w:fill="D1D3D4"/>
          </w:tcPr>
          <w:p>
            <w:pPr>
              <w:pStyle w:val="TableParagraph"/>
              <w:spacing w:line="20" w:lineRule="exact" w:before="0"/>
              <w:ind w:left="1696"/>
              <w:rPr>
                <w:sz w:val="2"/>
              </w:rPr>
            </w:pPr>
            <w:r>
              <w:rPr>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z w:val="2"/>
              </w:rPr>
            </w:r>
          </w:p>
          <w:p>
            <w:pPr>
              <w:pStyle w:val="TableParagraph"/>
              <w:tabs>
                <w:tab w:pos="1030" w:val="left" w:leader="none"/>
                <w:tab w:pos="2579" w:val="left" w:leader="none"/>
                <w:tab w:pos="4094" w:val="left" w:leader="none"/>
              </w:tabs>
              <w:spacing w:before="38"/>
              <w:rPr>
                <w:sz w:val="20"/>
              </w:rPr>
            </w:pPr>
            <w:r>
              <w:rPr>
                <w:color w:val="231F20"/>
                <w:sz w:val="20"/>
                <w:u w:val="single" w:color="231F20"/>
              </w:rPr>
              <w:t>$</w:t>
              <w:tab/>
              <w:t>2,651   </w:t>
            </w:r>
            <w:r>
              <w:rPr>
                <w:color w:val="231F20"/>
                <w:spacing w:val="20"/>
                <w:sz w:val="20"/>
                <w:u w:val="single" w:color="231F20"/>
              </w:rPr>
              <w:t> </w:t>
            </w:r>
            <w:r>
              <w:rPr>
                <w:color w:val="231F20"/>
                <w:sz w:val="20"/>
                <w:u w:val="single" w:color="231F20"/>
              </w:rPr>
              <w:t>$</w:t>
              <w:tab/>
              <w:t>1,437   </w:t>
            </w:r>
            <w:r>
              <w:rPr>
                <w:color w:val="231F20"/>
                <w:spacing w:val="20"/>
                <w:sz w:val="20"/>
                <w:u w:val="single" w:color="231F20"/>
              </w:rPr>
              <w:t> </w:t>
            </w:r>
            <w:r>
              <w:rPr>
                <w:color w:val="231F20"/>
                <w:sz w:val="20"/>
                <w:u w:val="single" w:color="231F20"/>
              </w:rPr>
              <w:t>$</w:t>
              <w:tab/>
              <w:t>993</w:t>
            </w:r>
          </w:p>
        </w:tc>
      </w:tr>
      <w:tr>
        <w:trPr>
          <w:trHeight w:val="305" w:hRule="exact"/>
        </w:trPr>
        <w:tc>
          <w:tcPr>
            <w:tcW w:w="2788" w:type="dxa"/>
            <w:gridSpan w:val="2"/>
          </w:tcPr>
          <w:p>
            <w:pPr>
              <w:pStyle w:val="TableParagraph"/>
              <w:spacing w:before="113"/>
              <w:ind w:left="80"/>
              <w:rPr>
                <w:b/>
                <w:sz w:val="20"/>
              </w:rPr>
            </w:pPr>
            <w:r>
              <w:rPr>
                <w:b/>
                <w:color w:val="231F20"/>
                <w:sz w:val="20"/>
              </w:rPr>
              <w:t>Liabilities</w:t>
            </w:r>
          </w:p>
        </w:tc>
        <w:tc>
          <w:tcPr>
            <w:tcW w:w="1837" w:type="dxa"/>
            <w:gridSpan w:val="2"/>
            <w:tcBorders>
              <w:top w:val="single" w:sz="4" w:space="0" w:color="231F20"/>
            </w:tcBorders>
          </w:tcPr>
          <w:p>
            <w:pPr/>
          </w:p>
        </w:tc>
        <w:tc>
          <w:tcPr>
            <w:tcW w:w="4495" w:type="dxa"/>
            <w:gridSpan w:val="4"/>
          </w:tcPr>
          <w:p>
            <w:pPr>
              <w:pStyle w:val="TableParagraph"/>
              <w:spacing w:line="20" w:lineRule="exact" w:before="0"/>
              <w:ind w:left="1696"/>
              <w:rPr>
                <w:sz w:val="2"/>
              </w:rPr>
            </w:pPr>
            <w:r>
              <w:rPr>
                <w:sz w:val="2"/>
              </w:rPr>
              <w:pict>
                <v:group style="width:71.95pt;height:.5pt;mso-position-horizontal-relative:char;mso-position-vertical-relative:line" coordorigin="0,0" coordsize="1439,10">
                  <v:line style="position:absolute" from="5,5" to="1434,5" stroked="true" strokeweight=".5pt" strokecolor="#231f20">
                    <v:stroke dashstyle="solid"/>
                  </v:line>
                </v:group>
              </w:pict>
            </w:r>
            <w:r>
              <w:rPr>
                <w:sz w:val="2"/>
              </w:rPr>
            </w:r>
          </w:p>
          <w:p>
            <w:pPr>
              <w:pStyle w:val="TableParagraph"/>
              <w:spacing w:before="9"/>
              <w:rPr>
                <w:b/>
                <w:sz w:val="24"/>
              </w:rPr>
            </w:pPr>
          </w:p>
        </w:tc>
      </w:tr>
      <w:tr>
        <w:trPr>
          <w:trHeight w:val="300" w:hRule="exact"/>
        </w:trPr>
        <w:tc>
          <w:tcPr>
            <w:tcW w:w="2788" w:type="dxa"/>
            <w:gridSpan w:val="2"/>
            <w:shd w:val="clear" w:color="auto" w:fill="D1D3D4"/>
          </w:tcPr>
          <w:p>
            <w:pPr>
              <w:pStyle w:val="TableParagraph"/>
              <w:ind w:left="80"/>
              <w:rPr>
                <w:sz w:val="20"/>
              </w:rPr>
            </w:pPr>
            <w:r>
              <w:rPr>
                <w:color w:val="231F20"/>
                <w:sz w:val="20"/>
              </w:rPr>
              <w:t>Fuel derivatives:</w:t>
            </w:r>
          </w:p>
        </w:tc>
        <w:tc>
          <w:tcPr>
            <w:tcW w:w="1837" w:type="dxa"/>
            <w:gridSpan w:val="2"/>
            <w:shd w:val="clear" w:color="auto" w:fill="D1D3D4"/>
          </w:tcPr>
          <w:p>
            <w:pPr/>
          </w:p>
        </w:tc>
        <w:tc>
          <w:tcPr>
            <w:tcW w:w="4495" w:type="dxa"/>
            <w:gridSpan w:val="4"/>
            <w:shd w:val="clear" w:color="auto" w:fill="D1D3D4"/>
          </w:tcPr>
          <w:p>
            <w:pPr/>
          </w:p>
        </w:tc>
      </w:tr>
      <w:tr>
        <w:trPr>
          <w:trHeight w:val="300" w:hRule="exact"/>
        </w:trPr>
        <w:tc>
          <w:tcPr>
            <w:tcW w:w="2788" w:type="dxa"/>
            <w:gridSpan w:val="2"/>
          </w:tcPr>
          <w:p>
            <w:pPr>
              <w:pStyle w:val="TableParagraph"/>
              <w:ind w:left="280"/>
              <w:rPr>
                <w:sz w:val="20"/>
              </w:rPr>
            </w:pPr>
            <w:r>
              <w:rPr>
                <w:color w:val="231F20"/>
                <w:sz w:val="20"/>
              </w:rPr>
              <w:t>Swap contracts (c)</w:t>
            </w:r>
          </w:p>
        </w:tc>
        <w:tc>
          <w:tcPr>
            <w:tcW w:w="1837" w:type="dxa"/>
            <w:gridSpan w:val="2"/>
          </w:tcPr>
          <w:p>
            <w:pPr>
              <w:pStyle w:val="TableParagraph"/>
              <w:tabs>
                <w:tab w:pos="1274" w:val="left" w:leader="none"/>
              </w:tabs>
              <w:rPr>
                <w:sz w:val="20"/>
              </w:rPr>
            </w:pPr>
            <w:r>
              <w:rPr>
                <w:color w:val="231F20"/>
                <w:sz w:val="20"/>
              </w:rPr>
              <w:t>$</w:t>
              <w:tab/>
              <w:t>(774)</w:t>
            </w:r>
          </w:p>
        </w:tc>
        <w:tc>
          <w:tcPr>
            <w:tcW w:w="4495" w:type="dxa"/>
            <w:gridSpan w:val="4"/>
          </w:tcPr>
          <w:p>
            <w:pPr>
              <w:pStyle w:val="TableParagraph"/>
              <w:tabs>
                <w:tab w:pos="1280" w:val="left" w:leader="none"/>
                <w:tab w:pos="1700" w:val="left" w:leader="none"/>
                <w:tab w:pos="2695" w:val="left" w:leader="none"/>
                <w:tab w:pos="4194" w:val="left" w:leader="none"/>
              </w:tabs>
              <w:rPr>
                <w:sz w:val="20"/>
              </w:rPr>
            </w:pPr>
            <w:r>
              <w:rPr>
                <w:color w:val="231F20"/>
                <w:sz w:val="20"/>
              </w:rPr>
              <w:t>$</w:t>
              <w:tab/>
              <w:t>—</w:t>
              <w:tab/>
              <w:t>$</w:t>
              <w:tab/>
              <w:t>(774) </w:t>
            </w:r>
            <w:r>
              <w:rPr>
                <w:color w:val="231F20"/>
                <w:spacing w:val="20"/>
                <w:sz w:val="20"/>
              </w:rPr>
              <w:t> </w:t>
            </w:r>
            <w:r>
              <w:rPr>
                <w:color w:val="231F20"/>
                <w:sz w:val="20"/>
              </w:rPr>
              <w:t>$</w:t>
              <w:tab/>
              <w:t>—</w:t>
            </w:r>
          </w:p>
        </w:tc>
      </w:tr>
      <w:tr>
        <w:trPr>
          <w:trHeight w:val="300" w:hRule="exact"/>
        </w:trPr>
        <w:tc>
          <w:tcPr>
            <w:tcW w:w="2788" w:type="dxa"/>
            <w:gridSpan w:val="2"/>
            <w:shd w:val="clear" w:color="auto" w:fill="D1D3D4"/>
          </w:tcPr>
          <w:p>
            <w:pPr>
              <w:pStyle w:val="TableParagraph"/>
              <w:ind w:left="280"/>
              <w:rPr>
                <w:sz w:val="20"/>
              </w:rPr>
            </w:pPr>
            <w:r>
              <w:rPr>
                <w:color w:val="231F20"/>
                <w:sz w:val="20"/>
              </w:rPr>
              <w:t>Option contracts (b)</w:t>
            </w:r>
          </w:p>
        </w:tc>
        <w:tc>
          <w:tcPr>
            <w:tcW w:w="1837" w:type="dxa"/>
            <w:gridSpan w:val="2"/>
            <w:shd w:val="clear" w:color="auto" w:fill="D1D3D4"/>
          </w:tcPr>
          <w:p>
            <w:pPr>
              <w:pStyle w:val="TableParagraph"/>
              <w:ind w:right="126"/>
              <w:jc w:val="right"/>
              <w:rPr>
                <w:sz w:val="20"/>
              </w:rPr>
            </w:pPr>
            <w:r>
              <w:rPr>
                <w:color w:val="231F20"/>
                <w:sz w:val="20"/>
              </w:rPr>
              <w:t>(26)</w:t>
            </w:r>
          </w:p>
        </w:tc>
        <w:tc>
          <w:tcPr>
            <w:tcW w:w="4495" w:type="dxa"/>
            <w:gridSpan w:val="4"/>
            <w:shd w:val="clear" w:color="auto" w:fill="D1D3D4"/>
          </w:tcPr>
          <w:p>
            <w:pPr>
              <w:pStyle w:val="TableParagraph"/>
              <w:tabs>
                <w:tab w:pos="2829" w:val="left" w:leader="none"/>
                <w:tab w:pos="4160" w:val="left" w:leader="none"/>
              </w:tabs>
              <w:ind w:left="1281"/>
              <w:rPr>
                <w:sz w:val="20"/>
              </w:rPr>
            </w:pPr>
            <w:r>
              <w:rPr>
                <w:color w:val="231F20"/>
                <w:sz w:val="20"/>
              </w:rPr>
              <w:t>—</w:t>
              <w:tab/>
              <w:t>—</w:t>
              <w:tab/>
              <w:t>(26)</w:t>
            </w:r>
          </w:p>
        </w:tc>
      </w:tr>
      <w:tr>
        <w:trPr>
          <w:trHeight w:val="284" w:hRule="exact"/>
        </w:trPr>
        <w:tc>
          <w:tcPr>
            <w:tcW w:w="2788" w:type="dxa"/>
            <w:gridSpan w:val="2"/>
          </w:tcPr>
          <w:p>
            <w:pPr>
              <w:pStyle w:val="TableParagraph"/>
              <w:ind w:left="280"/>
              <w:rPr>
                <w:sz w:val="20"/>
              </w:rPr>
            </w:pPr>
            <w:r>
              <w:rPr>
                <w:color w:val="231F20"/>
                <w:sz w:val="20"/>
              </w:rPr>
              <w:t>Option contracts (c)</w:t>
            </w:r>
          </w:p>
        </w:tc>
        <w:tc>
          <w:tcPr>
            <w:tcW w:w="1837" w:type="dxa"/>
            <w:gridSpan w:val="2"/>
          </w:tcPr>
          <w:p>
            <w:pPr>
              <w:pStyle w:val="TableParagraph"/>
              <w:ind w:left="1125"/>
              <w:rPr>
                <w:sz w:val="20"/>
              </w:rPr>
            </w:pPr>
            <w:r>
              <w:rPr>
                <w:color w:val="231F20"/>
                <w:sz w:val="20"/>
              </w:rPr>
              <w:t>(2,616)</w:t>
            </w:r>
          </w:p>
        </w:tc>
        <w:tc>
          <w:tcPr>
            <w:tcW w:w="4495" w:type="dxa"/>
            <w:gridSpan w:val="4"/>
          </w:tcPr>
          <w:p>
            <w:pPr>
              <w:pStyle w:val="TableParagraph"/>
              <w:tabs>
                <w:tab w:pos="2829" w:val="left" w:leader="none"/>
                <w:tab w:pos="3910" w:val="left" w:leader="none"/>
              </w:tabs>
              <w:ind w:left="1281"/>
              <w:rPr>
                <w:sz w:val="20"/>
              </w:rPr>
            </w:pPr>
            <w:r>
              <w:rPr>
                <w:color w:val="231F20"/>
                <w:sz w:val="20"/>
              </w:rPr>
              <w:t>—</w:t>
              <w:tab/>
              <w:t>—</w:t>
              <w:tab/>
              <w:t>(2,616)</w:t>
            </w:r>
          </w:p>
        </w:tc>
      </w:tr>
    </w:tbl>
    <w:p>
      <w:pPr>
        <w:spacing w:before="87"/>
        <w:ind w:left="180" w:right="0" w:firstLine="0"/>
        <w:jc w:val="left"/>
        <w:rPr>
          <w:sz w:val="20"/>
        </w:rPr>
      </w:pPr>
      <w:r>
        <w:rPr/>
        <w:pict>
          <v:group style="position:absolute;margin-left:69pt;margin-top:1.685938pt;width:456.25pt;height:28pt;mso-position-horizontal-relative:page;mso-position-vertical-relative:paragraph;z-index:-388552" coordorigin="1380,34" coordsize="9125,560">
            <v:rect style="position:absolute;left:1380;top:34;width:9120;height:540" filled="true" fillcolor="#d1d3d4" stroked="false">
              <v:fill type="solid"/>
            </v:rect>
            <v:line style="position:absolute" from="4168,589" to="5885,589" stroked="true" strokeweight=".5pt" strokecolor="#231f20">
              <v:stroke dashstyle="solid"/>
            </v:line>
            <v:line style="position:absolute" from="6005,589" to="7586,589" stroked="true" strokeweight=".5pt" strokecolor="#231f20">
              <v:stroke dashstyle="solid"/>
            </v:line>
            <v:line style="position:absolute" from="7706,589" to="9135,589" stroked="true" strokeweight=".5pt" strokecolor="#231f20">
              <v:stroke dashstyle="solid"/>
            </v:line>
            <v:line style="position:absolute" from="9255,589" to="10500,589" stroked="true" strokeweight=".5pt" strokecolor="#231f20">
              <v:stroke dashstyle="solid"/>
            </v:line>
            <w10:wrap type="none"/>
          </v:group>
        </w:pict>
      </w:r>
      <w:r>
        <w:rPr/>
        <w:pict>
          <v:line style="position:absolute;mso-position-horizontal-relative:page;mso-position-vertical-relative:paragraph;z-index:-388480" from="300.25pt,-90.564064pt" to="379.3pt,-90.564064pt" stroked="true" strokeweight=".5pt" strokecolor="#231f20">
            <v:stroke dashstyle="solid"/>
            <w10:wrap type="none"/>
          </v:line>
        </w:pict>
      </w:r>
      <w:r>
        <w:rPr/>
        <w:pict>
          <v:line style="position:absolute;mso-position-horizontal-relative:page;mso-position-vertical-relative:paragraph;z-index:-388456" from="300.25pt,-73.564064pt" to="379.3pt,-73.564064pt" stroked="true" strokeweight=".5pt" strokecolor="#231f20">
            <v:stroke dashstyle="solid"/>
            <w10:wrap type="none"/>
          </v:line>
        </w:pict>
      </w:r>
      <w:r>
        <w:rPr>
          <w:color w:val="231F20"/>
          <w:sz w:val="20"/>
        </w:rPr>
        <w:t>Interest rate derivatives (see</w:t>
      </w:r>
    </w:p>
    <w:p>
      <w:pPr>
        <w:tabs>
          <w:tab w:pos="4042" w:val="left" w:leader="none"/>
          <w:tab w:pos="5785" w:val="left" w:leader="none"/>
          <w:tab w:pos="7300" w:val="left" w:leader="none"/>
          <w:tab w:pos="8699" w:val="left" w:leader="none"/>
        </w:tabs>
        <w:spacing w:before="10"/>
        <w:ind w:left="160" w:right="0" w:firstLine="0"/>
        <w:jc w:val="center"/>
        <w:rPr>
          <w:sz w:val="20"/>
        </w:rPr>
      </w:pPr>
      <w:r>
        <w:rPr>
          <w:color w:val="231F20"/>
          <w:sz w:val="20"/>
        </w:rPr>
        <w:t>Note 10)</w:t>
        <w:tab/>
        <w:t>(49)</w:t>
        <w:tab/>
        <w:t>—</w:t>
        <w:tab/>
        <w:t>(49)</w:t>
        <w:tab/>
        <w:t>—</w:t>
      </w:r>
    </w:p>
    <w:p>
      <w:pPr>
        <w:tabs>
          <w:tab w:pos="2887" w:val="left" w:leader="none"/>
          <w:tab w:pos="4012" w:val="left" w:leader="none"/>
          <w:tab w:pos="6005" w:val="left" w:leader="none"/>
          <w:tab w:pos="6425" w:val="left" w:leader="none"/>
          <w:tab w:pos="7420" w:val="left" w:leader="none"/>
          <w:tab w:pos="8635" w:val="left" w:leader="none"/>
        </w:tabs>
        <w:spacing w:before="90"/>
        <w:ind w:left="180" w:right="0" w:firstLine="0"/>
        <w:jc w:val="left"/>
        <w:rPr>
          <w:sz w:val="20"/>
        </w:rPr>
      </w:pPr>
      <w:r>
        <w:rPr/>
        <w:pict>
          <v:group style="position:absolute;margin-left:208.149994pt;margin-top:17.335938pt;width:86.35pt;height:2.5pt;mso-position-horizontal-relative:page;mso-position-vertical-relative:paragraph;z-index:6808;mso-wrap-distance-left:0;mso-wrap-distance-right:0" coordorigin="4163,347" coordsize="1727,50">
            <v:line style="position:absolute" from="4168,352" to="5885,352" stroked="true" strokeweight=".5pt" strokecolor="#231f20">
              <v:stroke dashstyle="solid"/>
            </v:line>
            <v:line style="position:absolute" from="4168,392" to="5885,392" stroked="true" strokeweight=".5pt" strokecolor="#231f20">
              <v:stroke dashstyle="solid"/>
            </v:line>
            <w10:wrap type="topAndBottom"/>
          </v:group>
        </w:pict>
      </w:r>
      <w:r>
        <w:rPr/>
        <w:pict>
          <v:group style="position:absolute;margin-left:300pt;margin-top:17.335938pt;width:79.55pt;height:2.5pt;mso-position-horizontal-relative:page;mso-position-vertical-relative:paragraph;z-index:6832;mso-wrap-distance-left:0;mso-wrap-distance-right:0" coordorigin="6000,347" coordsize="1591,50">
            <v:line style="position:absolute" from="6005,352" to="7586,352" stroked="true" strokeweight=".5pt" strokecolor="#231f20">
              <v:stroke dashstyle="solid"/>
            </v:line>
            <v:line style="position:absolute" from="6005,392" to="7586,392" stroked="true" strokeweight=".5pt" strokecolor="#231f20">
              <v:stroke dashstyle="solid"/>
            </v:line>
            <w10:wrap type="topAndBottom"/>
          </v:group>
        </w:pict>
      </w:r>
      <w:r>
        <w:rPr/>
        <w:pict>
          <v:group style="position:absolute;margin-left:385.049988pt;margin-top:17.335938pt;width:71.95pt;height:2.5pt;mso-position-horizontal-relative:page;mso-position-vertical-relative:paragraph;z-index:6856;mso-wrap-distance-left:0;mso-wrap-distance-right:0" coordorigin="7701,347" coordsize="1439,50">
            <v:line style="position:absolute" from="7706,352" to="9135,352" stroked="true" strokeweight=".5pt" strokecolor="#231f20">
              <v:stroke dashstyle="solid"/>
            </v:line>
            <v:line style="position:absolute" from="7706,392" to="9135,392" stroked="true" strokeweight=".5pt" strokecolor="#231f20">
              <v:stroke dashstyle="solid"/>
            </v:line>
            <w10:wrap type="topAndBottom"/>
          </v:group>
        </w:pict>
      </w:r>
      <w:r>
        <w:rPr/>
        <w:pict>
          <v:group style="position:absolute;margin-left:462.5pt;margin-top:17.335938pt;width:62.75pt;height:2.5pt;mso-position-horizontal-relative:page;mso-position-vertical-relative:paragraph;z-index:6880;mso-wrap-distance-left:0;mso-wrap-distance-right:0" coordorigin="9250,347" coordsize="1255,50">
            <v:line style="position:absolute" from="9255,352" to="10500,352" stroked="true" strokeweight=".5pt" strokecolor="#231f20">
              <v:stroke dashstyle="solid"/>
            </v:line>
            <v:line style="position:absolute" from="9255,392" to="10500,392" stroked="true" strokeweight=".5pt" strokecolor="#231f20">
              <v:stroke dashstyle="solid"/>
            </v:line>
            <w10:wrap type="topAndBottom"/>
          </v:group>
        </w:pict>
      </w:r>
      <w:r>
        <w:rPr>
          <w:b/>
          <w:color w:val="231F20"/>
          <w:sz w:val="20"/>
        </w:rPr>
        <w:t>Total liabilities</w:t>
        <w:tab/>
      </w:r>
      <w:r>
        <w:rPr>
          <w:color w:val="231F20"/>
          <w:sz w:val="20"/>
        </w:rPr>
        <w:t>$</w:t>
        <w:tab/>
        <w:t>(3,465) </w:t>
      </w:r>
      <w:r>
        <w:rPr>
          <w:color w:val="231F20"/>
          <w:spacing w:val="28"/>
          <w:sz w:val="20"/>
        </w:rPr>
        <w:t> </w:t>
      </w:r>
      <w:r>
        <w:rPr>
          <w:color w:val="231F20"/>
          <w:sz w:val="20"/>
        </w:rPr>
        <w:t>$</w:t>
        <w:tab/>
        <w:t>—</w:t>
        <w:tab/>
        <w:t>$</w:t>
        <w:tab/>
        <w:t>(823) </w:t>
      </w:r>
      <w:r>
        <w:rPr>
          <w:color w:val="231F20"/>
          <w:spacing w:val="20"/>
          <w:sz w:val="20"/>
        </w:rPr>
        <w:t> </w:t>
      </w:r>
      <w:r>
        <w:rPr>
          <w:color w:val="231F20"/>
          <w:sz w:val="20"/>
        </w:rPr>
        <w:t>$</w:t>
        <w:tab/>
        <w:t>(2,642)</w:t>
      </w:r>
    </w:p>
    <w:p>
      <w:pPr>
        <w:pStyle w:val="BodyText"/>
        <w:spacing w:before="11"/>
        <w:rPr>
          <w:sz w:val="10"/>
        </w:rPr>
      </w:pPr>
    </w:p>
    <w:p>
      <w:pPr>
        <w:pStyle w:val="ListParagraph"/>
        <w:numPr>
          <w:ilvl w:val="0"/>
          <w:numId w:val="18"/>
        </w:numPr>
        <w:tabs>
          <w:tab w:pos="373" w:val="left" w:leader="none"/>
        </w:tabs>
        <w:spacing w:line="240" w:lineRule="auto" w:before="93" w:after="0"/>
        <w:ind w:left="37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8"/>
        </w:numPr>
        <w:tabs>
          <w:tab w:pos="384" w:val="left" w:leader="none"/>
        </w:tabs>
        <w:spacing w:line="240" w:lineRule="auto" w:before="106" w:after="0"/>
        <w:ind w:left="384" w:right="0" w:hanging="284"/>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18"/>
        </w:numPr>
        <w:tabs>
          <w:tab w:pos="373" w:val="left" w:leader="none"/>
        </w:tabs>
        <w:spacing w:line="240" w:lineRule="auto" w:before="106" w:after="0"/>
        <w:ind w:left="37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80" w:right="1260"/>
        </w:sectPr>
      </w:pPr>
    </w:p>
    <w:p>
      <w:pPr>
        <w:spacing w:before="73"/>
        <w:ind w:left="5006" w:right="0" w:firstLine="0"/>
        <w:jc w:val="left"/>
        <w:rPr>
          <w:b/>
          <w:sz w:val="20"/>
        </w:rPr>
      </w:pPr>
      <w:r>
        <w:rPr/>
        <w:pict>
          <v:line style="position:absolute;mso-position-horizontal-relative:page;mso-position-vertical-relative:paragraph;z-index:7144" from="313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pStyle w:val="BodyText"/>
        <w:spacing w:before="4"/>
        <w:rPr>
          <w:b/>
          <w:sz w:val="26"/>
        </w:rPr>
      </w:pPr>
    </w:p>
    <w:p>
      <w:pPr>
        <w:tabs>
          <w:tab w:pos="3291" w:val="left" w:leader="none"/>
        </w:tabs>
        <w:spacing w:before="1"/>
        <w:ind w:left="200" w:right="0" w:firstLine="0"/>
        <w:jc w:val="left"/>
        <w:rPr>
          <w:b/>
          <w:sz w:val="20"/>
        </w:rPr>
      </w:pPr>
      <w:r>
        <w:rPr>
          <w:b/>
          <w:color w:val="231F20"/>
          <w:sz w:val="20"/>
        </w:rPr>
        <w:t>Description</w:t>
        <w:tab/>
        <w:t>December 31, 2014</w:t>
      </w:r>
    </w:p>
    <w:p>
      <w:pPr>
        <w:spacing w:line="249" w:lineRule="auto" w:before="89"/>
        <w:ind w:left="44" w:right="81" w:firstLine="0"/>
        <w:jc w:val="center"/>
        <w:rPr>
          <w:b/>
          <w:sz w:val="20"/>
        </w:rPr>
      </w:pPr>
      <w:r>
        <w:rPr/>
        <w:br w:type="column"/>
      </w:r>
      <w:r>
        <w:rPr>
          <w:b/>
          <w:color w:val="231F20"/>
          <w:sz w:val="20"/>
        </w:rPr>
        <w:t>Quoted prices in active markets</w:t>
      </w:r>
    </w:p>
    <w:p>
      <w:pPr>
        <w:spacing w:line="249" w:lineRule="auto" w:before="0"/>
        <w:ind w:left="-40" w:right="0" w:firstLine="0"/>
        <w:jc w:val="center"/>
        <w:rPr>
          <w:b/>
          <w:sz w:val="20"/>
        </w:rPr>
      </w:pPr>
      <w:r>
        <w:rPr>
          <w:b/>
          <w:color w:val="231F20"/>
          <w:sz w:val="20"/>
        </w:rPr>
        <w:t>for identical</w:t>
      </w:r>
      <w:r>
        <w:rPr>
          <w:b/>
          <w:color w:val="231F20"/>
          <w:spacing w:val="1"/>
          <w:sz w:val="20"/>
        </w:rPr>
        <w:t> </w:t>
      </w:r>
      <w:r>
        <w:rPr>
          <w:b/>
          <w:color w:val="231F20"/>
          <w:sz w:val="20"/>
        </w:rPr>
        <w:t>assets</w:t>
      </w:r>
      <w:r>
        <w:rPr>
          <w:b/>
          <w:color w:val="231F20"/>
          <w:w w:val="99"/>
          <w:sz w:val="20"/>
        </w:rPr>
        <w:t> </w:t>
      </w:r>
      <w:r>
        <w:rPr>
          <w:b/>
          <w:color w:val="231F20"/>
          <w:sz w:val="20"/>
        </w:rPr>
        <w:t>(Level 1)</w:t>
      </w:r>
    </w:p>
    <w:p>
      <w:pPr>
        <w:spacing w:line="249" w:lineRule="auto" w:before="89"/>
        <w:ind w:left="-34" w:right="-19" w:firstLine="252"/>
        <w:jc w:val="left"/>
        <w:rPr>
          <w:b/>
          <w:sz w:val="20"/>
        </w:rPr>
      </w:pPr>
      <w:r>
        <w:rPr/>
        <w:br w:type="column"/>
      </w:r>
      <w:r>
        <w:rPr>
          <w:b/>
          <w:color w:val="231F20"/>
          <w:sz w:val="20"/>
        </w:rPr>
        <w:t>Significant other observable</w:t>
      </w:r>
    </w:p>
    <w:p>
      <w:pPr>
        <w:spacing w:line="249" w:lineRule="auto" w:before="0"/>
        <w:ind w:left="304" w:right="321" w:firstLine="109"/>
        <w:jc w:val="left"/>
        <w:rPr>
          <w:b/>
          <w:sz w:val="20"/>
        </w:rPr>
      </w:pPr>
      <w:r>
        <w:rPr>
          <w:b/>
          <w:color w:val="231F20"/>
          <w:sz w:val="20"/>
        </w:rPr>
        <w:t>inputs (Level 2)</w:t>
      </w:r>
    </w:p>
    <w:p>
      <w:pPr>
        <w:spacing w:line="249" w:lineRule="auto" w:before="89"/>
        <w:ind w:left="92" w:right="156" w:hanging="1"/>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before="0"/>
        <w:ind w:left="270" w:right="333" w:firstLine="0"/>
        <w:jc w:val="center"/>
        <w:rPr>
          <w:b/>
          <w:sz w:val="20"/>
        </w:rPr>
      </w:pPr>
      <w:r>
        <w:rPr>
          <w:b/>
          <w:color w:val="231F20"/>
          <w:sz w:val="20"/>
        </w:rPr>
        <w:t>(Level 3)</w:t>
      </w:r>
    </w:p>
    <w:p>
      <w:pPr>
        <w:spacing w:after="0"/>
        <w:jc w:val="center"/>
        <w:rPr>
          <w:sz w:val="20"/>
        </w:rPr>
        <w:sectPr>
          <w:type w:val="continuous"/>
          <w:pgSz w:w="11880" w:h="15480"/>
          <w:pgMar w:top="1260" w:bottom="280" w:left="1260" w:right="1260"/>
          <w:cols w:num="4" w:equalWidth="0">
            <w:col w:w="4910" w:space="40"/>
            <w:col w:w="1541" w:space="40"/>
            <w:col w:w="1395" w:space="40"/>
            <w:col w:w="1394"/>
          </w:cols>
        </w:sectPr>
      </w:pPr>
    </w:p>
    <w:p>
      <w:pPr>
        <w:tabs>
          <w:tab w:pos="4990" w:val="left" w:leader="none"/>
        </w:tabs>
        <w:spacing w:line="20" w:lineRule="exact"/>
        <w:ind w:left="110" w:right="0" w:firstLine="0"/>
        <w:rPr>
          <w:sz w:val="2"/>
        </w:rPr>
      </w:pPr>
      <w:r>
        <w:rPr>
          <w:sz w:val="2"/>
        </w:rPr>
        <w:pict>
          <v:group style="width:160pt;height:1pt;mso-position-horizontal-relative:char;mso-position-vertical-relative:line" coordorigin="0,0" coordsize="3200,20">
            <v:line style="position:absolute" from="10,10" to="3190,10" stroked="true" strokeweight="1pt" strokecolor="#231f20">
              <v:stroke dashstyle="solid"/>
            </v:line>
          </v:group>
        </w:pict>
      </w:r>
      <w:r>
        <w:rPr>
          <w:sz w:val="2"/>
        </w:rPr>
      </w:r>
      <w:r>
        <w:rPr>
          <w:spacing w:val="165"/>
          <w:sz w:val="2"/>
        </w:rPr>
        <w:t> </w:t>
      </w:r>
      <w:r>
        <w:rPr>
          <w:spacing w:val="165"/>
          <w:sz w:val="2"/>
        </w:rPr>
        <w:pict>
          <v:group style="width:61pt;height:1pt;mso-position-horizontal-relative:char;mso-position-vertical-relative:line" coordorigin="0,0" coordsize="1220,20">
            <v:line style="position:absolute" from="10,10" to="1210,10" stroked="true" strokeweight="1pt" strokecolor="#231f20">
              <v:stroke dashstyle="solid"/>
            </v:line>
          </v:group>
        </w:pict>
      </w:r>
      <w:r>
        <w:rPr>
          <w:spacing w:val="165"/>
          <w:sz w:val="2"/>
        </w:rPr>
      </w:r>
      <w:r>
        <w:rPr>
          <w:spacing w:val="165"/>
          <w:sz w:val="2"/>
        </w:rPr>
        <w:tab/>
      </w:r>
      <w:r>
        <w:rPr>
          <w:spacing w:val="165"/>
          <w:sz w:val="2"/>
        </w:rPr>
        <w:pict>
          <v:group style="width:71pt;height:1pt;mso-position-horizontal-relative:char;mso-position-vertical-relative:line" coordorigin="0,0" coordsize="1420,20">
            <v:line style="position:absolute" from="10,10" to="1410,10" stroked="true" strokeweight="1pt" strokecolor="#231f20">
              <v:stroke dashstyle="solid"/>
            </v:line>
          </v:group>
        </w:pict>
      </w:r>
      <w:r>
        <w:rPr>
          <w:spacing w:val="165"/>
          <w:sz w:val="2"/>
        </w:rPr>
      </w:r>
      <w:r>
        <w:rPr>
          <w:spacing w:val="170"/>
          <w:sz w:val="2"/>
        </w:rPr>
        <w:t> </w:t>
      </w:r>
      <w:r>
        <w:rPr>
          <w:spacing w:val="170"/>
          <w:sz w:val="2"/>
        </w:rPr>
        <w:pict>
          <v:group style="width:62pt;height:1pt;mso-position-horizontal-relative:char;mso-position-vertical-relative:line" coordorigin="0,0" coordsize="1240,20">
            <v:line style="position:absolute" from="10,10" to="1230,10" stroked="true" strokeweight="1pt" strokecolor="#231f20">
              <v:stroke dashstyle="solid"/>
            </v:line>
          </v:group>
        </w:pict>
      </w:r>
      <w:r>
        <w:rPr>
          <w:spacing w:val="170"/>
          <w:sz w:val="2"/>
        </w:rPr>
      </w:r>
      <w:r>
        <w:rPr>
          <w:spacing w:val="170"/>
          <w:sz w:val="2"/>
        </w:rPr>
        <w:t> </w:t>
      </w:r>
      <w:r>
        <w:rPr>
          <w:spacing w:val="170"/>
          <w:sz w:val="2"/>
        </w:rPr>
        <w:pict>
          <v:group style="width:62pt;height:1pt;mso-position-horizontal-relative:char;mso-position-vertical-relative:line" coordorigin="0,0" coordsize="1240,20">
            <v:line style="position:absolute" from="10,10" to="1230,10" stroked="true" strokeweight="1pt" strokecolor="#231f20">
              <v:stroke dashstyle="solid"/>
            </v:line>
          </v:group>
        </w:pict>
      </w:r>
      <w:r>
        <w:rPr>
          <w:spacing w:val="170"/>
          <w:sz w:val="2"/>
        </w:rPr>
      </w:r>
    </w:p>
    <w:p>
      <w:pPr>
        <w:tabs>
          <w:tab w:pos="6203" w:val="left" w:leader="none"/>
        </w:tabs>
        <w:spacing w:before="60"/>
        <w:ind w:left="200" w:right="0" w:firstLine="0"/>
        <w:jc w:val="left"/>
        <w:rPr>
          <w:sz w:val="20"/>
        </w:rPr>
      </w:pPr>
      <w:r>
        <w:rPr>
          <w:b/>
          <w:color w:val="231F20"/>
          <w:sz w:val="20"/>
        </w:rPr>
        <w:t>Assets</w:t>
        <w:tab/>
      </w:r>
      <w:r>
        <w:rPr>
          <w:color w:val="231F20"/>
          <w:sz w:val="20"/>
        </w:rPr>
        <w:t>(in millions)</w:t>
      </w:r>
    </w:p>
    <w:p>
      <w:pPr>
        <w:spacing w:before="69" w:after="16"/>
        <w:ind w:left="200" w:right="0" w:firstLine="0"/>
        <w:jc w:val="left"/>
        <w:rPr>
          <w:sz w:val="20"/>
        </w:rPr>
      </w:pPr>
      <w:r>
        <w:rPr>
          <w:color w:val="231F20"/>
          <w:sz w:val="20"/>
        </w:rPr>
        <w:t>Cash equivalents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80"/>
        <w:gridCol w:w="1266"/>
        <w:gridCol w:w="234"/>
        <w:gridCol w:w="1450"/>
        <w:gridCol w:w="1436"/>
        <w:gridCol w:w="134"/>
        <w:gridCol w:w="1220"/>
      </w:tblGrid>
      <w:tr>
        <w:trPr>
          <w:trHeight w:val="300" w:hRule="exact"/>
        </w:trPr>
        <w:tc>
          <w:tcPr>
            <w:tcW w:w="3380" w:type="dxa"/>
            <w:shd w:val="clear" w:color="auto" w:fill="D1D3D4"/>
          </w:tcPr>
          <w:p>
            <w:pPr>
              <w:pStyle w:val="TableParagraph"/>
              <w:ind w:left="280"/>
              <w:rPr>
                <w:sz w:val="20"/>
              </w:rPr>
            </w:pPr>
            <w:r>
              <w:rPr>
                <w:color w:val="231F20"/>
                <w:sz w:val="20"/>
              </w:rPr>
              <w:t>Cash equivalents (a)</w:t>
            </w:r>
          </w:p>
        </w:tc>
        <w:tc>
          <w:tcPr>
            <w:tcW w:w="1266" w:type="dxa"/>
            <w:shd w:val="clear" w:color="auto" w:fill="D1D3D4"/>
          </w:tcPr>
          <w:p>
            <w:pPr>
              <w:pStyle w:val="TableParagraph"/>
              <w:tabs>
                <w:tab w:pos="649" w:val="left" w:leader="none"/>
              </w:tabs>
              <w:rPr>
                <w:sz w:val="20"/>
              </w:rPr>
            </w:pPr>
            <w:r>
              <w:rPr>
                <w:color w:val="231F20"/>
                <w:sz w:val="20"/>
              </w:rPr>
              <w:t>$</w:t>
              <w:tab/>
              <w:t>1,110</w:t>
            </w:r>
          </w:p>
        </w:tc>
        <w:tc>
          <w:tcPr>
            <w:tcW w:w="1684" w:type="dxa"/>
            <w:gridSpan w:val="2"/>
            <w:shd w:val="clear" w:color="auto" w:fill="D1D3D4"/>
          </w:tcPr>
          <w:p>
            <w:pPr>
              <w:pStyle w:val="TableParagraph"/>
              <w:tabs>
                <w:tab w:pos="1083" w:val="left" w:leader="none"/>
              </w:tabs>
              <w:ind w:left="233"/>
              <w:rPr>
                <w:sz w:val="20"/>
              </w:rPr>
            </w:pPr>
            <w:r>
              <w:rPr>
                <w:color w:val="231F20"/>
                <w:sz w:val="20"/>
              </w:rPr>
              <w:t>$</w:t>
              <w:tab/>
              <w:t>1,110</w:t>
            </w:r>
          </w:p>
        </w:tc>
        <w:tc>
          <w:tcPr>
            <w:tcW w:w="1436" w:type="dxa"/>
            <w:shd w:val="clear" w:color="auto" w:fill="D1D3D4"/>
          </w:tcPr>
          <w:p>
            <w:pPr>
              <w:pStyle w:val="TableParagraph"/>
              <w:tabs>
                <w:tab w:pos="919" w:val="left" w:leader="none"/>
              </w:tabs>
              <w:ind w:right="164"/>
              <w:jc w:val="right"/>
              <w:rPr>
                <w:sz w:val="20"/>
              </w:rPr>
            </w:pPr>
            <w:r>
              <w:rPr>
                <w:color w:val="231F20"/>
                <w:sz w:val="20"/>
              </w:rPr>
              <w:t>$</w:t>
              <w:tab/>
              <w:t>—</w:t>
            </w:r>
          </w:p>
        </w:tc>
        <w:tc>
          <w:tcPr>
            <w:tcW w:w="1354" w:type="dxa"/>
            <w:gridSpan w:val="2"/>
            <w:shd w:val="clear" w:color="auto" w:fill="D1D3D4"/>
          </w:tcPr>
          <w:p>
            <w:pPr>
              <w:pStyle w:val="TableParagraph"/>
              <w:tabs>
                <w:tab w:pos="1053" w:val="left" w:leader="none"/>
              </w:tabs>
              <w:ind w:left="133"/>
              <w:rPr>
                <w:sz w:val="20"/>
              </w:rPr>
            </w:pPr>
            <w:r>
              <w:rPr>
                <w:color w:val="231F20"/>
                <w:sz w:val="20"/>
              </w:rPr>
              <w:t>$</w:t>
              <w:tab/>
              <w:t>—</w:t>
            </w:r>
          </w:p>
        </w:tc>
      </w:tr>
      <w:tr>
        <w:trPr>
          <w:trHeight w:val="300" w:hRule="exact"/>
        </w:trPr>
        <w:tc>
          <w:tcPr>
            <w:tcW w:w="3380" w:type="dxa"/>
          </w:tcPr>
          <w:p>
            <w:pPr>
              <w:pStyle w:val="TableParagraph"/>
              <w:ind w:left="280"/>
              <w:rPr>
                <w:sz w:val="20"/>
              </w:rPr>
            </w:pPr>
            <w:r>
              <w:rPr>
                <w:color w:val="231F20"/>
                <w:sz w:val="20"/>
              </w:rPr>
              <w:t>Commercial paper</w:t>
            </w:r>
          </w:p>
        </w:tc>
        <w:tc>
          <w:tcPr>
            <w:tcW w:w="1266" w:type="dxa"/>
          </w:tcPr>
          <w:p>
            <w:pPr>
              <w:pStyle w:val="TableParagraph"/>
              <w:ind w:right="164"/>
              <w:jc w:val="right"/>
              <w:rPr>
                <w:sz w:val="20"/>
              </w:rPr>
            </w:pPr>
            <w:r>
              <w:rPr>
                <w:color w:val="231F20"/>
                <w:sz w:val="20"/>
              </w:rPr>
              <w:t>70</w:t>
            </w:r>
          </w:p>
        </w:tc>
        <w:tc>
          <w:tcPr>
            <w:tcW w:w="1684" w:type="dxa"/>
            <w:gridSpan w:val="2"/>
          </w:tcPr>
          <w:p>
            <w:pPr>
              <w:pStyle w:val="TableParagraph"/>
              <w:ind w:right="148"/>
              <w:jc w:val="right"/>
              <w:rPr>
                <w:sz w:val="20"/>
              </w:rPr>
            </w:pPr>
            <w:r>
              <w:rPr>
                <w:color w:val="231F20"/>
                <w:sz w:val="20"/>
              </w:rPr>
              <w:t>—</w:t>
            </w:r>
          </w:p>
        </w:tc>
        <w:tc>
          <w:tcPr>
            <w:tcW w:w="1436" w:type="dxa"/>
          </w:tcPr>
          <w:p>
            <w:pPr>
              <w:pStyle w:val="TableParagraph"/>
              <w:ind w:right="164"/>
              <w:jc w:val="right"/>
              <w:rPr>
                <w:sz w:val="20"/>
              </w:rPr>
            </w:pPr>
            <w:r>
              <w:rPr>
                <w:color w:val="231F20"/>
                <w:sz w:val="20"/>
              </w:rPr>
              <w:t>70</w:t>
            </w:r>
          </w:p>
        </w:tc>
        <w:tc>
          <w:tcPr>
            <w:tcW w:w="1354" w:type="dxa"/>
            <w:gridSpan w:val="2"/>
          </w:tcPr>
          <w:p>
            <w:pPr>
              <w:pStyle w:val="TableParagraph"/>
              <w:ind w:right="97"/>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Certificates of deposit</w:t>
            </w:r>
          </w:p>
        </w:tc>
        <w:tc>
          <w:tcPr>
            <w:tcW w:w="1266" w:type="dxa"/>
            <w:shd w:val="clear" w:color="auto" w:fill="D1D3D4"/>
          </w:tcPr>
          <w:p>
            <w:pPr>
              <w:pStyle w:val="TableParagraph"/>
              <w:ind w:right="164"/>
              <w:jc w:val="right"/>
              <w:rPr>
                <w:sz w:val="20"/>
              </w:rPr>
            </w:pPr>
            <w:r>
              <w:rPr>
                <w:color w:val="231F20"/>
                <w:sz w:val="20"/>
              </w:rPr>
              <w:t>4</w:t>
            </w:r>
          </w:p>
        </w:tc>
        <w:tc>
          <w:tcPr>
            <w:tcW w:w="1684" w:type="dxa"/>
            <w:gridSpan w:val="2"/>
            <w:shd w:val="clear" w:color="auto" w:fill="D1D3D4"/>
          </w:tcPr>
          <w:p>
            <w:pPr>
              <w:pStyle w:val="TableParagraph"/>
              <w:ind w:right="148"/>
              <w:jc w:val="right"/>
              <w:rPr>
                <w:sz w:val="20"/>
              </w:rPr>
            </w:pPr>
            <w:r>
              <w:rPr>
                <w:color w:val="231F20"/>
                <w:sz w:val="20"/>
              </w:rPr>
              <w:t>—</w:t>
            </w:r>
          </w:p>
        </w:tc>
        <w:tc>
          <w:tcPr>
            <w:tcW w:w="1436" w:type="dxa"/>
            <w:shd w:val="clear" w:color="auto" w:fill="D1D3D4"/>
          </w:tcPr>
          <w:p>
            <w:pPr>
              <w:pStyle w:val="TableParagraph"/>
              <w:ind w:right="164"/>
              <w:jc w:val="right"/>
              <w:rPr>
                <w:sz w:val="20"/>
              </w:rPr>
            </w:pPr>
            <w:r>
              <w:rPr>
                <w:color w:val="231F20"/>
                <w:sz w:val="20"/>
              </w:rPr>
              <w:t>4</w:t>
            </w:r>
          </w:p>
        </w:tc>
        <w:tc>
          <w:tcPr>
            <w:tcW w:w="1354" w:type="dxa"/>
            <w:gridSpan w:val="2"/>
            <w:shd w:val="clear" w:color="auto" w:fill="D1D3D4"/>
          </w:tcPr>
          <w:p>
            <w:pPr>
              <w:pStyle w:val="TableParagraph"/>
              <w:ind w:right="97"/>
              <w:jc w:val="right"/>
              <w:rPr>
                <w:sz w:val="20"/>
              </w:rPr>
            </w:pPr>
            <w:r>
              <w:rPr>
                <w:color w:val="231F20"/>
                <w:sz w:val="20"/>
              </w:rPr>
              <w:t>—</w:t>
            </w:r>
          </w:p>
        </w:tc>
      </w:tr>
      <w:tr>
        <w:trPr>
          <w:trHeight w:val="284" w:hRule="exact"/>
        </w:trPr>
        <w:tc>
          <w:tcPr>
            <w:tcW w:w="3380" w:type="dxa"/>
          </w:tcPr>
          <w:p>
            <w:pPr>
              <w:pStyle w:val="TableParagraph"/>
              <w:ind w:left="280"/>
              <w:rPr>
                <w:sz w:val="20"/>
              </w:rPr>
            </w:pPr>
            <w:r>
              <w:rPr>
                <w:color w:val="231F20"/>
                <w:sz w:val="20"/>
              </w:rPr>
              <w:t>Eurodollar Time Deposits</w:t>
            </w:r>
          </w:p>
        </w:tc>
        <w:tc>
          <w:tcPr>
            <w:tcW w:w="1266" w:type="dxa"/>
          </w:tcPr>
          <w:p>
            <w:pPr>
              <w:pStyle w:val="TableParagraph"/>
              <w:ind w:right="164"/>
              <w:jc w:val="right"/>
              <w:rPr>
                <w:sz w:val="20"/>
              </w:rPr>
            </w:pPr>
            <w:r>
              <w:rPr>
                <w:color w:val="231F20"/>
                <w:sz w:val="20"/>
              </w:rPr>
              <w:t>98</w:t>
            </w:r>
          </w:p>
        </w:tc>
        <w:tc>
          <w:tcPr>
            <w:tcW w:w="1684" w:type="dxa"/>
            <w:gridSpan w:val="2"/>
          </w:tcPr>
          <w:p>
            <w:pPr>
              <w:pStyle w:val="TableParagraph"/>
              <w:ind w:right="149"/>
              <w:jc w:val="right"/>
              <w:rPr>
                <w:sz w:val="20"/>
              </w:rPr>
            </w:pPr>
            <w:r>
              <w:rPr>
                <w:color w:val="231F20"/>
                <w:sz w:val="20"/>
              </w:rPr>
              <w:t>—</w:t>
            </w:r>
          </w:p>
        </w:tc>
        <w:tc>
          <w:tcPr>
            <w:tcW w:w="1436" w:type="dxa"/>
          </w:tcPr>
          <w:p>
            <w:pPr>
              <w:pStyle w:val="TableParagraph"/>
              <w:ind w:right="164"/>
              <w:jc w:val="right"/>
              <w:rPr>
                <w:sz w:val="20"/>
              </w:rPr>
            </w:pPr>
            <w:r>
              <w:rPr>
                <w:color w:val="231F20"/>
                <w:sz w:val="20"/>
              </w:rPr>
              <w:t>98</w:t>
            </w:r>
          </w:p>
        </w:tc>
        <w:tc>
          <w:tcPr>
            <w:tcW w:w="1354" w:type="dxa"/>
            <w:gridSpan w:val="2"/>
          </w:tcPr>
          <w:p>
            <w:pPr>
              <w:pStyle w:val="TableParagraph"/>
              <w:ind w:right="97"/>
              <w:jc w:val="right"/>
              <w:rPr>
                <w:sz w:val="20"/>
              </w:rPr>
            </w:pPr>
            <w:r>
              <w:rPr>
                <w:color w:val="231F20"/>
                <w:sz w:val="20"/>
              </w:rPr>
              <w:t>—</w:t>
            </w:r>
          </w:p>
        </w:tc>
      </w:tr>
      <w:tr>
        <w:trPr>
          <w:trHeight w:val="316" w:hRule="exact"/>
        </w:trPr>
        <w:tc>
          <w:tcPr>
            <w:tcW w:w="9120" w:type="dxa"/>
            <w:gridSpan w:val="7"/>
            <w:shd w:val="clear" w:color="auto" w:fill="D1D3D4"/>
          </w:tcPr>
          <w:p>
            <w:pPr>
              <w:pStyle w:val="TableParagraph"/>
              <w:ind w:left="80"/>
              <w:rPr>
                <w:sz w:val="20"/>
              </w:rPr>
            </w:pPr>
            <w:r>
              <w:rPr>
                <w:color w:val="231F20"/>
                <w:sz w:val="20"/>
              </w:rPr>
              <w:t>Short-term investments:</w:t>
            </w:r>
          </w:p>
        </w:tc>
      </w:tr>
      <w:tr>
        <w:trPr>
          <w:trHeight w:val="300" w:hRule="exact"/>
        </w:trPr>
        <w:tc>
          <w:tcPr>
            <w:tcW w:w="3380" w:type="dxa"/>
          </w:tcPr>
          <w:p>
            <w:pPr>
              <w:pStyle w:val="TableParagraph"/>
              <w:ind w:left="280"/>
              <w:rPr>
                <w:sz w:val="20"/>
              </w:rPr>
            </w:pPr>
            <w:r>
              <w:rPr>
                <w:color w:val="231F20"/>
                <w:sz w:val="20"/>
              </w:rPr>
              <w:t>Treasury bills</w:t>
            </w:r>
          </w:p>
        </w:tc>
        <w:tc>
          <w:tcPr>
            <w:tcW w:w="1266" w:type="dxa"/>
          </w:tcPr>
          <w:p>
            <w:pPr>
              <w:pStyle w:val="TableParagraph"/>
              <w:ind w:left="650"/>
              <w:rPr>
                <w:sz w:val="20"/>
              </w:rPr>
            </w:pPr>
            <w:r>
              <w:rPr>
                <w:color w:val="231F20"/>
                <w:sz w:val="20"/>
              </w:rPr>
              <w:t>1,450</w:t>
            </w:r>
          </w:p>
        </w:tc>
        <w:tc>
          <w:tcPr>
            <w:tcW w:w="234" w:type="dxa"/>
          </w:tcPr>
          <w:p>
            <w:pPr/>
          </w:p>
        </w:tc>
        <w:tc>
          <w:tcPr>
            <w:tcW w:w="2886" w:type="dxa"/>
            <w:gridSpan w:val="2"/>
          </w:tcPr>
          <w:p>
            <w:pPr>
              <w:pStyle w:val="TableParagraph"/>
              <w:tabs>
                <w:tab w:pos="2519" w:val="left" w:leader="none"/>
              </w:tabs>
              <w:ind w:left="850"/>
              <w:rPr>
                <w:sz w:val="20"/>
              </w:rPr>
            </w:pPr>
            <w:r>
              <w:rPr>
                <w:color w:val="231F20"/>
                <w:sz w:val="20"/>
              </w:rPr>
              <w:t>1,450</w:t>
              <w:tab/>
              <w:t>—</w:t>
            </w:r>
          </w:p>
        </w:tc>
        <w:tc>
          <w:tcPr>
            <w:tcW w:w="134" w:type="dxa"/>
          </w:tcPr>
          <w:p>
            <w:pPr/>
          </w:p>
        </w:tc>
        <w:tc>
          <w:tcPr>
            <w:tcW w:w="1220" w:type="dxa"/>
          </w:tcPr>
          <w:p>
            <w:pPr>
              <w:pStyle w:val="TableParagraph"/>
              <w:ind w:right="99"/>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Certificates of deposit</w:t>
            </w:r>
          </w:p>
        </w:tc>
        <w:tc>
          <w:tcPr>
            <w:tcW w:w="1266" w:type="dxa"/>
            <w:shd w:val="clear" w:color="auto" w:fill="D1D3D4"/>
          </w:tcPr>
          <w:p>
            <w:pPr>
              <w:pStyle w:val="TableParagraph"/>
              <w:ind w:left="800"/>
              <w:rPr>
                <w:sz w:val="20"/>
              </w:rPr>
            </w:pPr>
            <w:r>
              <w:rPr>
                <w:color w:val="231F20"/>
                <w:sz w:val="20"/>
              </w:rPr>
              <w:t>256</w:t>
            </w:r>
          </w:p>
        </w:tc>
        <w:tc>
          <w:tcPr>
            <w:tcW w:w="234" w:type="dxa"/>
            <w:shd w:val="clear" w:color="auto" w:fill="D1D3D4"/>
          </w:tcPr>
          <w:p>
            <w:pPr/>
          </w:p>
        </w:tc>
        <w:tc>
          <w:tcPr>
            <w:tcW w:w="2886" w:type="dxa"/>
            <w:gridSpan w:val="2"/>
            <w:shd w:val="clear" w:color="auto" w:fill="D1D3D4"/>
          </w:tcPr>
          <w:p>
            <w:pPr>
              <w:pStyle w:val="TableParagraph"/>
              <w:tabs>
                <w:tab w:pos="2419" w:val="left" w:leader="none"/>
              </w:tabs>
              <w:ind w:left="1100"/>
              <w:rPr>
                <w:sz w:val="20"/>
              </w:rPr>
            </w:pPr>
            <w:r>
              <w:rPr>
                <w:color w:val="231F20"/>
                <w:sz w:val="20"/>
              </w:rPr>
              <w:t>—</w:t>
              <w:tab/>
              <w:t>256</w:t>
            </w:r>
          </w:p>
        </w:tc>
        <w:tc>
          <w:tcPr>
            <w:tcW w:w="134" w:type="dxa"/>
            <w:shd w:val="clear" w:color="auto" w:fill="D1D3D4"/>
          </w:tcPr>
          <w:p>
            <w:pPr/>
          </w:p>
        </w:tc>
        <w:tc>
          <w:tcPr>
            <w:tcW w:w="1220" w:type="dxa"/>
            <w:shd w:val="clear" w:color="auto" w:fill="D1D3D4"/>
          </w:tcPr>
          <w:p>
            <w:pPr>
              <w:pStyle w:val="TableParagraph"/>
              <w:ind w:right="97"/>
              <w:jc w:val="right"/>
              <w:rPr>
                <w:sz w:val="20"/>
              </w:rPr>
            </w:pPr>
            <w:r>
              <w:rPr>
                <w:color w:val="231F20"/>
                <w:sz w:val="20"/>
              </w:rPr>
              <w:t>—</w:t>
            </w:r>
          </w:p>
        </w:tc>
      </w:tr>
      <w:tr>
        <w:trPr>
          <w:trHeight w:val="300" w:hRule="exact"/>
        </w:trPr>
        <w:tc>
          <w:tcPr>
            <w:tcW w:w="3380" w:type="dxa"/>
          </w:tcPr>
          <w:p>
            <w:pPr>
              <w:pStyle w:val="TableParagraph"/>
              <w:ind w:left="80"/>
              <w:rPr>
                <w:sz w:val="20"/>
              </w:rPr>
            </w:pPr>
            <w:r>
              <w:rPr>
                <w:color w:val="231F20"/>
                <w:sz w:val="20"/>
              </w:rPr>
              <w:t>Interest rate derivatives (see Note 10)</w:t>
            </w:r>
          </w:p>
        </w:tc>
        <w:tc>
          <w:tcPr>
            <w:tcW w:w="1266" w:type="dxa"/>
          </w:tcPr>
          <w:p>
            <w:pPr>
              <w:pStyle w:val="TableParagraph"/>
              <w:ind w:right="164"/>
              <w:jc w:val="right"/>
              <w:rPr>
                <w:sz w:val="20"/>
              </w:rPr>
            </w:pPr>
            <w:r>
              <w:rPr>
                <w:color w:val="231F20"/>
                <w:sz w:val="20"/>
              </w:rPr>
              <w:t>13</w:t>
            </w:r>
          </w:p>
        </w:tc>
        <w:tc>
          <w:tcPr>
            <w:tcW w:w="234" w:type="dxa"/>
          </w:tcPr>
          <w:p>
            <w:pPr/>
          </w:p>
        </w:tc>
        <w:tc>
          <w:tcPr>
            <w:tcW w:w="2886" w:type="dxa"/>
            <w:gridSpan w:val="2"/>
          </w:tcPr>
          <w:p>
            <w:pPr>
              <w:pStyle w:val="TableParagraph"/>
              <w:tabs>
                <w:tab w:pos="2519" w:val="left" w:leader="none"/>
              </w:tabs>
              <w:ind w:left="1100"/>
              <w:rPr>
                <w:sz w:val="20"/>
              </w:rPr>
            </w:pPr>
            <w:r>
              <w:rPr>
                <w:color w:val="231F20"/>
                <w:sz w:val="20"/>
              </w:rPr>
              <w:t>—</w:t>
              <w:tab/>
              <w:t>13</w:t>
            </w:r>
          </w:p>
        </w:tc>
        <w:tc>
          <w:tcPr>
            <w:tcW w:w="134" w:type="dxa"/>
          </w:tcPr>
          <w:p>
            <w:pPr/>
          </w:p>
        </w:tc>
        <w:tc>
          <w:tcPr>
            <w:tcW w:w="1220" w:type="dxa"/>
          </w:tcPr>
          <w:p>
            <w:pPr>
              <w:pStyle w:val="TableParagraph"/>
              <w:ind w:right="97"/>
              <w:jc w:val="right"/>
              <w:rPr>
                <w:sz w:val="20"/>
              </w:rPr>
            </w:pPr>
            <w:r>
              <w:rPr>
                <w:color w:val="231F20"/>
                <w:sz w:val="20"/>
              </w:rPr>
              <w:t>—</w:t>
            </w:r>
          </w:p>
        </w:tc>
      </w:tr>
      <w:tr>
        <w:trPr>
          <w:trHeight w:val="300" w:hRule="exact"/>
        </w:trPr>
        <w:tc>
          <w:tcPr>
            <w:tcW w:w="3380" w:type="dxa"/>
            <w:shd w:val="clear" w:color="auto" w:fill="D1D3D4"/>
          </w:tcPr>
          <w:p>
            <w:pPr>
              <w:pStyle w:val="TableParagraph"/>
              <w:ind w:left="80"/>
              <w:rPr>
                <w:sz w:val="20"/>
              </w:rPr>
            </w:pPr>
            <w:r>
              <w:rPr>
                <w:color w:val="231F20"/>
                <w:sz w:val="20"/>
              </w:rPr>
              <w:t>Fuel derivatives:</w:t>
            </w:r>
          </w:p>
        </w:tc>
        <w:tc>
          <w:tcPr>
            <w:tcW w:w="1266" w:type="dxa"/>
            <w:shd w:val="clear" w:color="auto" w:fill="D1D3D4"/>
          </w:tcPr>
          <w:p>
            <w:pPr/>
          </w:p>
        </w:tc>
        <w:tc>
          <w:tcPr>
            <w:tcW w:w="234" w:type="dxa"/>
            <w:shd w:val="clear" w:color="auto" w:fill="D1D3D4"/>
          </w:tcPr>
          <w:p>
            <w:pPr/>
          </w:p>
        </w:tc>
        <w:tc>
          <w:tcPr>
            <w:tcW w:w="2886" w:type="dxa"/>
            <w:gridSpan w:val="2"/>
            <w:shd w:val="clear" w:color="auto" w:fill="D1D3D4"/>
          </w:tcPr>
          <w:p>
            <w:pPr/>
          </w:p>
        </w:tc>
        <w:tc>
          <w:tcPr>
            <w:tcW w:w="134" w:type="dxa"/>
            <w:shd w:val="clear" w:color="auto" w:fill="D1D3D4"/>
          </w:tcPr>
          <w:p>
            <w:pPr/>
          </w:p>
        </w:tc>
        <w:tc>
          <w:tcPr>
            <w:tcW w:w="1220" w:type="dxa"/>
            <w:shd w:val="clear" w:color="auto" w:fill="D1D3D4"/>
          </w:tcPr>
          <w:p>
            <w:pPr/>
          </w:p>
        </w:tc>
      </w:tr>
      <w:tr>
        <w:trPr>
          <w:trHeight w:val="300" w:hRule="exact"/>
        </w:trPr>
        <w:tc>
          <w:tcPr>
            <w:tcW w:w="3380" w:type="dxa"/>
          </w:tcPr>
          <w:p>
            <w:pPr>
              <w:pStyle w:val="TableParagraph"/>
              <w:ind w:left="280"/>
              <w:rPr>
                <w:sz w:val="20"/>
              </w:rPr>
            </w:pPr>
            <w:r>
              <w:rPr>
                <w:color w:val="231F20"/>
                <w:sz w:val="20"/>
              </w:rPr>
              <w:t>Swap contracts (b)</w:t>
            </w:r>
          </w:p>
        </w:tc>
        <w:tc>
          <w:tcPr>
            <w:tcW w:w="1266" w:type="dxa"/>
          </w:tcPr>
          <w:p>
            <w:pPr>
              <w:pStyle w:val="TableParagraph"/>
              <w:ind w:left="800"/>
              <w:rPr>
                <w:sz w:val="20"/>
              </w:rPr>
            </w:pPr>
            <w:r>
              <w:rPr>
                <w:color w:val="231F20"/>
                <w:sz w:val="20"/>
              </w:rPr>
              <w:t>455</w:t>
            </w:r>
          </w:p>
        </w:tc>
        <w:tc>
          <w:tcPr>
            <w:tcW w:w="234" w:type="dxa"/>
          </w:tcPr>
          <w:p>
            <w:pPr/>
          </w:p>
        </w:tc>
        <w:tc>
          <w:tcPr>
            <w:tcW w:w="2886" w:type="dxa"/>
            <w:gridSpan w:val="2"/>
          </w:tcPr>
          <w:p>
            <w:pPr>
              <w:pStyle w:val="TableParagraph"/>
              <w:tabs>
                <w:tab w:pos="2419" w:val="left" w:leader="none"/>
              </w:tabs>
              <w:ind w:left="1100"/>
              <w:rPr>
                <w:sz w:val="20"/>
              </w:rPr>
            </w:pPr>
            <w:r>
              <w:rPr>
                <w:color w:val="231F20"/>
                <w:sz w:val="20"/>
              </w:rPr>
              <w:t>—</w:t>
              <w:tab/>
              <w:t>455</w:t>
            </w:r>
          </w:p>
        </w:tc>
        <w:tc>
          <w:tcPr>
            <w:tcW w:w="134" w:type="dxa"/>
          </w:tcPr>
          <w:p>
            <w:pPr/>
          </w:p>
        </w:tc>
        <w:tc>
          <w:tcPr>
            <w:tcW w:w="1220" w:type="dxa"/>
          </w:tcPr>
          <w:p>
            <w:pPr>
              <w:pStyle w:val="TableParagraph"/>
              <w:ind w:right="99"/>
              <w:jc w:val="right"/>
              <w:rPr>
                <w:sz w:val="20"/>
              </w:rPr>
            </w:pPr>
            <w:r>
              <w:rPr>
                <w:color w:val="231F20"/>
                <w:sz w:val="20"/>
              </w:rPr>
              <w:t>—</w:t>
            </w:r>
          </w:p>
        </w:tc>
      </w:tr>
      <w:tr>
        <w:trPr>
          <w:trHeight w:val="300" w:hRule="exact"/>
        </w:trPr>
        <w:tc>
          <w:tcPr>
            <w:tcW w:w="3380" w:type="dxa"/>
            <w:shd w:val="clear" w:color="auto" w:fill="D1D3D4"/>
          </w:tcPr>
          <w:p>
            <w:pPr>
              <w:pStyle w:val="TableParagraph"/>
              <w:ind w:left="280"/>
              <w:rPr>
                <w:sz w:val="20"/>
              </w:rPr>
            </w:pPr>
            <w:r>
              <w:rPr>
                <w:color w:val="231F20"/>
                <w:sz w:val="20"/>
              </w:rPr>
              <w:t>Option contracts (b)</w:t>
            </w:r>
          </w:p>
        </w:tc>
        <w:tc>
          <w:tcPr>
            <w:tcW w:w="1266" w:type="dxa"/>
            <w:shd w:val="clear" w:color="auto" w:fill="D1D3D4"/>
          </w:tcPr>
          <w:p>
            <w:pPr>
              <w:pStyle w:val="TableParagraph"/>
              <w:ind w:left="800"/>
              <w:rPr>
                <w:sz w:val="20"/>
              </w:rPr>
            </w:pPr>
            <w:r>
              <w:rPr>
                <w:color w:val="231F20"/>
                <w:sz w:val="20"/>
              </w:rPr>
              <w:t>892</w:t>
            </w:r>
          </w:p>
        </w:tc>
        <w:tc>
          <w:tcPr>
            <w:tcW w:w="234" w:type="dxa"/>
            <w:shd w:val="clear" w:color="auto" w:fill="D1D3D4"/>
          </w:tcPr>
          <w:p>
            <w:pPr/>
          </w:p>
        </w:tc>
        <w:tc>
          <w:tcPr>
            <w:tcW w:w="2886" w:type="dxa"/>
            <w:gridSpan w:val="2"/>
            <w:shd w:val="clear" w:color="auto" w:fill="D1D3D4"/>
          </w:tcPr>
          <w:p>
            <w:pPr>
              <w:pStyle w:val="TableParagraph"/>
              <w:tabs>
                <w:tab w:pos="2519" w:val="left" w:leader="none"/>
              </w:tabs>
              <w:ind w:left="1100"/>
              <w:rPr>
                <w:sz w:val="20"/>
              </w:rPr>
            </w:pPr>
            <w:r>
              <w:rPr>
                <w:color w:val="231F20"/>
                <w:sz w:val="20"/>
              </w:rPr>
              <w:t>—</w:t>
              <w:tab/>
              <w:t>—</w:t>
            </w:r>
          </w:p>
        </w:tc>
        <w:tc>
          <w:tcPr>
            <w:tcW w:w="134" w:type="dxa"/>
            <w:shd w:val="clear" w:color="auto" w:fill="D1D3D4"/>
          </w:tcPr>
          <w:p>
            <w:pPr/>
          </w:p>
        </w:tc>
        <w:tc>
          <w:tcPr>
            <w:tcW w:w="1220" w:type="dxa"/>
            <w:shd w:val="clear" w:color="auto" w:fill="D1D3D4"/>
          </w:tcPr>
          <w:p>
            <w:pPr>
              <w:pStyle w:val="TableParagraph"/>
              <w:ind w:right="99"/>
              <w:jc w:val="right"/>
              <w:rPr>
                <w:sz w:val="20"/>
              </w:rPr>
            </w:pPr>
            <w:r>
              <w:rPr>
                <w:color w:val="231F20"/>
                <w:sz w:val="20"/>
              </w:rPr>
              <w:t>892</w:t>
            </w:r>
          </w:p>
        </w:tc>
      </w:tr>
      <w:tr>
        <w:trPr>
          <w:trHeight w:val="315" w:hRule="exact"/>
        </w:trPr>
        <w:tc>
          <w:tcPr>
            <w:tcW w:w="3380" w:type="dxa"/>
          </w:tcPr>
          <w:p>
            <w:pPr>
              <w:pStyle w:val="TableParagraph"/>
              <w:ind w:left="80"/>
              <w:rPr>
                <w:sz w:val="20"/>
              </w:rPr>
            </w:pPr>
            <w:r>
              <w:rPr>
                <w:color w:val="231F20"/>
                <w:sz w:val="20"/>
              </w:rPr>
              <w:t>Other available-for-sale securities</w:t>
            </w:r>
          </w:p>
        </w:tc>
        <w:tc>
          <w:tcPr>
            <w:tcW w:w="1266" w:type="dxa"/>
            <w:tcBorders>
              <w:bottom w:val="single" w:sz="4" w:space="0" w:color="231F20"/>
            </w:tcBorders>
          </w:tcPr>
          <w:p>
            <w:pPr>
              <w:pStyle w:val="TableParagraph"/>
              <w:ind w:right="164"/>
              <w:jc w:val="right"/>
              <w:rPr>
                <w:sz w:val="20"/>
              </w:rPr>
            </w:pPr>
            <w:r>
              <w:rPr>
                <w:color w:val="231F20"/>
                <w:sz w:val="20"/>
              </w:rPr>
              <w:t>95</w:t>
            </w:r>
          </w:p>
        </w:tc>
        <w:tc>
          <w:tcPr>
            <w:tcW w:w="234" w:type="dxa"/>
          </w:tcPr>
          <w:p>
            <w:pPr/>
          </w:p>
        </w:tc>
        <w:tc>
          <w:tcPr>
            <w:tcW w:w="2886" w:type="dxa"/>
            <w:gridSpan w:val="2"/>
          </w:tcPr>
          <w:p>
            <w:pPr>
              <w:pStyle w:val="TableParagraph"/>
              <w:tabs>
                <w:tab w:pos="2519" w:val="left" w:leader="none"/>
              </w:tabs>
              <w:ind w:left="1100"/>
              <w:rPr>
                <w:sz w:val="20"/>
              </w:rPr>
            </w:pPr>
            <w:r>
              <w:rPr>
                <w:color w:val="231F20"/>
                <w:sz w:val="20"/>
              </w:rPr>
              <w:t>63</w:t>
              <w:tab/>
              <w:t>—</w:t>
            </w:r>
          </w:p>
        </w:tc>
        <w:tc>
          <w:tcPr>
            <w:tcW w:w="134" w:type="dxa"/>
          </w:tcPr>
          <w:p>
            <w:pPr/>
          </w:p>
        </w:tc>
        <w:tc>
          <w:tcPr>
            <w:tcW w:w="1220" w:type="dxa"/>
            <w:tcBorders>
              <w:bottom w:val="single" w:sz="4" w:space="0" w:color="231F20"/>
            </w:tcBorders>
          </w:tcPr>
          <w:p>
            <w:pPr>
              <w:pStyle w:val="TableParagraph"/>
              <w:ind w:right="97"/>
              <w:jc w:val="right"/>
              <w:rPr>
                <w:sz w:val="20"/>
              </w:rPr>
            </w:pPr>
            <w:r>
              <w:rPr>
                <w:color w:val="231F20"/>
                <w:sz w:val="20"/>
              </w:rPr>
              <w:t>32</w:t>
            </w:r>
          </w:p>
        </w:tc>
      </w:tr>
      <w:tr>
        <w:trPr>
          <w:trHeight w:val="360" w:hRule="exact"/>
        </w:trPr>
        <w:tc>
          <w:tcPr>
            <w:tcW w:w="3380" w:type="dxa"/>
            <w:shd w:val="clear" w:color="auto" w:fill="D1D3D4"/>
          </w:tcPr>
          <w:p>
            <w:pPr>
              <w:pStyle w:val="TableParagraph"/>
              <w:ind w:left="80"/>
              <w:rPr>
                <w:b/>
                <w:sz w:val="20"/>
              </w:rPr>
            </w:pPr>
            <w:r>
              <w:rPr>
                <w:b/>
                <w:color w:val="231F20"/>
                <w:sz w:val="20"/>
              </w:rPr>
              <w:t>Total assets</w:t>
            </w:r>
          </w:p>
        </w:tc>
        <w:tc>
          <w:tcPr>
            <w:tcW w:w="1266" w:type="dxa"/>
            <w:tcBorders>
              <w:top w:val="single" w:sz="4" w:space="0" w:color="231F20"/>
              <w:bottom w:val="single" w:sz="4" w:space="0" w:color="231F20"/>
            </w:tcBorders>
            <w:shd w:val="clear" w:color="auto" w:fill="D1D3D4"/>
          </w:tcPr>
          <w:p>
            <w:pPr>
              <w:pStyle w:val="TableParagraph"/>
              <w:tabs>
                <w:tab w:pos="649" w:val="left" w:leader="none"/>
              </w:tabs>
              <w:rPr>
                <w:sz w:val="20"/>
              </w:rPr>
            </w:pPr>
            <w:r>
              <w:rPr>
                <w:color w:val="231F20"/>
                <w:sz w:val="20"/>
              </w:rPr>
              <w:t>$</w:t>
              <w:tab/>
              <w:t>4,443</w:t>
            </w:r>
          </w:p>
        </w:tc>
        <w:tc>
          <w:tcPr>
            <w:tcW w:w="234" w:type="dxa"/>
            <w:shd w:val="clear" w:color="auto" w:fill="D1D3D4"/>
          </w:tcPr>
          <w:p>
            <w:pPr/>
          </w:p>
        </w:tc>
        <w:tc>
          <w:tcPr>
            <w:tcW w:w="2886" w:type="dxa"/>
            <w:gridSpan w:val="2"/>
            <w:shd w:val="clear" w:color="auto" w:fill="D1D3D4"/>
          </w:tcPr>
          <w:p>
            <w:pPr>
              <w:pStyle w:val="TableParagraph"/>
              <w:tabs>
                <w:tab w:pos="849" w:val="left" w:leader="none"/>
                <w:tab w:pos="1599" w:val="left" w:leader="none"/>
                <w:tab w:pos="2419" w:val="left" w:leader="none"/>
              </w:tabs>
              <w:spacing w:before="58"/>
              <w:rPr>
                <w:sz w:val="20"/>
              </w:rPr>
            </w:pPr>
            <w:r>
              <w:rPr>
                <w:color w:val="231F20"/>
                <w:sz w:val="20"/>
              </w:rPr>
              <w:t>$</w:t>
              <w:tab/>
              <w:t>2,623</w:t>
              <w:tab/>
              <w:t>$</w:t>
              <w:tab/>
              <w:t>896</w:t>
            </w:r>
          </w:p>
        </w:tc>
        <w:tc>
          <w:tcPr>
            <w:tcW w:w="134" w:type="dxa"/>
            <w:shd w:val="clear" w:color="auto" w:fill="D1D3D4"/>
          </w:tcPr>
          <w:p>
            <w:pPr/>
          </w:p>
        </w:tc>
        <w:tc>
          <w:tcPr>
            <w:tcW w:w="1220" w:type="dxa"/>
            <w:tcBorders>
              <w:top w:val="single" w:sz="4" w:space="0" w:color="231F20"/>
              <w:bottom w:val="single" w:sz="4" w:space="0" w:color="231F20"/>
            </w:tcBorders>
            <w:shd w:val="clear" w:color="auto" w:fill="D1D3D4"/>
          </w:tcPr>
          <w:p>
            <w:pPr>
              <w:pStyle w:val="TableParagraph"/>
              <w:tabs>
                <w:tab w:pos="819" w:val="left" w:leader="none"/>
              </w:tabs>
              <w:rPr>
                <w:sz w:val="20"/>
              </w:rPr>
            </w:pPr>
            <w:r>
              <w:rPr>
                <w:color w:val="231F20"/>
                <w:sz w:val="20"/>
              </w:rPr>
              <w:t>$</w:t>
              <w:tab/>
              <w:t>924</w:t>
            </w:r>
          </w:p>
        </w:tc>
      </w:tr>
      <w:tr>
        <w:trPr>
          <w:trHeight w:val="305" w:hRule="exact"/>
        </w:trPr>
        <w:tc>
          <w:tcPr>
            <w:tcW w:w="3380" w:type="dxa"/>
          </w:tcPr>
          <w:p>
            <w:pPr>
              <w:pStyle w:val="TableParagraph"/>
              <w:spacing w:before="113"/>
              <w:ind w:left="80"/>
              <w:rPr>
                <w:b/>
                <w:sz w:val="20"/>
              </w:rPr>
            </w:pPr>
            <w:r>
              <w:rPr>
                <w:b/>
                <w:color w:val="231F20"/>
                <w:sz w:val="20"/>
              </w:rPr>
              <w:t>Liabilities</w:t>
            </w:r>
          </w:p>
        </w:tc>
        <w:tc>
          <w:tcPr>
            <w:tcW w:w="1266" w:type="dxa"/>
            <w:tcBorders>
              <w:top w:val="single" w:sz="4" w:space="0" w:color="231F20"/>
            </w:tcBorders>
          </w:tcPr>
          <w:p>
            <w:pPr/>
          </w:p>
        </w:tc>
        <w:tc>
          <w:tcPr>
            <w:tcW w:w="234" w:type="dxa"/>
          </w:tcPr>
          <w:p>
            <w:pPr/>
          </w:p>
        </w:tc>
        <w:tc>
          <w:tcPr>
            <w:tcW w:w="2886" w:type="dxa"/>
            <w:gridSpan w:val="2"/>
          </w:tcPr>
          <w:p>
            <w:pPr/>
          </w:p>
        </w:tc>
        <w:tc>
          <w:tcPr>
            <w:tcW w:w="134" w:type="dxa"/>
          </w:tcPr>
          <w:p>
            <w:pPr/>
          </w:p>
        </w:tc>
        <w:tc>
          <w:tcPr>
            <w:tcW w:w="1220" w:type="dxa"/>
            <w:tcBorders>
              <w:top w:val="single" w:sz="4" w:space="0" w:color="231F20"/>
            </w:tcBorders>
          </w:tcPr>
          <w:p>
            <w:pPr/>
          </w:p>
        </w:tc>
      </w:tr>
      <w:tr>
        <w:trPr>
          <w:trHeight w:val="300" w:hRule="exact"/>
        </w:trPr>
        <w:tc>
          <w:tcPr>
            <w:tcW w:w="3380" w:type="dxa"/>
            <w:shd w:val="clear" w:color="auto" w:fill="D1D3D4"/>
          </w:tcPr>
          <w:p>
            <w:pPr>
              <w:pStyle w:val="TableParagraph"/>
              <w:ind w:left="80"/>
              <w:rPr>
                <w:sz w:val="20"/>
              </w:rPr>
            </w:pPr>
            <w:r>
              <w:rPr>
                <w:color w:val="231F20"/>
                <w:sz w:val="20"/>
              </w:rPr>
              <w:t>Fuel derivatives:</w:t>
            </w:r>
          </w:p>
        </w:tc>
        <w:tc>
          <w:tcPr>
            <w:tcW w:w="1266" w:type="dxa"/>
            <w:shd w:val="clear" w:color="auto" w:fill="D1D3D4"/>
          </w:tcPr>
          <w:p>
            <w:pPr/>
          </w:p>
        </w:tc>
        <w:tc>
          <w:tcPr>
            <w:tcW w:w="234" w:type="dxa"/>
            <w:shd w:val="clear" w:color="auto" w:fill="D1D3D4"/>
          </w:tcPr>
          <w:p>
            <w:pPr/>
          </w:p>
        </w:tc>
        <w:tc>
          <w:tcPr>
            <w:tcW w:w="2886" w:type="dxa"/>
            <w:gridSpan w:val="2"/>
            <w:shd w:val="clear" w:color="auto" w:fill="D1D3D4"/>
          </w:tcPr>
          <w:p>
            <w:pPr/>
          </w:p>
        </w:tc>
        <w:tc>
          <w:tcPr>
            <w:tcW w:w="134" w:type="dxa"/>
            <w:shd w:val="clear" w:color="auto" w:fill="D1D3D4"/>
          </w:tcPr>
          <w:p>
            <w:pPr/>
          </w:p>
        </w:tc>
        <w:tc>
          <w:tcPr>
            <w:tcW w:w="1220" w:type="dxa"/>
            <w:shd w:val="clear" w:color="auto" w:fill="D1D3D4"/>
          </w:tcPr>
          <w:p>
            <w:pPr/>
          </w:p>
        </w:tc>
      </w:tr>
      <w:tr>
        <w:trPr>
          <w:trHeight w:val="300" w:hRule="exact"/>
        </w:trPr>
        <w:tc>
          <w:tcPr>
            <w:tcW w:w="3380" w:type="dxa"/>
          </w:tcPr>
          <w:p>
            <w:pPr>
              <w:pStyle w:val="TableParagraph"/>
              <w:ind w:left="280"/>
              <w:rPr>
                <w:sz w:val="20"/>
              </w:rPr>
            </w:pPr>
            <w:r>
              <w:rPr>
                <w:color w:val="231F20"/>
                <w:sz w:val="20"/>
              </w:rPr>
              <w:t>Swap contracts (b)</w:t>
            </w:r>
          </w:p>
        </w:tc>
        <w:tc>
          <w:tcPr>
            <w:tcW w:w="1266" w:type="dxa"/>
          </w:tcPr>
          <w:p>
            <w:pPr>
              <w:pStyle w:val="TableParagraph"/>
              <w:tabs>
                <w:tab w:pos="832" w:val="left" w:leader="none"/>
              </w:tabs>
              <w:rPr>
                <w:sz w:val="20"/>
              </w:rPr>
            </w:pPr>
            <w:r>
              <w:rPr>
                <w:color w:val="231F20"/>
                <w:sz w:val="20"/>
              </w:rPr>
              <w:t>$</w:t>
              <w:tab/>
              <w:t>(365)</w:t>
            </w:r>
          </w:p>
        </w:tc>
        <w:tc>
          <w:tcPr>
            <w:tcW w:w="234" w:type="dxa"/>
          </w:tcPr>
          <w:p>
            <w:pPr/>
          </w:p>
        </w:tc>
        <w:tc>
          <w:tcPr>
            <w:tcW w:w="2886" w:type="dxa"/>
            <w:gridSpan w:val="2"/>
          </w:tcPr>
          <w:p>
            <w:pPr>
              <w:pStyle w:val="TableParagraph"/>
              <w:tabs>
                <w:tab w:pos="1099" w:val="left" w:leader="none"/>
                <w:tab w:pos="1599" w:val="left" w:leader="none"/>
                <w:tab w:pos="2452" w:val="left" w:leader="none"/>
              </w:tabs>
              <w:rPr>
                <w:sz w:val="20"/>
              </w:rPr>
            </w:pPr>
            <w:r>
              <w:rPr>
                <w:color w:val="231F20"/>
                <w:sz w:val="20"/>
              </w:rPr>
              <w:t>$</w:t>
              <w:tab/>
              <w:t>—</w:t>
              <w:tab/>
              <w:t>$</w:t>
              <w:tab/>
              <w:t>(365)</w:t>
            </w:r>
          </w:p>
        </w:tc>
        <w:tc>
          <w:tcPr>
            <w:tcW w:w="134" w:type="dxa"/>
          </w:tcPr>
          <w:p>
            <w:pPr/>
          </w:p>
        </w:tc>
        <w:tc>
          <w:tcPr>
            <w:tcW w:w="1220" w:type="dxa"/>
          </w:tcPr>
          <w:p>
            <w:pPr>
              <w:pStyle w:val="TableParagraph"/>
              <w:tabs>
                <w:tab w:pos="919" w:val="left" w:leader="none"/>
              </w:tabs>
              <w:rPr>
                <w:sz w:val="20"/>
              </w:rPr>
            </w:pPr>
            <w:r>
              <w:rPr>
                <w:color w:val="231F20"/>
                <w:sz w:val="20"/>
              </w:rPr>
              <w:t>$</w:t>
              <w:tab/>
              <w:t>—</w:t>
            </w:r>
          </w:p>
        </w:tc>
      </w:tr>
      <w:tr>
        <w:trPr>
          <w:trHeight w:val="300" w:hRule="exact"/>
        </w:trPr>
        <w:tc>
          <w:tcPr>
            <w:tcW w:w="3380" w:type="dxa"/>
            <w:shd w:val="clear" w:color="auto" w:fill="D1D3D4"/>
          </w:tcPr>
          <w:p>
            <w:pPr>
              <w:pStyle w:val="TableParagraph"/>
              <w:ind w:left="280"/>
              <w:rPr>
                <w:sz w:val="20"/>
              </w:rPr>
            </w:pPr>
            <w:r>
              <w:rPr>
                <w:color w:val="231F20"/>
                <w:sz w:val="20"/>
              </w:rPr>
              <w:t>Option contracts (b)</w:t>
            </w:r>
          </w:p>
        </w:tc>
        <w:tc>
          <w:tcPr>
            <w:tcW w:w="1266" w:type="dxa"/>
            <w:shd w:val="clear" w:color="auto" w:fill="D1D3D4"/>
          </w:tcPr>
          <w:p>
            <w:pPr>
              <w:pStyle w:val="TableParagraph"/>
              <w:jc w:val="right"/>
              <w:rPr>
                <w:sz w:val="20"/>
              </w:rPr>
            </w:pPr>
            <w:r>
              <w:rPr>
                <w:color w:val="231F20"/>
                <w:sz w:val="20"/>
              </w:rPr>
              <w:t>(1,983)</w:t>
            </w:r>
          </w:p>
        </w:tc>
        <w:tc>
          <w:tcPr>
            <w:tcW w:w="234" w:type="dxa"/>
            <w:shd w:val="clear" w:color="auto" w:fill="D1D3D4"/>
          </w:tcPr>
          <w:p>
            <w:pPr/>
          </w:p>
        </w:tc>
        <w:tc>
          <w:tcPr>
            <w:tcW w:w="2886" w:type="dxa"/>
            <w:gridSpan w:val="2"/>
            <w:shd w:val="clear" w:color="auto" w:fill="D1D3D4"/>
          </w:tcPr>
          <w:p>
            <w:pPr>
              <w:pStyle w:val="TableParagraph"/>
              <w:tabs>
                <w:tab w:pos="2519" w:val="left" w:leader="none"/>
              </w:tabs>
              <w:ind w:left="1100"/>
              <w:rPr>
                <w:sz w:val="20"/>
              </w:rPr>
            </w:pPr>
            <w:r>
              <w:rPr>
                <w:color w:val="231F20"/>
                <w:sz w:val="20"/>
              </w:rPr>
              <w:t>—</w:t>
              <w:tab/>
              <w:t>—</w:t>
            </w:r>
          </w:p>
        </w:tc>
        <w:tc>
          <w:tcPr>
            <w:tcW w:w="134" w:type="dxa"/>
            <w:shd w:val="clear" w:color="auto" w:fill="D1D3D4"/>
          </w:tcPr>
          <w:p>
            <w:pPr/>
          </w:p>
        </w:tc>
        <w:tc>
          <w:tcPr>
            <w:tcW w:w="1220" w:type="dxa"/>
            <w:shd w:val="clear" w:color="auto" w:fill="D1D3D4"/>
          </w:tcPr>
          <w:p>
            <w:pPr>
              <w:pStyle w:val="TableParagraph"/>
              <w:jc w:val="right"/>
              <w:rPr>
                <w:sz w:val="20"/>
              </w:rPr>
            </w:pPr>
            <w:r>
              <w:rPr>
                <w:color w:val="231F20"/>
                <w:sz w:val="20"/>
              </w:rPr>
              <w:t>(1,983)</w:t>
            </w:r>
          </w:p>
        </w:tc>
      </w:tr>
      <w:tr>
        <w:trPr>
          <w:trHeight w:val="315" w:hRule="exact"/>
        </w:trPr>
        <w:tc>
          <w:tcPr>
            <w:tcW w:w="3380" w:type="dxa"/>
          </w:tcPr>
          <w:p>
            <w:pPr>
              <w:pStyle w:val="TableParagraph"/>
              <w:ind w:left="80"/>
              <w:rPr>
                <w:sz w:val="20"/>
              </w:rPr>
            </w:pPr>
            <w:r>
              <w:rPr>
                <w:color w:val="231F20"/>
                <w:sz w:val="20"/>
              </w:rPr>
              <w:t>Interest rate derivatives (see Note 10)</w:t>
            </w:r>
          </w:p>
        </w:tc>
        <w:tc>
          <w:tcPr>
            <w:tcW w:w="1266" w:type="dxa"/>
            <w:tcBorders>
              <w:bottom w:val="single" w:sz="4" w:space="0" w:color="231F20"/>
            </w:tcBorders>
          </w:tcPr>
          <w:p>
            <w:pPr>
              <w:pStyle w:val="TableParagraph"/>
              <w:jc w:val="right"/>
              <w:rPr>
                <w:sz w:val="20"/>
              </w:rPr>
            </w:pPr>
            <w:r>
              <w:rPr>
                <w:color w:val="231F20"/>
                <w:sz w:val="20"/>
              </w:rPr>
              <w:t>(61)</w:t>
            </w:r>
          </w:p>
        </w:tc>
        <w:tc>
          <w:tcPr>
            <w:tcW w:w="234" w:type="dxa"/>
          </w:tcPr>
          <w:p>
            <w:pPr/>
          </w:p>
        </w:tc>
        <w:tc>
          <w:tcPr>
            <w:tcW w:w="2886" w:type="dxa"/>
            <w:gridSpan w:val="2"/>
          </w:tcPr>
          <w:p>
            <w:pPr>
              <w:pStyle w:val="TableParagraph"/>
              <w:tabs>
                <w:tab w:pos="2552" w:val="left" w:leader="none"/>
              </w:tabs>
              <w:ind w:left="1100"/>
              <w:rPr>
                <w:sz w:val="20"/>
              </w:rPr>
            </w:pPr>
            <w:r>
              <w:rPr>
                <w:color w:val="231F20"/>
                <w:sz w:val="20"/>
              </w:rPr>
              <w:t>—</w:t>
              <w:tab/>
              <w:t>(61)</w:t>
            </w:r>
          </w:p>
        </w:tc>
        <w:tc>
          <w:tcPr>
            <w:tcW w:w="134" w:type="dxa"/>
          </w:tcPr>
          <w:p>
            <w:pPr/>
          </w:p>
        </w:tc>
        <w:tc>
          <w:tcPr>
            <w:tcW w:w="1220" w:type="dxa"/>
            <w:tcBorders>
              <w:bottom w:val="single" w:sz="4" w:space="0" w:color="231F20"/>
            </w:tcBorders>
          </w:tcPr>
          <w:p>
            <w:pPr>
              <w:pStyle w:val="TableParagraph"/>
              <w:ind w:right="97"/>
              <w:jc w:val="right"/>
              <w:rPr>
                <w:sz w:val="20"/>
              </w:rPr>
            </w:pPr>
            <w:r>
              <w:rPr>
                <w:color w:val="231F20"/>
                <w:sz w:val="20"/>
              </w:rPr>
              <w:t>—</w:t>
            </w:r>
          </w:p>
        </w:tc>
      </w:tr>
      <w:tr>
        <w:trPr>
          <w:trHeight w:val="360" w:hRule="exact"/>
        </w:trPr>
        <w:tc>
          <w:tcPr>
            <w:tcW w:w="3380" w:type="dxa"/>
            <w:shd w:val="clear" w:color="auto" w:fill="D1D3D4"/>
          </w:tcPr>
          <w:p>
            <w:pPr>
              <w:pStyle w:val="TableParagraph"/>
              <w:ind w:left="80"/>
              <w:rPr>
                <w:b/>
                <w:sz w:val="20"/>
              </w:rPr>
            </w:pPr>
            <w:r>
              <w:rPr>
                <w:b/>
                <w:color w:val="231F20"/>
                <w:sz w:val="20"/>
              </w:rPr>
              <w:t>Total liabilities</w:t>
            </w:r>
          </w:p>
        </w:tc>
        <w:tc>
          <w:tcPr>
            <w:tcW w:w="1266" w:type="dxa"/>
            <w:tcBorders>
              <w:top w:val="single" w:sz="4" w:space="0" w:color="231F20"/>
              <w:bottom w:val="single" w:sz="4" w:space="0" w:color="231F20"/>
            </w:tcBorders>
            <w:shd w:val="clear" w:color="auto" w:fill="D1D3D4"/>
          </w:tcPr>
          <w:p>
            <w:pPr>
              <w:pStyle w:val="TableParagraph"/>
              <w:tabs>
                <w:tab w:pos="682" w:val="left" w:leader="none"/>
              </w:tabs>
              <w:rPr>
                <w:sz w:val="20"/>
              </w:rPr>
            </w:pPr>
            <w:r>
              <w:rPr>
                <w:color w:val="231F20"/>
                <w:sz w:val="20"/>
              </w:rPr>
              <w:t>$</w:t>
              <w:tab/>
              <w:t>(2,409)</w:t>
            </w:r>
          </w:p>
        </w:tc>
        <w:tc>
          <w:tcPr>
            <w:tcW w:w="234" w:type="dxa"/>
            <w:shd w:val="clear" w:color="auto" w:fill="D1D3D4"/>
          </w:tcPr>
          <w:p>
            <w:pPr/>
          </w:p>
        </w:tc>
        <w:tc>
          <w:tcPr>
            <w:tcW w:w="2886" w:type="dxa"/>
            <w:gridSpan w:val="2"/>
            <w:shd w:val="clear" w:color="auto" w:fill="D1D3D4"/>
          </w:tcPr>
          <w:p>
            <w:pPr>
              <w:pStyle w:val="TableParagraph"/>
              <w:tabs>
                <w:tab w:pos="1099" w:val="left" w:leader="none"/>
                <w:tab w:pos="1599" w:val="left" w:leader="none"/>
                <w:tab w:pos="2452" w:val="left" w:leader="none"/>
              </w:tabs>
              <w:spacing w:before="58"/>
              <w:rPr>
                <w:sz w:val="20"/>
              </w:rPr>
            </w:pPr>
            <w:r>
              <w:rPr>
                <w:color w:val="231F20"/>
                <w:sz w:val="20"/>
              </w:rPr>
              <w:t>$</w:t>
              <w:tab/>
              <w:t>—</w:t>
              <w:tab/>
              <w:t>$</w:t>
              <w:tab/>
              <w:t>(426)</w:t>
            </w:r>
          </w:p>
        </w:tc>
        <w:tc>
          <w:tcPr>
            <w:tcW w:w="134" w:type="dxa"/>
            <w:shd w:val="clear" w:color="auto" w:fill="D1D3D4"/>
          </w:tcPr>
          <w:p>
            <w:pPr/>
          </w:p>
        </w:tc>
        <w:tc>
          <w:tcPr>
            <w:tcW w:w="1220" w:type="dxa"/>
            <w:tcBorders>
              <w:top w:val="single" w:sz="4" w:space="0" w:color="231F20"/>
              <w:bottom w:val="single" w:sz="4" w:space="0" w:color="231F20"/>
            </w:tcBorders>
            <w:shd w:val="clear" w:color="auto" w:fill="D1D3D4"/>
          </w:tcPr>
          <w:p>
            <w:pPr>
              <w:pStyle w:val="TableParagraph"/>
              <w:tabs>
                <w:tab w:pos="635" w:val="left" w:leader="none"/>
              </w:tabs>
              <w:spacing w:before="48"/>
              <w:rPr>
                <w:sz w:val="20"/>
              </w:rPr>
            </w:pPr>
            <w:r>
              <w:rPr>
                <w:color w:val="231F20"/>
                <w:sz w:val="20"/>
              </w:rPr>
              <w:t>$</w:t>
              <w:tab/>
              <w:t>(1,983)</w:t>
            </w:r>
          </w:p>
        </w:tc>
      </w:tr>
    </w:tbl>
    <w:p>
      <w:pPr>
        <w:pStyle w:val="BodyText"/>
        <w:rPr>
          <w:sz w:val="25"/>
        </w:rPr>
      </w:pPr>
    </w:p>
    <w:p>
      <w:pPr>
        <w:pStyle w:val="ListParagraph"/>
        <w:numPr>
          <w:ilvl w:val="0"/>
          <w:numId w:val="19"/>
        </w:numPr>
        <w:tabs>
          <w:tab w:pos="393" w:val="left" w:leader="none"/>
        </w:tabs>
        <w:spacing w:line="240" w:lineRule="auto" w:before="1" w:after="0"/>
        <w:ind w:left="393" w:right="0" w:hanging="273"/>
        <w:jc w:val="left"/>
        <w:rPr>
          <w:sz w:val="20"/>
        </w:rPr>
      </w:pPr>
      <w:r>
        <w:rPr/>
        <w:pict>
          <v:line style="position:absolute;mso-position-horizontal-relative:page;mso-position-vertical-relative:paragraph;z-index:-388288" from="313pt,-126.864059pt" to="383pt,-126.864059pt" stroked="true" strokeweight=".5pt" strokecolor="#231f20">
            <v:stroke dashstyle="solid"/>
            <w10:wrap type="none"/>
          </v:line>
        </w:pict>
      </w:r>
      <w:r>
        <w:rPr/>
        <w:pict>
          <v:line style="position:absolute;mso-position-horizontal-relative:page;mso-position-vertical-relative:paragraph;z-index:-388264" from="238pt,-110.864059pt" to="298pt,-110.864059pt" stroked="true" strokeweight=".5pt" strokecolor="#231f20">
            <v:stroke dashstyle="solid"/>
            <w10:wrap type="none"/>
          </v:line>
        </w:pict>
      </w:r>
      <w:r>
        <w:rPr/>
        <w:pict>
          <v:group style="position:absolute;margin-left:312.75pt;margin-top:-111.114059pt;width:70.5pt;height:2.5pt;mso-position-horizontal-relative:page;mso-position-vertical-relative:paragraph;z-index:-388240" coordorigin="6255,-2222" coordsize="1410,50">
            <v:line style="position:absolute" from="6260,-2217" to="7660,-2217" stroked="true" strokeweight=".5pt" strokecolor="#231f20">
              <v:stroke dashstyle="solid"/>
            </v:line>
            <v:line style="position:absolute" from="6260,-2177" to="7660,-2177" stroked="true" strokeweight=".5pt" strokecolor="#231f20">
              <v:stroke dashstyle="solid"/>
            </v:line>
            <w10:wrap type="none"/>
          </v:group>
        </w:pict>
      </w:r>
      <w:r>
        <w:rPr/>
        <w:pict>
          <v:line style="position:absolute;mso-position-horizontal-relative:page;mso-position-vertical-relative:paragraph;z-index:-388216" from="393pt,-110.864059pt" to="454pt,-110.864059pt" stroked="true" strokeweight=".5pt" strokecolor="#231f20">
            <v:stroke dashstyle="solid"/>
            <w10:wrap type="none"/>
          </v:line>
        </w:pict>
      </w:r>
      <w:r>
        <w:rPr/>
        <w:pict>
          <v:line style="position:absolute;mso-position-horizontal-relative:page;mso-position-vertical-relative:paragraph;z-index:-388192" from="464pt,-110.864059pt" to="525pt,-110.864059pt" stroked="true" strokeweight=".5pt" strokecolor="#231f20">
            <v:stroke dashstyle="solid"/>
            <w10:wrap type="none"/>
          </v:line>
        </w:pict>
      </w:r>
      <w:r>
        <w:rPr/>
        <w:pict>
          <v:line style="position:absolute;mso-position-horizontal-relative:page;mso-position-vertical-relative:paragraph;z-index:-388168" from="313pt,-32.864063pt" to="383pt,-32.864063pt" stroked="true" strokeweight=".5pt" strokecolor="#231f20">
            <v:stroke dashstyle="solid"/>
            <w10:wrap type="none"/>
          </v:line>
        </w:pict>
      </w:r>
      <w:r>
        <w:rPr/>
        <w:pict>
          <v:line style="position:absolute;mso-position-horizontal-relative:page;mso-position-vertical-relative:paragraph;z-index:-388144" from="238pt,-16.864063pt" to="298pt,-16.864063pt" stroked="true" strokeweight=".5pt" strokecolor="#231f20">
            <v:stroke dashstyle="solid"/>
            <w10:wrap type="none"/>
          </v:line>
        </w:pict>
      </w:r>
      <w:r>
        <w:rPr/>
        <w:pict>
          <v:group style="position:absolute;margin-left:312.75pt;margin-top:-17.114063pt;width:70.5pt;height:2.5pt;mso-position-horizontal-relative:page;mso-position-vertical-relative:paragraph;z-index:-388120" coordorigin="6255,-342" coordsize="1410,50">
            <v:line style="position:absolute" from="6260,-337" to="7660,-337" stroked="true" strokeweight=".5pt" strokecolor="#231f20">
              <v:stroke dashstyle="solid"/>
            </v:line>
            <v:line style="position:absolute" from="6260,-297" to="7660,-297" stroked="true" strokeweight=".5pt" strokecolor="#231f20">
              <v:stroke dashstyle="solid"/>
            </v:line>
            <w10:wrap type="none"/>
          </v:group>
        </w:pict>
      </w:r>
      <w:r>
        <w:rPr/>
        <w:pict>
          <v:line style="position:absolute;mso-position-horizontal-relative:page;mso-position-vertical-relative:paragraph;z-index:-388096" from="393pt,-16.864063pt" to="454pt,-16.864063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19"/>
        </w:numPr>
        <w:tabs>
          <w:tab w:pos="404" w:val="left" w:leader="none"/>
        </w:tabs>
        <w:spacing w:line="240" w:lineRule="auto" w:before="130" w:after="0"/>
        <w:ind w:left="404" w:right="0" w:hanging="284"/>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60" w:right="1260"/>
        </w:sectPr>
      </w:pPr>
    </w:p>
    <w:p>
      <w:pPr>
        <w:pStyle w:val="BodyText"/>
        <w:spacing w:line="247" w:lineRule="auto" w:before="74"/>
        <w:ind w:left="120" w:right="117"/>
        <w:jc w:val="both"/>
      </w:pPr>
      <w:r>
        <w:rPr>
          <w:color w:val="231F20"/>
        </w:rPr>
        <w:t>The Company had no transfers of assets or liabilities between any of the above levels during the years ended December 31, 2015 or 2014. The Company did not have any assets or liabilities measured at fair value on a nonrecurring basis as of December 31, 2015 or 2014. The following tables present the Company’s activity for items measured at fair value on a recurring basis using significant unobservable inputs (Level 3) for 2015 and 2014:</w:t>
      </w:r>
    </w:p>
    <w:p>
      <w:pPr>
        <w:pStyle w:val="BodyText"/>
        <w:rPr>
          <w:sz w:val="12"/>
        </w:rPr>
      </w:pPr>
    </w:p>
    <w:p>
      <w:pPr>
        <w:spacing w:line="249" w:lineRule="auto" w:before="100" w:after="18"/>
        <w:ind w:left="5968" w:right="310" w:hanging="538"/>
        <w:jc w:val="left"/>
        <w:rPr>
          <w:b/>
          <w:sz w:val="20"/>
        </w:rPr>
      </w:pPr>
      <w:r>
        <w:rPr/>
        <w:pict>
          <v:line style="position:absolute;mso-position-horizontal-relative:page;mso-position-vertical-relative:paragraph;z-index:-388072" from="69pt,58.085938pt" to="121.4pt,58.08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6"/>
        <w:gridCol w:w="1334"/>
        <w:gridCol w:w="240"/>
        <w:gridCol w:w="1180"/>
        <w:gridCol w:w="200"/>
        <w:gridCol w:w="1060"/>
      </w:tblGrid>
      <w:tr>
        <w:trPr>
          <w:trHeight w:val="560" w:hRule="exact"/>
        </w:trPr>
        <w:tc>
          <w:tcPr>
            <w:tcW w:w="5106" w:type="dxa"/>
          </w:tcPr>
          <w:p>
            <w:pPr>
              <w:pStyle w:val="TableParagraph"/>
              <w:spacing w:before="4"/>
              <w:rPr>
                <w:b/>
                <w:sz w:val="26"/>
              </w:rPr>
            </w:pPr>
          </w:p>
          <w:p>
            <w:pPr>
              <w:pStyle w:val="TableParagraph"/>
              <w:spacing w:before="0"/>
              <w:ind w:left="50"/>
              <w:rPr>
                <w:sz w:val="20"/>
              </w:rPr>
            </w:pPr>
            <w:r>
              <w:rPr>
                <w:color w:val="231F20"/>
                <w:sz w:val="20"/>
              </w:rPr>
              <w:t>(in millions)</w:t>
            </w:r>
          </w:p>
        </w:tc>
        <w:tc>
          <w:tcPr>
            <w:tcW w:w="1334" w:type="dxa"/>
            <w:tcBorders>
              <w:top w:val="single" w:sz="8" w:space="0" w:color="231F20"/>
              <w:bottom w:val="single" w:sz="8" w:space="0" w:color="231F20"/>
            </w:tcBorders>
          </w:tcPr>
          <w:p>
            <w:pPr>
              <w:pStyle w:val="TableParagraph"/>
              <w:spacing w:line="249" w:lineRule="auto"/>
              <w:ind w:left="198" w:right="182" w:firstLine="279"/>
              <w:rPr>
                <w:b/>
                <w:sz w:val="20"/>
              </w:rPr>
            </w:pPr>
            <w:r>
              <w:rPr>
                <w:b/>
                <w:color w:val="231F20"/>
                <w:sz w:val="20"/>
              </w:rPr>
              <w:t>Fuel derivatives</w:t>
            </w:r>
          </w:p>
        </w:tc>
        <w:tc>
          <w:tcPr>
            <w:tcW w:w="240" w:type="dxa"/>
            <w:tcBorders>
              <w:top w:val="single" w:sz="8" w:space="0" w:color="231F20"/>
            </w:tcBorders>
          </w:tcPr>
          <w:p>
            <w:pPr/>
          </w:p>
        </w:tc>
        <w:tc>
          <w:tcPr>
            <w:tcW w:w="1180" w:type="dxa"/>
            <w:tcBorders>
              <w:top w:val="single" w:sz="8" w:space="0" w:color="231F20"/>
              <w:bottom w:val="single" w:sz="8" w:space="0" w:color="231F20"/>
            </w:tcBorders>
          </w:tcPr>
          <w:p>
            <w:pPr>
              <w:pStyle w:val="TableParagraph"/>
              <w:spacing w:line="249" w:lineRule="auto"/>
              <w:ind w:left="228" w:right="132" w:firstLine="145"/>
              <w:rPr>
                <w:b/>
                <w:sz w:val="20"/>
              </w:rPr>
            </w:pPr>
            <w:r>
              <w:rPr>
                <w:b/>
                <w:color w:val="231F20"/>
                <w:sz w:val="20"/>
              </w:rPr>
              <w:t>Other securities</w:t>
            </w:r>
          </w:p>
        </w:tc>
        <w:tc>
          <w:tcPr>
            <w:tcW w:w="2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before="5"/>
              <w:rPr>
                <w:b/>
                <w:sz w:val="25"/>
              </w:rPr>
            </w:pPr>
          </w:p>
          <w:p>
            <w:pPr>
              <w:pStyle w:val="TableParagraph"/>
              <w:spacing w:before="1"/>
              <w:ind w:left="302"/>
              <w:rPr>
                <w:b/>
                <w:sz w:val="20"/>
              </w:rPr>
            </w:pPr>
            <w:r>
              <w:rPr>
                <w:b/>
                <w:color w:val="231F20"/>
                <w:sz w:val="20"/>
              </w:rPr>
              <w:t>Total</w:t>
            </w:r>
          </w:p>
        </w:tc>
      </w:tr>
      <w:tr>
        <w:trPr>
          <w:trHeight w:val="310" w:hRule="exact"/>
        </w:trPr>
        <w:tc>
          <w:tcPr>
            <w:tcW w:w="5106" w:type="dxa"/>
            <w:shd w:val="clear" w:color="auto" w:fill="D1D3D4"/>
          </w:tcPr>
          <w:p>
            <w:pPr>
              <w:pStyle w:val="TableParagraph"/>
              <w:ind w:left="80"/>
              <w:rPr>
                <w:sz w:val="20"/>
              </w:rPr>
            </w:pPr>
            <w:r>
              <w:rPr>
                <w:color w:val="231F20"/>
                <w:sz w:val="20"/>
              </w:rPr>
              <w:t>Balance at December 31, 2014</w:t>
            </w:r>
          </w:p>
        </w:tc>
        <w:tc>
          <w:tcPr>
            <w:tcW w:w="1334" w:type="dxa"/>
            <w:tcBorders>
              <w:top w:val="single" w:sz="8" w:space="0" w:color="231F20"/>
            </w:tcBorders>
            <w:shd w:val="clear" w:color="auto" w:fill="D1D3D4"/>
          </w:tcPr>
          <w:p>
            <w:pPr>
              <w:pStyle w:val="TableParagraph"/>
              <w:tabs>
                <w:tab w:pos="699" w:val="left" w:leader="none"/>
              </w:tabs>
              <w:ind w:right="48"/>
              <w:jc w:val="right"/>
              <w:rPr>
                <w:sz w:val="20"/>
              </w:rPr>
            </w:pPr>
            <w:r>
              <w:rPr>
                <w:color w:val="231F20"/>
                <w:sz w:val="20"/>
              </w:rPr>
              <w:t>$</w:t>
              <w:tab/>
              <w:t>(1,091)</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99" w:val="left" w:leader="none"/>
              </w:tabs>
              <w:ind w:right="97"/>
              <w:jc w:val="right"/>
              <w:rPr>
                <w:sz w:val="20"/>
              </w:rPr>
            </w:pPr>
            <w:r>
              <w:rPr>
                <w:color w:val="231F20"/>
                <w:sz w:val="20"/>
              </w:rPr>
              <w:t>$</w:t>
              <w:tab/>
              <w:t>32</w:t>
            </w:r>
          </w:p>
        </w:tc>
        <w:tc>
          <w:tcPr>
            <w:tcW w:w="200" w:type="dxa"/>
            <w:shd w:val="clear" w:color="auto" w:fill="D1D3D4"/>
          </w:tcPr>
          <w:p>
            <w:pPr/>
          </w:p>
        </w:tc>
        <w:tc>
          <w:tcPr>
            <w:tcW w:w="1060" w:type="dxa"/>
            <w:tcBorders>
              <w:top w:val="single" w:sz="8" w:space="0" w:color="231F20"/>
            </w:tcBorders>
            <w:shd w:val="clear" w:color="auto" w:fill="D1D3D4"/>
          </w:tcPr>
          <w:p>
            <w:pPr>
              <w:pStyle w:val="TableParagraph"/>
              <w:tabs>
                <w:tab w:pos="425" w:val="left" w:leader="none"/>
              </w:tabs>
              <w:ind w:right="48"/>
              <w:jc w:val="right"/>
              <w:rPr>
                <w:sz w:val="20"/>
              </w:rPr>
            </w:pPr>
            <w:r>
              <w:rPr>
                <w:color w:val="231F20"/>
                <w:sz w:val="20"/>
              </w:rPr>
              <w:t>$</w:t>
              <w:tab/>
              <w:t>(1,059)</w:t>
            </w:r>
          </w:p>
        </w:tc>
      </w:tr>
      <w:tr>
        <w:trPr>
          <w:trHeight w:val="300" w:hRule="exact"/>
        </w:trPr>
        <w:tc>
          <w:tcPr>
            <w:tcW w:w="5106" w:type="dxa"/>
          </w:tcPr>
          <w:p>
            <w:pPr>
              <w:pStyle w:val="TableParagraph"/>
              <w:ind w:left="80"/>
              <w:rPr>
                <w:sz w:val="20"/>
              </w:rPr>
            </w:pPr>
            <w:r>
              <w:rPr>
                <w:color w:val="231F20"/>
                <w:sz w:val="20"/>
              </w:rPr>
              <w:t>Total losses (realized or unrealized)</w:t>
            </w:r>
          </w:p>
        </w:tc>
        <w:tc>
          <w:tcPr>
            <w:tcW w:w="1334" w:type="dxa"/>
          </w:tcPr>
          <w:p>
            <w:pPr/>
          </w:p>
        </w:tc>
        <w:tc>
          <w:tcPr>
            <w:tcW w:w="240" w:type="dxa"/>
          </w:tcPr>
          <w:p>
            <w:pPr/>
          </w:p>
        </w:tc>
        <w:tc>
          <w:tcPr>
            <w:tcW w:w="1180" w:type="dxa"/>
          </w:tcPr>
          <w:p>
            <w:pPr/>
          </w:p>
        </w:tc>
        <w:tc>
          <w:tcPr>
            <w:tcW w:w="200" w:type="dxa"/>
          </w:tcPr>
          <w:p>
            <w:pPr/>
          </w:p>
        </w:tc>
        <w:tc>
          <w:tcPr>
            <w:tcW w:w="1060" w:type="dxa"/>
          </w:tcPr>
          <w:p>
            <w:pPr/>
          </w:p>
        </w:tc>
      </w:tr>
      <w:tr>
        <w:trPr>
          <w:trHeight w:val="300" w:hRule="exact"/>
        </w:trPr>
        <w:tc>
          <w:tcPr>
            <w:tcW w:w="5106" w:type="dxa"/>
            <w:shd w:val="clear" w:color="auto" w:fill="D1D3D4"/>
          </w:tcPr>
          <w:p>
            <w:pPr>
              <w:pStyle w:val="TableParagraph"/>
              <w:ind w:left="280"/>
              <w:rPr>
                <w:sz w:val="20"/>
              </w:rPr>
            </w:pPr>
            <w:r>
              <w:rPr>
                <w:color w:val="231F20"/>
                <w:sz w:val="20"/>
              </w:rPr>
              <w:t>Included in earnings</w:t>
            </w:r>
          </w:p>
        </w:tc>
        <w:tc>
          <w:tcPr>
            <w:tcW w:w="1334" w:type="dxa"/>
            <w:shd w:val="clear" w:color="auto" w:fill="D1D3D4"/>
          </w:tcPr>
          <w:p>
            <w:pPr>
              <w:pStyle w:val="TableParagraph"/>
              <w:ind w:right="48"/>
              <w:jc w:val="right"/>
              <w:rPr>
                <w:sz w:val="20"/>
              </w:rPr>
            </w:pPr>
            <w:r>
              <w:rPr>
                <w:color w:val="231F20"/>
                <w:sz w:val="20"/>
              </w:rPr>
              <w:t>(646)</w:t>
            </w:r>
          </w:p>
        </w:tc>
        <w:tc>
          <w:tcPr>
            <w:tcW w:w="240" w:type="dxa"/>
            <w:shd w:val="clear" w:color="auto" w:fill="D1D3D4"/>
          </w:tcPr>
          <w:p>
            <w:pPr/>
          </w:p>
        </w:tc>
        <w:tc>
          <w:tcPr>
            <w:tcW w:w="1180" w:type="dxa"/>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060" w:type="dxa"/>
            <w:shd w:val="clear" w:color="auto" w:fill="D1D3D4"/>
          </w:tcPr>
          <w:p>
            <w:pPr>
              <w:pStyle w:val="TableParagraph"/>
              <w:ind w:right="48"/>
              <w:jc w:val="right"/>
              <w:rPr>
                <w:sz w:val="20"/>
              </w:rPr>
            </w:pPr>
            <w:r>
              <w:rPr>
                <w:color w:val="231F20"/>
                <w:sz w:val="20"/>
              </w:rPr>
              <w:t>(647)</w:t>
            </w:r>
          </w:p>
        </w:tc>
      </w:tr>
      <w:tr>
        <w:trPr>
          <w:trHeight w:val="300" w:hRule="exact"/>
        </w:trPr>
        <w:tc>
          <w:tcPr>
            <w:tcW w:w="5106" w:type="dxa"/>
          </w:tcPr>
          <w:p>
            <w:pPr>
              <w:pStyle w:val="TableParagraph"/>
              <w:ind w:left="280"/>
              <w:rPr>
                <w:sz w:val="20"/>
              </w:rPr>
            </w:pPr>
            <w:r>
              <w:rPr>
                <w:color w:val="231F20"/>
                <w:sz w:val="20"/>
              </w:rPr>
              <w:t>Included in other comprehensive income</w:t>
            </w:r>
          </w:p>
        </w:tc>
        <w:tc>
          <w:tcPr>
            <w:tcW w:w="1334" w:type="dxa"/>
          </w:tcPr>
          <w:p>
            <w:pPr>
              <w:pStyle w:val="TableParagraph"/>
              <w:ind w:right="48"/>
              <w:jc w:val="right"/>
              <w:rPr>
                <w:sz w:val="20"/>
              </w:rPr>
            </w:pPr>
            <w:r>
              <w:rPr>
                <w:color w:val="231F20"/>
                <w:sz w:val="20"/>
              </w:rPr>
              <w:t>(858)</w:t>
            </w:r>
          </w:p>
        </w:tc>
        <w:tc>
          <w:tcPr>
            <w:tcW w:w="240" w:type="dxa"/>
          </w:tcPr>
          <w:p>
            <w:pPr/>
          </w:p>
        </w:tc>
        <w:tc>
          <w:tcPr>
            <w:tcW w:w="1180" w:type="dxa"/>
          </w:tcPr>
          <w:p>
            <w:pPr>
              <w:pStyle w:val="TableParagraph"/>
              <w:ind w:right="97"/>
              <w:jc w:val="right"/>
              <w:rPr>
                <w:sz w:val="20"/>
              </w:rPr>
            </w:pPr>
            <w:r>
              <w:rPr>
                <w:color w:val="231F20"/>
                <w:sz w:val="20"/>
              </w:rPr>
              <w:t>—</w:t>
            </w:r>
          </w:p>
        </w:tc>
        <w:tc>
          <w:tcPr>
            <w:tcW w:w="200" w:type="dxa"/>
          </w:tcPr>
          <w:p>
            <w:pPr/>
          </w:p>
        </w:tc>
        <w:tc>
          <w:tcPr>
            <w:tcW w:w="1060" w:type="dxa"/>
          </w:tcPr>
          <w:p>
            <w:pPr>
              <w:pStyle w:val="TableParagraph"/>
              <w:ind w:right="48"/>
              <w:jc w:val="right"/>
              <w:rPr>
                <w:sz w:val="20"/>
              </w:rPr>
            </w:pPr>
            <w:r>
              <w:rPr>
                <w:color w:val="231F20"/>
                <w:sz w:val="20"/>
              </w:rPr>
              <w:t>(858)</w:t>
            </w:r>
          </w:p>
        </w:tc>
      </w:tr>
      <w:tr>
        <w:trPr>
          <w:trHeight w:val="300" w:hRule="exact"/>
        </w:trPr>
        <w:tc>
          <w:tcPr>
            <w:tcW w:w="5106" w:type="dxa"/>
            <w:shd w:val="clear" w:color="auto" w:fill="D1D3D4"/>
          </w:tcPr>
          <w:p>
            <w:pPr>
              <w:pStyle w:val="TableParagraph"/>
              <w:ind w:left="80"/>
              <w:rPr>
                <w:sz w:val="20"/>
              </w:rPr>
            </w:pPr>
            <w:r>
              <w:rPr>
                <w:color w:val="231F20"/>
                <w:sz w:val="20"/>
              </w:rPr>
              <w:t>Purchases</w:t>
            </w:r>
          </w:p>
        </w:tc>
        <w:tc>
          <w:tcPr>
            <w:tcW w:w="1334" w:type="dxa"/>
            <w:shd w:val="clear" w:color="auto" w:fill="D1D3D4"/>
          </w:tcPr>
          <w:p>
            <w:pPr>
              <w:pStyle w:val="TableParagraph"/>
              <w:ind w:right="97"/>
              <w:jc w:val="right"/>
              <w:rPr>
                <w:sz w:val="20"/>
              </w:rPr>
            </w:pPr>
            <w:r>
              <w:rPr>
                <w:color w:val="231F20"/>
                <w:sz w:val="20"/>
              </w:rPr>
              <w:t>750</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060" w:type="dxa"/>
            <w:shd w:val="clear" w:color="auto" w:fill="D1D3D4"/>
          </w:tcPr>
          <w:p>
            <w:pPr>
              <w:pStyle w:val="TableParagraph"/>
              <w:ind w:right="99"/>
              <w:jc w:val="right"/>
              <w:rPr>
                <w:sz w:val="20"/>
              </w:rPr>
            </w:pPr>
            <w:r>
              <w:rPr>
                <w:color w:val="231F20"/>
                <w:sz w:val="20"/>
              </w:rPr>
              <w:t>750</w:t>
            </w:r>
          </w:p>
        </w:tc>
      </w:tr>
      <w:tr>
        <w:trPr>
          <w:trHeight w:val="300" w:hRule="exact"/>
        </w:trPr>
        <w:tc>
          <w:tcPr>
            <w:tcW w:w="5106" w:type="dxa"/>
          </w:tcPr>
          <w:p>
            <w:pPr>
              <w:pStyle w:val="TableParagraph"/>
              <w:ind w:left="80"/>
              <w:rPr>
                <w:sz w:val="20"/>
              </w:rPr>
            </w:pPr>
            <w:r>
              <w:rPr>
                <w:color w:val="231F20"/>
                <w:sz w:val="20"/>
              </w:rPr>
              <w:t>Sales</w:t>
            </w:r>
          </w:p>
        </w:tc>
        <w:tc>
          <w:tcPr>
            <w:tcW w:w="1334" w:type="dxa"/>
          </w:tcPr>
          <w:p>
            <w:pPr>
              <w:pStyle w:val="TableParagraph"/>
              <w:ind w:right="48"/>
              <w:jc w:val="right"/>
              <w:rPr>
                <w:sz w:val="20"/>
              </w:rPr>
            </w:pPr>
            <w:r>
              <w:rPr>
                <w:color w:val="231F20"/>
                <w:sz w:val="20"/>
              </w:rPr>
              <w:t>(196)</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(4)</w:t>
            </w:r>
          </w:p>
        </w:tc>
        <w:tc>
          <w:tcPr>
            <w:tcW w:w="200" w:type="dxa"/>
          </w:tcPr>
          <w:p>
            <w:pPr/>
          </w:p>
        </w:tc>
        <w:tc>
          <w:tcPr>
            <w:tcW w:w="1060" w:type="dxa"/>
          </w:tcPr>
          <w:p>
            <w:pPr>
              <w:pStyle w:val="TableParagraph"/>
              <w:ind w:right="48"/>
              <w:jc w:val="right"/>
              <w:rPr>
                <w:sz w:val="20"/>
              </w:rPr>
            </w:pPr>
            <w:r>
              <w:rPr>
                <w:color w:val="231F20"/>
                <w:sz w:val="20"/>
              </w:rPr>
              <w:t>(200)</w:t>
            </w:r>
          </w:p>
        </w:tc>
      </w:tr>
      <w:tr>
        <w:trPr>
          <w:trHeight w:val="315" w:hRule="exact"/>
        </w:trPr>
        <w:tc>
          <w:tcPr>
            <w:tcW w:w="5106" w:type="dxa"/>
            <w:shd w:val="clear" w:color="auto" w:fill="D1D3D4"/>
          </w:tcPr>
          <w:p>
            <w:pPr>
              <w:pStyle w:val="TableParagraph"/>
              <w:ind w:left="80"/>
              <w:rPr>
                <w:sz w:val="20"/>
              </w:rPr>
            </w:pPr>
            <w:r>
              <w:rPr>
                <w:color w:val="231F20"/>
                <w:sz w:val="20"/>
              </w:rPr>
              <w:t>Settlements</w:t>
            </w:r>
          </w:p>
        </w:tc>
        <w:tc>
          <w:tcPr>
            <w:tcW w:w="1334" w:type="dxa"/>
            <w:tcBorders>
              <w:bottom w:val="single" w:sz="4" w:space="0" w:color="231F20"/>
            </w:tcBorders>
            <w:shd w:val="clear" w:color="auto" w:fill="D1D3D4"/>
          </w:tcPr>
          <w:p>
            <w:pPr>
              <w:pStyle w:val="TableParagraph"/>
              <w:ind w:right="97"/>
              <w:jc w:val="right"/>
              <w:rPr>
                <w:sz w:val="20"/>
              </w:rPr>
            </w:pPr>
            <w:r>
              <w:rPr>
                <w:color w:val="231F20"/>
                <w:sz w:val="20"/>
              </w:rPr>
              <w:t>365</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97"/>
              <w:jc w:val="right"/>
              <w:rPr>
                <w:sz w:val="20"/>
              </w:rPr>
            </w:pPr>
            <w:r>
              <w:rPr>
                <w:color w:val="231F20"/>
                <w:sz w:val="20"/>
              </w:rPr>
              <w:t>—</w:t>
            </w:r>
          </w:p>
        </w:tc>
        <w:tc>
          <w:tcPr>
            <w:tcW w:w="200" w:type="dxa"/>
            <w:shd w:val="clear" w:color="auto" w:fill="D1D3D4"/>
          </w:tcPr>
          <w:p>
            <w:pPr/>
          </w:p>
        </w:tc>
        <w:tc>
          <w:tcPr>
            <w:tcW w:w="1060" w:type="dxa"/>
            <w:tcBorders>
              <w:bottom w:val="single" w:sz="4" w:space="0" w:color="231F20"/>
            </w:tcBorders>
            <w:shd w:val="clear" w:color="auto" w:fill="D1D3D4"/>
          </w:tcPr>
          <w:p>
            <w:pPr>
              <w:pStyle w:val="TableParagraph"/>
              <w:ind w:right="97"/>
              <w:jc w:val="right"/>
              <w:rPr>
                <w:sz w:val="20"/>
              </w:rPr>
            </w:pPr>
            <w:r>
              <w:rPr>
                <w:color w:val="231F20"/>
                <w:sz w:val="20"/>
              </w:rPr>
              <w:t>365</w:t>
            </w:r>
          </w:p>
        </w:tc>
      </w:tr>
      <w:tr>
        <w:trPr>
          <w:trHeight w:val="360" w:hRule="exact"/>
        </w:trPr>
        <w:tc>
          <w:tcPr>
            <w:tcW w:w="5106" w:type="dxa"/>
          </w:tcPr>
          <w:p>
            <w:pPr>
              <w:pStyle w:val="TableParagraph"/>
              <w:spacing w:before="73"/>
              <w:ind w:left="80"/>
              <w:rPr>
                <w:sz w:val="20"/>
              </w:rPr>
            </w:pPr>
            <w:r>
              <w:rPr>
                <w:color w:val="231F20"/>
                <w:sz w:val="20"/>
              </w:rPr>
              <w:t>Balance at December 31, 2015</w:t>
            </w:r>
          </w:p>
        </w:tc>
        <w:tc>
          <w:tcPr>
            <w:tcW w:w="1334" w:type="dxa"/>
            <w:tcBorders>
              <w:top w:val="single" w:sz="4" w:space="0" w:color="231F20"/>
              <w:bottom w:val="single" w:sz="4" w:space="0" w:color="231F20"/>
            </w:tcBorders>
          </w:tcPr>
          <w:p>
            <w:pPr>
              <w:pStyle w:val="TableParagraph"/>
              <w:tabs>
                <w:tab w:pos="699" w:val="left" w:leader="none"/>
              </w:tabs>
              <w:ind w:right="48"/>
              <w:jc w:val="right"/>
              <w:rPr>
                <w:sz w:val="20"/>
              </w:rPr>
            </w:pPr>
            <w:r>
              <w:rPr>
                <w:color w:val="231F20"/>
                <w:sz w:val="20"/>
              </w:rPr>
              <w:t>$</w:t>
              <w:tab/>
              <w:t>(1,676)</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99" w:val="left" w:leader="none"/>
              </w:tabs>
              <w:ind w:right="97"/>
              <w:jc w:val="right"/>
              <w:rPr>
                <w:sz w:val="20"/>
              </w:rPr>
            </w:pPr>
            <w:r>
              <w:rPr>
                <w:color w:val="231F20"/>
                <w:sz w:val="20"/>
              </w:rPr>
              <w:t>$</w:t>
              <w:tab/>
              <w:t>27</w:t>
            </w:r>
          </w:p>
        </w:tc>
        <w:tc>
          <w:tcPr>
            <w:tcW w:w="200" w:type="dxa"/>
          </w:tcPr>
          <w:p>
            <w:pPr/>
          </w:p>
        </w:tc>
        <w:tc>
          <w:tcPr>
            <w:tcW w:w="1060" w:type="dxa"/>
            <w:tcBorders>
              <w:top w:val="single" w:sz="4" w:space="0" w:color="231F20"/>
              <w:bottom w:val="single" w:sz="4" w:space="0" w:color="231F20"/>
            </w:tcBorders>
          </w:tcPr>
          <w:p>
            <w:pPr>
              <w:pStyle w:val="TableParagraph"/>
              <w:tabs>
                <w:tab w:pos="425" w:val="left" w:leader="none"/>
              </w:tabs>
              <w:ind w:right="48"/>
              <w:jc w:val="right"/>
              <w:rPr>
                <w:sz w:val="20"/>
              </w:rPr>
            </w:pPr>
            <w:r>
              <w:rPr>
                <w:color w:val="231F20"/>
                <w:sz w:val="20"/>
              </w:rPr>
              <w:t>$</w:t>
              <w:tab/>
              <w:t>(1,649)</w:t>
            </w:r>
          </w:p>
        </w:tc>
      </w:tr>
      <w:tr>
        <w:trPr>
          <w:trHeight w:val="840" w:hRule="exact"/>
        </w:trPr>
        <w:tc>
          <w:tcPr>
            <w:tcW w:w="5106" w:type="dxa"/>
            <w:shd w:val="clear" w:color="auto" w:fill="D1D3D4"/>
          </w:tcPr>
          <w:p>
            <w:pPr>
              <w:pStyle w:val="TableParagraph"/>
              <w:spacing w:line="249" w:lineRule="auto"/>
              <w:ind w:left="280" w:right="274" w:hanging="200"/>
              <w:rPr>
                <w:sz w:val="20"/>
              </w:rPr>
            </w:pPr>
            <w:r>
              <w:rPr>
                <w:color w:val="231F20"/>
                <w:sz w:val="20"/>
              </w:rPr>
              <w:t>The amount of total losses for the period included in earnings attributable to the change in unrealized gains or losses relating to assets still held at December 31, 2015</w:t>
            </w:r>
          </w:p>
        </w:tc>
        <w:tc>
          <w:tcPr>
            <w:tcW w:w="1334"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49" w:val="left" w:leader="none"/>
              </w:tabs>
              <w:spacing w:before="0"/>
              <w:ind w:right="48"/>
              <w:jc w:val="right"/>
              <w:rPr>
                <w:sz w:val="20"/>
              </w:rPr>
            </w:pPr>
            <w:r>
              <w:rPr>
                <w:color w:val="231F20"/>
                <w:sz w:val="20"/>
              </w:rPr>
              <w:t>$</w:t>
              <w:tab/>
              <w:t>(428)</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99" w:val="left" w:leader="none"/>
              </w:tabs>
              <w:spacing w:before="0"/>
              <w:ind w:right="97"/>
              <w:jc w:val="right"/>
              <w:rPr>
                <w:sz w:val="20"/>
              </w:rPr>
            </w:pPr>
            <w:r>
              <w:rPr>
                <w:color w:val="231F20"/>
                <w:sz w:val="20"/>
              </w:rPr>
              <w:t>$</w:t>
              <w:tab/>
              <w:t>—</w:t>
            </w:r>
          </w:p>
        </w:tc>
        <w:tc>
          <w:tcPr>
            <w:tcW w:w="200" w:type="dxa"/>
            <w:shd w:val="clear" w:color="auto" w:fill="D1D3D4"/>
          </w:tcPr>
          <w:p>
            <w:pPr/>
          </w:p>
        </w:tc>
        <w:tc>
          <w:tcPr>
            <w:tcW w:w="106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575" w:val="left" w:leader="none"/>
              </w:tabs>
              <w:spacing w:before="0"/>
              <w:ind w:right="48"/>
              <w:jc w:val="right"/>
              <w:rPr>
                <w:sz w:val="20"/>
              </w:rPr>
            </w:pPr>
            <w:r>
              <w:rPr>
                <w:color w:val="231F20"/>
                <w:sz w:val="20"/>
              </w:rPr>
              <w:t>$</w:t>
              <w:tab/>
              <w:t>(428)</w:t>
            </w:r>
          </w:p>
        </w:tc>
      </w:tr>
    </w:tbl>
    <w:p>
      <w:pPr>
        <w:pStyle w:val="BodyText"/>
        <w:rPr>
          <w:b/>
          <w:sz w:val="25"/>
        </w:rPr>
      </w:pPr>
    </w:p>
    <w:p>
      <w:pPr>
        <w:spacing w:line="249" w:lineRule="auto" w:before="1"/>
        <w:ind w:left="420" w:right="163" w:hanging="300"/>
        <w:jc w:val="left"/>
        <w:rPr>
          <w:sz w:val="20"/>
        </w:rPr>
      </w:pPr>
      <w:r>
        <w:rPr/>
        <w:pict>
          <v:group style="position:absolute;margin-left:324.049988pt;margin-top:-59.114063pt;width:75.2pt;height:.5pt;mso-position-horizontal-relative:page;mso-position-vertical-relative:paragraph;z-index:-388048" coordorigin="6481,-1182" coordsize="1504,10">
            <v:line style="position:absolute" from="6486,-1177" to="7820,-1177" stroked="true" strokeweight=".5pt" strokecolor="#231f20">
              <v:stroke dashstyle="solid"/>
            </v:line>
            <v:line style="position:absolute" from="7820,-1177" to="7980,-1177" stroked="true" strokeweight=".5pt" strokecolor="#231f20">
              <v:stroke dashstyle="solid"/>
            </v:line>
            <w10:wrap type="none"/>
          </v:group>
        </w:pict>
      </w:r>
      <w:r>
        <w:rPr/>
        <w:pict>
          <v:line style="position:absolute;mso-position-horizontal-relative:page;mso-position-vertical-relative:paragraph;z-index:-388024" from="407pt,-58.864063pt" to="462pt,-58.864063pt" stroked="true" strokeweight=".5pt" strokecolor="#231f20">
            <v:stroke dashstyle="solid"/>
            <w10:wrap type="none"/>
          </v:line>
        </w:pict>
      </w:r>
      <w:r>
        <w:rPr/>
        <w:pict>
          <v:line style="position:absolute;mso-position-horizontal-relative:page;mso-position-vertical-relative:paragraph;z-index:-388000" from="472pt,-58.864063pt" to="525pt,-58.864063pt" stroked="true" strokeweight=".5pt" strokecolor="#231f20">
            <v:stroke dashstyle="solid"/>
            <w10:wrap type="none"/>
          </v:line>
        </w:pict>
      </w:r>
      <w:r>
        <w:rPr/>
        <w:pict>
          <v:group style="position:absolute;margin-left:324.049988pt;margin-top:-17.114063pt;width:75.2pt;height:.5pt;mso-position-horizontal-relative:page;mso-position-vertical-relative:paragraph;z-index:-387976" coordorigin="6481,-342" coordsize="1504,10">
            <v:line style="position:absolute" from="6486,-337" to="7820,-337" stroked="true" strokeweight=".5pt" strokecolor="#231f20">
              <v:stroke dashstyle="solid"/>
            </v:line>
            <v:line style="position:absolute" from="7820,-337" to="7980,-337" stroked="true" strokeweight=".5pt" strokecolor="#231f20">
              <v:stroke dashstyle="solid"/>
            </v:line>
            <w10:wrap type="none"/>
          </v:group>
        </w:pict>
      </w:r>
      <w:r>
        <w:rPr/>
        <w:pict>
          <v:line style="position:absolute;mso-position-horizontal-relative:page;mso-position-vertical-relative:paragraph;z-index:-387952" from="407pt,-16.864063pt" to="462pt,-16.864063pt" stroked="true" strokeweight=".5pt" strokecolor="#231f20">
            <v:stroke dashstyle="solid"/>
            <w10:wrap type="none"/>
          </v:line>
        </w:pict>
      </w:r>
      <w:r>
        <w:rPr/>
        <w:pict>
          <v:line style="position:absolute;mso-position-horizontal-relative:page;mso-position-vertical-relative:paragraph;z-index:-387928" from="472pt,-16.864063pt" to="525pt,-16.864063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spacing w:before="4"/>
        <w:rPr>
          <w:sz w:val="12"/>
        </w:rPr>
      </w:pPr>
    </w:p>
    <w:p>
      <w:pPr>
        <w:spacing w:line="249" w:lineRule="auto" w:before="99" w:after="18"/>
        <w:ind w:left="5965" w:right="313" w:hanging="538"/>
        <w:jc w:val="left"/>
        <w:rPr>
          <w:b/>
          <w:sz w:val="20"/>
        </w:rPr>
      </w:pPr>
      <w:r>
        <w:rPr/>
        <w:pict>
          <v:line style="position:absolute;mso-position-horizontal-relative:page;mso-position-vertical-relative:paragraph;z-index:-387904" from="69pt,58.035938pt" to="121.4pt,58.035938pt" stroked="true" strokeweight=".5pt" strokecolor="#231f20">
            <v:stroke dashstyle="solid"/>
            <w10:wrap type="none"/>
          </v:line>
        </w:pict>
      </w:r>
      <w:r>
        <w:rPr>
          <w:b/>
          <w:color w:val="231F20"/>
          <w:sz w:val="20"/>
        </w:rPr>
        <w:t>Fair value measurements using significant unobservable inputs (Level 3)</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0"/>
        <w:gridCol w:w="1300"/>
        <w:gridCol w:w="240"/>
        <w:gridCol w:w="1180"/>
        <w:gridCol w:w="200"/>
        <w:gridCol w:w="1100"/>
      </w:tblGrid>
      <w:tr>
        <w:trPr>
          <w:trHeight w:val="560" w:hRule="exact"/>
        </w:trPr>
        <w:tc>
          <w:tcPr>
            <w:tcW w:w="5100" w:type="dxa"/>
          </w:tcPr>
          <w:p>
            <w:pPr>
              <w:pStyle w:val="TableParagraph"/>
              <w:spacing w:before="4"/>
              <w:rPr>
                <w:b/>
                <w:sz w:val="26"/>
              </w:rPr>
            </w:pPr>
          </w:p>
          <w:p>
            <w:pPr>
              <w:pStyle w:val="TableParagraph"/>
              <w:spacing w:before="0"/>
              <w:ind w:left="50"/>
              <w:rPr>
                <w:sz w:val="20"/>
              </w:rPr>
            </w:pPr>
            <w:r>
              <w:rPr>
                <w:color w:val="231F20"/>
                <w:sz w:val="20"/>
              </w:rPr>
              <w:t>(in millions)</w:t>
            </w:r>
          </w:p>
        </w:tc>
        <w:tc>
          <w:tcPr>
            <w:tcW w:w="1300" w:type="dxa"/>
            <w:tcBorders>
              <w:top w:val="single" w:sz="8" w:space="0" w:color="231F20"/>
              <w:bottom w:val="single" w:sz="8" w:space="0" w:color="231F20"/>
            </w:tcBorders>
          </w:tcPr>
          <w:p>
            <w:pPr>
              <w:pStyle w:val="TableParagraph"/>
              <w:spacing w:line="249" w:lineRule="auto"/>
              <w:ind w:left="182" w:right="164" w:firstLine="279"/>
              <w:rPr>
                <w:b/>
                <w:sz w:val="20"/>
              </w:rPr>
            </w:pPr>
            <w:r>
              <w:rPr>
                <w:b/>
                <w:color w:val="231F20"/>
                <w:sz w:val="20"/>
              </w:rPr>
              <w:t>Fuel derivatives</w:t>
            </w:r>
          </w:p>
        </w:tc>
        <w:tc>
          <w:tcPr>
            <w:tcW w:w="240" w:type="dxa"/>
            <w:tcBorders>
              <w:top w:val="single" w:sz="8" w:space="0" w:color="231F20"/>
            </w:tcBorders>
          </w:tcPr>
          <w:p>
            <w:pPr/>
          </w:p>
        </w:tc>
        <w:tc>
          <w:tcPr>
            <w:tcW w:w="1180" w:type="dxa"/>
            <w:tcBorders>
              <w:top w:val="single" w:sz="8" w:space="0" w:color="231F20"/>
              <w:bottom w:val="single" w:sz="8" w:space="0" w:color="231F20"/>
            </w:tcBorders>
          </w:tcPr>
          <w:p>
            <w:pPr>
              <w:pStyle w:val="TableParagraph"/>
              <w:spacing w:line="249" w:lineRule="auto"/>
              <w:ind w:left="228" w:right="132" w:firstLine="145"/>
              <w:rPr>
                <w:b/>
                <w:sz w:val="20"/>
              </w:rPr>
            </w:pPr>
            <w:r>
              <w:rPr>
                <w:b/>
                <w:color w:val="231F20"/>
                <w:sz w:val="20"/>
              </w:rPr>
              <w:t>Other securities</w:t>
            </w:r>
          </w:p>
        </w:tc>
        <w:tc>
          <w:tcPr>
            <w:tcW w:w="200" w:type="dxa"/>
            <w:tcBorders>
              <w:top w:val="single" w:sz="8" w:space="0" w:color="231F20"/>
            </w:tcBorders>
          </w:tcPr>
          <w:p>
            <w:pPr/>
          </w:p>
        </w:tc>
        <w:tc>
          <w:tcPr>
            <w:tcW w:w="1100" w:type="dxa"/>
            <w:tcBorders>
              <w:top w:val="single" w:sz="8" w:space="0" w:color="231F20"/>
              <w:bottom w:val="single" w:sz="8" w:space="0" w:color="231F20"/>
            </w:tcBorders>
          </w:tcPr>
          <w:p>
            <w:pPr>
              <w:pStyle w:val="TableParagraph"/>
              <w:spacing w:before="5"/>
              <w:rPr>
                <w:b/>
                <w:sz w:val="25"/>
              </w:rPr>
            </w:pPr>
          </w:p>
          <w:p>
            <w:pPr>
              <w:pStyle w:val="TableParagraph"/>
              <w:spacing w:before="1"/>
              <w:ind w:left="322"/>
              <w:rPr>
                <w:b/>
                <w:sz w:val="20"/>
              </w:rPr>
            </w:pPr>
            <w:r>
              <w:rPr>
                <w:b/>
                <w:color w:val="231F20"/>
                <w:sz w:val="20"/>
              </w:rPr>
              <w:t>Total</w:t>
            </w:r>
          </w:p>
        </w:tc>
      </w:tr>
      <w:tr>
        <w:trPr>
          <w:trHeight w:val="310" w:hRule="exact"/>
        </w:trPr>
        <w:tc>
          <w:tcPr>
            <w:tcW w:w="5100" w:type="dxa"/>
            <w:shd w:val="clear" w:color="auto" w:fill="D1D3D4"/>
          </w:tcPr>
          <w:p>
            <w:pPr>
              <w:pStyle w:val="TableParagraph"/>
              <w:ind w:left="80"/>
              <w:rPr>
                <w:sz w:val="20"/>
              </w:rPr>
            </w:pPr>
            <w:r>
              <w:rPr>
                <w:color w:val="231F20"/>
                <w:sz w:val="20"/>
              </w:rPr>
              <w:t>Balance at December 31, 2013</w:t>
            </w:r>
          </w:p>
        </w:tc>
        <w:tc>
          <w:tcPr>
            <w:tcW w:w="1300" w:type="dxa"/>
            <w:tcBorders>
              <w:top w:val="single" w:sz="8" w:space="0" w:color="231F20"/>
            </w:tcBorders>
            <w:shd w:val="clear" w:color="auto" w:fill="D1D3D4"/>
          </w:tcPr>
          <w:p>
            <w:pPr>
              <w:pStyle w:val="TableParagraph"/>
              <w:tabs>
                <w:tab w:pos="899" w:val="left" w:leader="none"/>
              </w:tabs>
              <w:ind w:right="97"/>
              <w:jc w:val="right"/>
              <w:rPr>
                <w:sz w:val="20"/>
              </w:rPr>
            </w:pPr>
            <w:r>
              <w:rPr>
                <w:color w:val="231F20"/>
                <w:sz w:val="20"/>
              </w:rPr>
              <w:t>$</w:t>
              <w:tab/>
              <w:t>172</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99" w:val="left" w:leader="none"/>
              </w:tabs>
              <w:ind w:right="97"/>
              <w:jc w:val="right"/>
              <w:rPr>
                <w:sz w:val="20"/>
              </w:rPr>
            </w:pPr>
            <w:r>
              <w:rPr>
                <w:color w:val="231F20"/>
                <w:sz w:val="20"/>
              </w:rPr>
              <w:t>$</w:t>
              <w:tab/>
              <w:t>44</w:t>
            </w:r>
          </w:p>
        </w:tc>
        <w:tc>
          <w:tcPr>
            <w:tcW w:w="200" w:type="dxa"/>
            <w:shd w:val="clear" w:color="auto" w:fill="D1D3D4"/>
          </w:tcPr>
          <w:p>
            <w:pPr/>
          </w:p>
        </w:tc>
        <w:tc>
          <w:tcPr>
            <w:tcW w:w="1100" w:type="dxa"/>
            <w:tcBorders>
              <w:top w:val="single" w:sz="8" w:space="0" w:color="231F20"/>
            </w:tcBorders>
            <w:shd w:val="clear" w:color="auto" w:fill="D1D3D4"/>
          </w:tcPr>
          <w:p>
            <w:pPr>
              <w:pStyle w:val="TableParagraph"/>
              <w:tabs>
                <w:tab w:pos="699" w:val="left" w:leader="none"/>
              </w:tabs>
              <w:ind w:right="97"/>
              <w:jc w:val="right"/>
              <w:rPr>
                <w:sz w:val="20"/>
              </w:rPr>
            </w:pPr>
            <w:r>
              <w:rPr>
                <w:color w:val="231F20"/>
                <w:sz w:val="20"/>
              </w:rPr>
              <w:t>$</w:t>
              <w:tab/>
              <w:t>216</w:t>
            </w:r>
          </w:p>
        </w:tc>
      </w:tr>
      <w:tr>
        <w:trPr>
          <w:trHeight w:val="300" w:hRule="exact"/>
        </w:trPr>
        <w:tc>
          <w:tcPr>
            <w:tcW w:w="5100" w:type="dxa"/>
          </w:tcPr>
          <w:p>
            <w:pPr>
              <w:pStyle w:val="TableParagraph"/>
              <w:ind w:left="80"/>
              <w:rPr>
                <w:sz w:val="20"/>
              </w:rPr>
            </w:pPr>
            <w:r>
              <w:rPr>
                <w:color w:val="231F20"/>
                <w:sz w:val="20"/>
              </w:rPr>
              <w:t>Total gains or (losses) (realized or unrealized)</w:t>
            </w:r>
          </w:p>
        </w:tc>
        <w:tc>
          <w:tcPr>
            <w:tcW w:w="1300" w:type="dxa"/>
          </w:tcPr>
          <w:p>
            <w:pPr/>
          </w:p>
        </w:tc>
        <w:tc>
          <w:tcPr>
            <w:tcW w:w="240" w:type="dxa"/>
          </w:tcPr>
          <w:p>
            <w:pPr/>
          </w:p>
        </w:tc>
        <w:tc>
          <w:tcPr>
            <w:tcW w:w="1180" w:type="dxa"/>
          </w:tcPr>
          <w:p>
            <w:pPr/>
          </w:p>
        </w:tc>
        <w:tc>
          <w:tcPr>
            <w:tcW w:w="200" w:type="dxa"/>
          </w:tcPr>
          <w:p>
            <w:pPr/>
          </w:p>
        </w:tc>
        <w:tc>
          <w:tcPr>
            <w:tcW w:w="1100" w:type="dxa"/>
          </w:tcPr>
          <w:p>
            <w:pPr/>
          </w:p>
        </w:tc>
      </w:tr>
      <w:tr>
        <w:trPr>
          <w:trHeight w:val="300" w:hRule="exact"/>
        </w:trPr>
        <w:tc>
          <w:tcPr>
            <w:tcW w:w="5100" w:type="dxa"/>
            <w:shd w:val="clear" w:color="auto" w:fill="D1D3D4"/>
          </w:tcPr>
          <w:p>
            <w:pPr>
              <w:pStyle w:val="TableParagraph"/>
              <w:ind w:left="280"/>
              <w:rPr>
                <w:sz w:val="20"/>
              </w:rPr>
            </w:pPr>
            <w:r>
              <w:rPr>
                <w:color w:val="231F20"/>
                <w:sz w:val="20"/>
              </w:rPr>
              <w:t>Included in earnings</w:t>
            </w:r>
          </w:p>
        </w:tc>
        <w:tc>
          <w:tcPr>
            <w:tcW w:w="1300" w:type="dxa"/>
            <w:shd w:val="clear" w:color="auto" w:fill="D1D3D4"/>
          </w:tcPr>
          <w:p>
            <w:pPr>
              <w:pStyle w:val="TableParagraph"/>
              <w:ind w:right="48"/>
              <w:jc w:val="right"/>
              <w:rPr>
                <w:sz w:val="20"/>
              </w:rPr>
            </w:pPr>
            <w:r>
              <w:rPr>
                <w:color w:val="231F20"/>
                <w:sz w:val="20"/>
              </w:rPr>
              <w:t>(439)</w:t>
            </w:r>
          </w:p>
        </w:tc>
        <w:tc>
          <w:tcPr>
            <w:tcW w:w="240" w:type="dxa"/>
            <w:shd w:val="clear" w:color="auto" w:fill="D1D3D4"/>
          </w:tcPr>
          <w:p>
            <w:pP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100" w:type="dxa"/>
            <w:shd w:val="clear" w:color="auto" w:fill="D1D3D4"/>
          </w:tcPr>
          <w:p>
            <w:pPr>
              <w:pStyle w:val="TableParagraph"/>
              <w:ind w:right="48"/>
              <w:jc w:val="right"/>
              <w:rPr>
                <w:sz w:val="20"/>
              </w:rPr>
            </w:pPr>
            <w:r>
              <w:rPr>
                <w:color w:val="231F20"/>
                <w:sz w:val="20"/>
              </w:rPr>
              <w:t>(439)</w:t>
            </w:r>
          </w:p>
        </w:tc>
      </w:tr>
      <w:tr>
        <w:trPr>
          <w:trHeight w:val="300" w:hRule="exact"/>
        </w:trPr>
        <w:tc>
          <w:tcPr>
            <w:tcW w:w="5100" w:type="dxa"/>
          </w:tcPr>
          <w:p>
            <w:pPr>
              <w:pStyle w:val="TableParagraph"/>
              <w:ind w:left="280"/>
              <w:rPr>
                <w:sz w:val="20"/>
              </w:rPr>
            </w:pPr>
            <w:r>
              <w:rPr>
                <w:color w:val="231F20"/>
                <w:sz w:val="20"/>
              </w:rPr>
              <w:t>Included in other comprehensive income</w:t>
            </w:r>
          </w:p>
        </w:tc>
        <w:tc>
          <w:tcPr>
            <w:tcW w:w="1300" w:type="dxa"/>
          </w:tcPr>
          <w:p>
            <w:pPr>
              <w:pStyle w:val="TableParagraph"/>
              <w:ind w:right="48"/>
              <w:jc w:val="right"/>
              <w:rPr>
                <w:sz w:val="20"/>
              </w:rPr>
            </w:pPr>
            <w:r>
              <w:rPr>
                <w:color w:val="231F20"/>
                <w:sz w:val="20"/>
              </w:rPr>
              <w:t>(1,091)</w:t>
            </w:r>
          </w:p>
        </w:tc>
        <w:tc>
          <w:tcPr>
            <w:tcW w:w="240" w:type="dxa"/>
          </w:tcPr>
          <w:p>
            <w:pPr/>
          </w:p>
        </w:tc>
        <w:tc>
          <w:tcPr>
            <w:tcW w:w="1180" w:type="dxa"/>
          </w:tcPr>
          <w:p>
            <w:pPr>
              <w:pStyle w:val="TableParagraph"/>
              <w:ind w:right="97"/>
              <w:jc w:val="right"/>
              <w:rPr>
                <w:sz w:val="20"/>
              </w:rPr>
            </w:pPr>
            <w:r>
              <w:rPr>
                <w:color w:val="231F20"/>
                <w:sz w:val="20"/>
              </w:rPr>
              <w:t>3</w:t>
            </w:r>
          </w:p>
        </w:tc>
        <w:tc>
          <w:tcPr>
            <w:tcW w:w="200" w:type="dxa"/>
          </w:tcPr>
          <w:p>
            <w:pPr/>
          </w:p>
        </w:tc>
        <w:tc>
          <w:tcPr>
            <w:tcW w:w="1100" w:type="dxa"/>
          </w:tcPr>
          <w:p>
            <w:pPr>
              <w:pStyle w:val="TableParagraph"/>
              <w:ind w:right="48"/>
              <w:jc w:val="right"/>
              <w:rPr>
                <w:sz w:val="20"/>
              </w:rPr>
            </w:pPr>
            <w:r>
              <w:rPr>
                <w:color w:val="231F20"/>
                <w:sz w:val="20"/>
              </w:rPr>
              <w:t>(1,088)</w:t>
            </w:r>
          </w:p>
        </w:tc>
      </w:tr>
      <w:tr>
        <w:trPr>
          <w:trHeight w:val="300" w:hRule="exact"/>
        </w:trPr>
        <w:tc>
          <w:tcPr>
            <w:tcW w:w="5100" w:type="dxa"/>
            <w:shd w:val="clear" w:color="auto" w:fill="D1D3D4"/>
          </w:tcPr>
          <w:p>
            <w:pPr>
              <w:pStyle w:val="TableParagraph"/>
              <w:ind w:left="80"/>
              <w:rPr>
                <w:sz w:val="20"/>
              </w:rPr>
            </w:pPr>
            <w:r>
              <w:rPr>
                <w:color w:val="231F20"/>
                <w:sz w:val="20"/>
              </w:rPr>
              <w:t>Purchases</w:t>
            </w:r>
          </w:p>
        </w:tc>
        <w:tc>
          <w:tcPr>
            <w:tcW w:w="1300" w:type="dxa"/>
            <w:shd w:val="clear" w:color="auto" w:fill="D1D3D4"/>
          </w:tcPr>
          <w:p>
            <w:pPr>
              <w:pStyle w:val="TableParagraph"/>
              <w:ind w:right="97"/>
              <w:jc w:val="right"/>
              <w:rPr>
                <w:sz w:val="20"/>
              </w:rPr>
            </w:pPr>
            <w:r>
              <w:rPr>
                <w:color w:val="231F20"/>
                <w:sz w:val="20"/>
              </w:rPr>
              <w:t>403</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99"/>
              <w:jc w:val="right"/>
              <w:rPr>
                <w:sz w:val="20"/>
              </w:rPr>
            </w:pPr>
            <w:r>
              <w:rPr>
                <w:color w:val="231F20"/>
                <w:sz w:val="20"/>
              </w:rPr>
              <w:t>—</w:t>
            </w:r>
          </w:p>
        </w:tc>
        <w:tc>
          <w:tcPr>
            <w:tcW w:w="200" w:type="dxa"/>
            <w:shd w:val="clear" w:color="auto" w:fill="D1D3D4"/>
          </w:tcPr>
          <w:p>
            <w:pPr/>
          </w:p>
        </w:tc>
        <w:tc>
          <w:tcPr>
            <w:tcW w:w="1100" w:type="dxa"/>
            <w:shd w:val="clear" w:color="auto" w:fill="D1D3D4"/>
          </w:tcPr>
          <w:p>
            <w:pPr>
              <w:pStyle w:val="TableParagraph"/>
              <w:ind w:right="99"/>
              <w:jc w:val="right"/>
              <w:rPr>
                <w:sz w:val="20"/>
              </w:rPr>
            </w:pPr>
            <w:r>
              <w:rPr>
                <w:color w:val="231F20"/>
                <w:sz w:val="20"/>
              </w:rPr>
              <w:t>403</w:t>
            </w:r>
          </w:p>
        </w:tc>
      </w:tr>
      <w:tr>
        <w:trPr>
          <w:trHeight w:val="300" w:hRule="exact"/>
        </w:trPr>
        <w:tc>
          <w:tcPr>
            <w:tcW w:w="5100" w:type="dxa"/>
          </w:tcPr>
          <w:p>
            <w:pPr>
              <w:pStyle w:val="TableParagraph"/>
              <w:ind w:left="80"/>
              <w:rPr>
                <w:sz w:val="20"/>
              </w:rPr>
            </w:pPr>
            <w:r>
              <w:rPr>
                <w:color w:val="231F20"/>
                <w:sz w:val="20"/>
              </w:rPr>
              <w:t>Sales</w:t>
            </w:r>
          </w:p>
        </w:tc>
        <w:tc>
          <w:tcPr>
            <w:tcW w:w="1300" w:type="dxa"/>
          </w:tcPr>
          <w:p>
            <w:pPr>
              <w:pStyle w:val="TableParagraph"/>
              <w:ind w:right="48"/>
              <w:jc w:val="right"/>
              <w:rPr>
                <w:sz w:val="20"/>
              </w:rPr>
            </w:pPr>
            <w:r>
              <w:rPr>
                <w:color w:val="231F20"/>
                <w:sz w:val="20"/>
              </w:rPr>
              <w:t>(155)</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(15)</w:t>
            </w:r>
          </w:p>
        </w:tc>
        <w:tc>
          <w:tcPr>
            <w:tcW w:w="200" w:type="dxa"/>
          </w:tcPr>
          <w:p>
            <w:pPr/>
          </w:p>
        </w:tc>
        <w:tc>
          <w:tcPr>
            <w:tcW w:w="1100" w:type="dxa"/>
          </w:tcPr>
          <w:p>
            <w:pPr>
              <w:pStyle w:val="TableParagraph"/>
              <w:ind w:right="48"/>
              <w:jc w:val="right"/>
              <w:rPr>
                <w:sz w:val="20"/>
              </w:rPr>
            </w:pPr>
            <w:r>
              <w:rPr>
                <w:color w:val="231F20"/>
                <w:sz w:val="20"/>
              </w:rPr>
              <w:t>(170)</w:t>
            </w:r>
          </w:p>
        </w:tc>
      </w:tr>
      <w:tr>
        <w:trPr>
          <w:trHeight w:val="315" w:hRule="exact"/>
        </w:trPr>
        <w:tc>
          <w:tcPr>
            <w:tcW w:w="5100" w:type="dxa"/>
            <w:shd w:val="clear" w:color="auto" w:fill="D1D3D4"/>
          </w:tcPr>
          <w:p>
            <w:pPr>
              <w:pStyle w:val="TableParagraph"/>
              <w:ind w:left="80"/>
              <w:rPr>
                <w:sz w:val="20"/>
              </w:rPr>
            </w:pPr>
            <w:r>
              <w:rPr>
                <w:color w:val="231F20"/>
                <w:sz w:val="20"/>
              </w:rPr>
              <w:t>Settlements</w:t>
            </w:r>
          </w:p>
        </w:tc>
        <w:tc>
          <w:tcPr>
            <w:tcW w:w="1300" w:type="dxa"/>
            <w:tcBorders>
              <w:bottom w:val="single" w:sz="4" w:space="0" w:color="231F20"/>
            </w:tcBorders>
            <w:shd w:val="clear" w:color="auto" w:fill="D1D3D4"/>
          </w:tcPr>
          <w:p>
            <w:pPr>
              <w:pStyle w:val="TableParagraph"/>
              <w:ind w:right="97"/>
              <w:jc w:val="right"/>
              <w:rPr>
                <w:sz w:val="20"/>
              </w:rPr>
            </w:pPr>
            <w:r>
              <w:rPr>
                <w:color w:val="231F20"/>
                <w:sz w:val="20"/>
              </w:rPr>
              <w:t>19</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97"/>
              <w:jc w:val="right"/>
              <w:rPr>
                <w:sz w:val="20"/>
              </w:rPr>
            </w:pPr>
            <w:r>
              <w:rPr>
                <w:color w:val="231F20"/>
                <w:sz w:val="20"/>
              </w:rPr>
              <w:t>—</w:t>
            </w:r>
          </w:p>
        </w:tc>
        <w:tc>
          <w:tcPr>
            <w:tcW w:w="200" w:type="dxa"/>
            <w:shd w:val="clear" w:color="auto" w:fill="D1D3D4"/>
          </w:tcPr>
          <w:p>
            <w:pPr/>
          </w:p>
        </w:tc>
        <w:tc>
          <w:tcPr>
            <w:tcW w:w="1100" w:type="dxa"/>
            <w:tcBorders>
              <w:bottom w:val="single" w:sz="4" w:space="0" w:color="231F20"/>
            </w:tcBorders>
            <w:shd w:val="clear" w:color="auto" w:fill="D1D3D4"/>
          </w:tcPr>
          <w:p>
            <w:pPr>
              <w:pStyle w:val="TableParagraph"/>
              <w:ind w:right="97"/>
              <w:jc w:val="right"/>
              <w:rPr>
                <w:sz w:val="20"/>
              </w:rPr>
            </w:pPr>
            <w:r>
              <w:rPr>
                <w:color w:val="231F20"/>
                <w:sz w:val="20"/>
              </w:rPr>
              <w:t>19</w:t>
            </w:r>
          </w:p>
        </w:tc>
      </w:tr>
      <w:tr>
        <w:trPr>
          <w:trHeight w:val="360" w:hRule="exact"/>
        </w:trPr>
        <w:tc>
          <w:tcPr>
            <w:tcW w:w="5100" w:type="dxa"/>
          </w:tcPr>
          <w:p>
            <w:pPr>
              <w:pStyle w:val="TableParagraph"/>
              <w:spacing w:before="73"/>
              <w:ind w:left="80"/>
              <w:rPr>
                <w:sz w:val="20"/>
              </w:rPr>
            </w:pPr>
            <w:r>
              <w:rPr>
                <w:color w:val="231F20"/>
                <w:sz w:val="20"/>
              </w:rPr>
              <w:t>Balance at December 31, 2014</w:t>
            </w:r>
          </w:p>
        </w:tc>
        <w:tc>
          <w:tcPr>
            <w:tcW w:w="1300" w:type="dxa"/>
            <w:tcBorders>
              <w:top w:val="single" w:sz="4" w:space="0" w:color="231F20"/>
              <w:bottom w:val="single" w:sz="4" w:space="0" w:color="231F20"/>
            </w:tcBorders>
          </w:tcPr>
          <w:p>
            <w:pPr>
              <w:pStyle w:val="TableParagraph"/>
              <w:tabs>
                <w:tab w:pos="665" w:val="left" w:leader="none"/>
              </w:tabs>
              <w:ind w:right="48"/>
              <w:jc w:val="right"/>
              <w:rPr>
                <w:sz w:val="20"/>
              </w:rPr>
            </w:pPr>
            <w:r>
              <w:rPr>
                <w:color w:val="231F20"/>
                <w:sz w:val="20"/>
              </w:rPr>
              <w:t>$</w:t>
              <w:tab/>
              <w:t>(1,091)</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99" w:val="left" w:leader="none"/>
              </w:tabs>
              <w:ind w:right="97"/>
              <w:jc w:val="right"/>
              <w:rPr>
                <w:sz w:val="20"/>
              </w:rPr>
            </w:pPr>
            <w:r>
              <w:rPr>
                <w:color w:val="231F20"/>
                <w:sz w:val="20"/>
              </w:rPr>
              <w:t>$</w:t>
              <w:tab/>
              <w:t>32</w:t>
            </w:r>
          </w:p>
        </w:tc>
        <w:tc>
          <w:tcPr>
            <w:tcW w:w="200" w:type="dxa"/>
          </w:tcPr>
          <w:p>
            <w:pPr/>
          </w:p>
        </w:tc>
        <w:tc>
          <w:tcPr>
            <w:tcW w:w="1100" w:type="dxa"/>
            <w:tcBorders>
              <w:top w:val="single" w:sz="4" w:space="0" w:color="231F20"/>
              <w:bottom w:val="double" w:sz="7" w:space="0" w:color="231F20"/>
            </w:tcBorders>
          </w:tcPr>
          <w:p>
            <w:pPr>
              <w:pStyle w:val="TableParagraph"/>
              <w:tabs>
                <w:tab w:pos="465" w:val="left" w:leader="none"/>
              </w:tabs>
              <w:spacing w:before="68"/>
              <w:ind w:right="48"/>
              <w:jc w:val="right"/>
              <w:rPr>
                <w:sz w:val="20"/>
              </w:rPr>
            </w:pPr>
            <w:r>
              <w:rPr>
                <w:color w:val="231F20"/>
                <w:sz w:val="20"/>
              </w:rPr>
              <w:t>$</w:t>
              <w:tab/>
              <w:t>(1,059)</w:t>
            </w:r>
          </w:p>
        </w:tc>
      </w:tr>
      <w:tr>
        <w:trPr>
          <w:trHeight w:val="840" w:hRule="exact"/>
        </w:trPr>
        <w:tc>
          <w:tcPr>
            <w:tcW w:w="5100" w:type="dxa"/>
            <w:shd w:val="clear" w:color="auto" w:fill="D1D3D4"/>
          </w:tcPr>
          <w:p>
            <w:pPr>
              <w:pStyle w:val="TableParagraph"/>
              <w:spacing w:line="249" w:lineRule="auto"/>
              <w:ind w:left="280" w:right="268" w:hanging="200"/>
              <w:rPr>
                <w:sz w:val="20"/>
              </w:rPr>
            </w:pPr>
            <w:r>
              <w:rPr>
                <w:color w:val="231F20"/>
                <w:sz w:val="20"/>
              </w:rPr>
              <w:t>The amount of total losses for the period included in earnings attributable to the change in unrealized gains or losses relating to assets still held at December 31, 2014</w:t>
            </w:r>
          </w:p>
        </w:tc>
        <w:tc>
          <w:tcPr>
            <w:tcW w:w="130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15" w:val="left" w:leader="none"/>
              </w:tabs>
              <w:spacing w:before="0"/>
              <w:ind w:right="48"/>
              <w:jc w:val="right"/>
              <w:rPr>
                <w:sz w:val="20"/>
              </w:rPr>
            </w:pPr>
            <w:r>
              <w:rPr>
                <w:color w:val="231F20"/>
                <w:sz w:val="20"/>
              </w:rPr>
              <w:t>$</w:t>
              <w:tab/>
              <w:t>(450)</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99" w:val="left" w:leader="none"/>
              </w:tabs>
              <w:spacing w:before="0"/>
              <w:ind w:right="97"/>
              <w:jc w:val="right"/>
              <w:rPr>
                <w:sz w:val="20"/>
              </w:rPr>
            </w:pPr>
            <w:r>
              <w:rPr>
                <w:color w:val="231F20"/>
                <w:sz w:val="20"/>
              </w:rPr>
              <w:t>$</w:t>
              <w:tab/>
              <w:t>—</w:t>
            </w:r>
          </w:p>
        </w:tc>
        <w:tc>
          <w:tcPr>
            <w:tcW w:w="200" w:type="dxa"/>
            <w:shd w:val="clear" w:color="auto" w:fill="D1D3D4"/>
          </w:tcPr>
          <w:p>
            <w:pPr/>
          </w:p>
        </w:tc>
        <w:tc>
          <w:tcPr>
            <w:tcW w:w="1100" w:type="dxa"/>
            <w:tcBorders>
              <w:top w:val="double" w:sz="7" w:space="0" w:color="231F20"/>
              <w:bottom w:val="single" w:sz="4" w:space="0" w:color="231F20"/>
            </w:tcBorders>
            <w:shd w:val="clear" w:color="auto" w:fill="D1D3D4"/>
          </w:tcPr>
          <w:p>
            <w:pPr>
              <w:pStyle w:val="TableParagraph"/>
              <w:spacing w:before="0"/>
              <w:rPr>
                <w:b/>
                <w:sz w:val="22"/>
              </w:rPr>
            </w:pPr>
          </w:p>
          <w:p>
            <w:pPr>
              <w:pStyle w:val="TableParagraph"/>
              <w:spacing w:before="2"/>
              <w:rPr>
                <w:b/>
                <w:sz w:val="22"/>
              </w:rPr>
            </w:pPr>
          </w:p>
          <w:p>
            <w:pPr>
              <w:pStyle w:val="TableParagraph"/>
              <w:tabs>
                <w:tab w:pos="615" w:val="left" w:leader="none"/>
              </w:tabs>
              <w:spacing w:before="0"/>
              <w:ind w:right="48"/>
              <w:jc w:val="right"/>
              <w:rPr>
                <w:sz w:val="20"/>
              </w:rPr>
            </w:pPr>
            <w:r>
              <w:rPr>
                <w:color w:val="231F20"/>
                <w:sz w:val="20"/>
              </w:rPr>
              <w:t>$</w:t>
              <w:tab/>
              <w:t>(450)</w:t>
            </w:r>
          </w:p>
        </w:tc>
      </w:tr>
    </w:tbl>
    <w:p>
      <w:pPr>
        <w:pStyle w:val="BodyText"/>
        <w:rPr>
          <w:b/>
          <w:sz w:val="25"/>
        </w:rPr>
      </w:pPr>
    </w:p>
    <w:p>
      <w:pPr>
        <w:spacing w:line="249" w:lineRule="auto" w:before="1"/>
        <w:ind w:left="420" w:right="163" w:hanging="300"/>
        <w:jc w:val="left"/>
        <w:rPr>
          <w:sz w:val="20"/>
        </w:rPr>
      </w:pPr>
      <w:r>
        <w:rPr/>
        <w:pict>
          <v:group style="position:absolute;margin-left:323.75pt;margin-top:-59.114063pt;width:73.5pt;height:.5pt;mso-position-horizontal-relative:page;mso-position-vertical-relative:paragraph;z-index:-387880" coordorigin="6475,-1182" coordsize="1470,10">
            <v:line style="position:absolute" from="6480,-1177" to="7780,-1177" stroked="true" strokeweight=".5pt" strokecolor="#231f20">
              <v:stroke dashstyle="solid"/>
            </v:line>
            <v:line style="position:absolute" from="7780,-1177" to="7940,-1177" stroked="true" strokeweight=".5pt" strokecolor="#231f20">
              <v:stroke dashstyle="solid"/>
            </v:line>
            <w10:wrap type="none"/>
          </v:group>
        </w:pict>
      </w:r>
      <w:r>
        <w:rPr/>
        <w:pict>
          <v:line style="position:absolute;mso-position-horizontal-relative:page;mso-position-vertical-relative:paragraph;z-index:-387856" from="405pt,-58.864063pt" to="460pt,-58.864063pt" stroked="true" strokeweight=".5pt" strokecolor="#231f20">
            <v:stroke dashstyle="solid"/>
            <w10:wrap type="none"/>
          </v:line>
        </w:pict>
      </w:r>
      <w:r>
        <w:rPr/>
        <w:pict>
          <v:group style="position:absolute;margin-left:323.75pt;margin-top:-17.114063pt;width:73.5pt;height:.5pt;mso-position-horizontal-relative:page;mso-position-vertical-relative:paragraph;z-index:-387832" coordorigin="6475,-342" coordsize="1470,10">
            <v:line style="position:absolute" from="6480,-337" to="7780,-337" stroked="true" strokeweight=".5pt" strokecolor="#231f20">
              <v:stroke dashstyle="solid"/>
            </v:line>
            <v:line style="position:absolute" from="7780,-337" to="7940,-337" stroked="true" strokeweight=".5pt" strokecolor="#231f20">
              <v:stroke dashstyle="solid"/>
            </v:line>
            <w10:wrap type="none"/>
          </v:group>
        </w:pict>
      </w:r>
      <w:r>
        <w:rPr/>
        <w:pict>
          <v:line style="position:absolute;mso-position-horizontal-relative:page;mso-position-vertical-relative:paragraph;z-index:-387808" from="405pt,-16.864063pt" to="460pt,-16.864063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spacing w:after="0" w:line="249" w:lineRule="auto"/>
        <w:jc w:val="left"/>
        <w:rPr>
          <w:sz w:val="20"/>
        </w:rPr>
        <w:sectPr>
          <w:pgSz w:w="11880" w:h="15480"/>
          <w:pgMar w:header="0" w:footer="1240" w:top="1240" w:bottom="1420" w:left="1260" w:right="1260"/>
        </w:sectPr>
      </w:pPr>
    </w:p>
    <w:p>
      <w:pPr>
        <w:pStyle w:val="BodyText"/>
        <w:spacing w:line="247" w:lineRule="auto" w:before="74"/>
        <w:ind w:left="120" w:right="117"/>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w:t>
      </w:r>
    </w:p>
    <w:p>
      <w:pPr>
        <w:pStyle w:val="BodyText"/>
        <w:spacing w:before="9"/>
        <w:rPr>
          <w:sz w:val="20"/>
        </w:rPr>
      </w:pPr>
    </w:p>
    <w:p>
      <w:pPr>
        <w:pStyle w:val="BodyText"/>
        <w:spacing w:line="247" w:lineRule="auto"/>
        <w:ind w:left="120" w:right="119"/>
        <w:jc w:val="both"/>
      </w:pPr>
      <w:r>
        <w:rPr>
          <w:color w:val="231F20"/>
        </w:rPr>
        <w:t>The following table presents a range of the unobservable inputs utilized in the fair value measurements of the Company’s fuel derivatives classified as Level 3 at December 31, 2015:</w:t>
      </w:r>
    </w:p>
    <w:p>
      <w:pPr>
        <w:pStyle w:val="BodyText"/>
        <w:spacing w:before="1"/>
        <w:rPr>
          <w:sz w:val="12"/>
        </w:rPr>
      </w:pPr>
    </w:p>
    <w:p>
      <w:pPr>
        <w:spacing w:before="99" w:after="16"/>
        <w:ind w:left="1923" w:right="0" w:firstLine="0"/>
        <w:jc w:val="left"/>
        <w:rPr>
          <w:b/>
          <w:sz w:val="20"/>
        </w:rPr>
      </w:pPr>
      <w:r>
        <w:rPr>
          <w:b/>
          <w:color w:val="231F20"/>
          <w:sz w:val="20"/>
        </w:rPr>
        <w:t>Quantitative information about Level 3 fair value measurements</w:t>
      </w:r>
    </w:p>
    <w:p>
      <w:pPr>
        <w:pStyle w:val="BodyText"/>
        <w:spacing w:line="20" w:lineRule="exact"/>
        <w:ind w:left="110"/>
        <w:rPr>
          <w:sz w:val="2"/>
        </w:rPr>
      </w:pPr>
      <w:r>
        <w:rPr>
          <w:sz w:val="2"/>
        </w:rPr>
        <w:pict>
          <v:group style="width:457pt;height:1pt;mso-position-horizontal-relative:char;mso-position-vertical-relative:line" coordorigin="0,0" coordsize="9140,20">
            <v:line style="position:absolute" from="10,10" to="9130,10" stroked="true" strokeweight="1pt" strokecolor="#231f20">
              <v:stroke dashstyle="solid"/>
            </v:line>
          </v:group>
        </w:pict>
      </w:r>
      <w:r>
        <w:rPr>
          <w:sz w:val="2"/>
        </w:rPr>
      </w:r>
    </w:p>
    <w:p>
      <w:pPr>
        <w:tabs>
          <w:tab w:pos="2028" w:val="left" w:leader="none"/>
          <w:tab w:pos="3952" w:val="left" w:leader="none"/>
          <w:tab w:pos="5738" w:val="left" w:leader="none"/>
        </w:tabs>
        <w:spacing w:before="53"/>
        <w:ind w:left="0" w:right="177" w:firstLine="0"/>
        <w:jc w:val="right"/>
        <w:rPr>
          <w:b/>
          <w:sz w:val="20"/>
        </w:rPr>
      </w:pPr>
      <w:r>
        <w:rPr/>
        <w:pict>
          <v:group style="position:absolute;margin-left:69pt;margin-top:14.985937pt;width:456pt;height:16pt;mso-position-horizontal-relative:page;mso-position-vertical-relative:paragraph;z-index:-387760" coordorigin="1380,300" coordsize="9120,320">
            <v:rect style="position:absolute;left:1380;top:320;width:9120;height:300" filled="true" fillcolor="#d1d3d4" stroked="false">
              <v:fill type="solid"/>
            </v:rect>
            <v:rect style="position:absolute;left:1390;top:300;width:9100;height:20" filled="true" fillcolor="#231f20" stroked="false">
              <v:fill type="solid"/>
            </v:rect>
            <w10:wrap type="none"/>
          </v:group>
        </w:pict>
      </w:r>
      <w:r>
        <w:rPr>
          <w:b/>
          <w:color w:val="231F20"/>
          <w:sz w:val="20"/>
        </w:rPr>
        <w:t>Valuation</w:t>
      </w:r>
      <w:r>
        <w:rPr>
          <w:b/>
          <w:color w:val="231F20"/>
          <w:spacing w:val="-1"/>
          <w:sz w:val="20"/>
        </w:rPr>
        <w:t> </w:t>
      </w:r>
      <w:r>
        <w:rPr>
          <w:b/>
          <w:color w:val="231F20"/>
          <w:sz w:val="20"/>
        </w:rPr>
        <w:t>technique</w:t>
        <w:tab/>
        <w:t>Unobservable</w:t>
      </w:r>
      <w:r>
        <w:rPr>
          <w:b/>
          <w:color w:val="231F20"/>
          <w:spacing w:val="-1"/>
          <w:sz w:val="20"/>
        </w:rPr>
        <w:t> </w:t>
      </w:r>
      <w:r>
        <w:rPr>
          <w:b/>
          <w:color w:val="231F20"/>
          <w:sz w:val="20"/>
        </w:rPr>
        <w:t>input</w:t>
        <w:tab/>
        <w:t>Period (by year)</w:t>
        <w:tab/>
        <w:t>Range</w:t>
      </w:r>
    </w:p>
    <w:p>
      <w:pPr>
        <w:tabs>
          <w:tab w:pos="3518" w:val="left" w:leader="none"/>
          <w:tab w:pos="5210" w:val="left" w:leader="none"/>
          <w:tab w:pos="7839" w:val="left" w:leader="none"/>
          <w:tab w:pos="8545" w:val="left" w:leader="none"/>
        </w:tabs>
        <w:spacing w:line="312" w:lineRule="auto" w:before="89"/>
        <w:ind w:left="7840" w:right="178" w:hanging="7660"/>
        <w:jc w:val="right"/>
        <w:rPr>
          <w:sz w:val="20"/>
        </w:rPr>
      </w:pPr>
      <w:r>
        <w:rPr/>
        <w:pict>
          <v:rect style="position:absolute;margin-left:69pt;margin-top:31.785938pt;width:456pt;height:15pt;mso-position-horizontal-relative:page;mso-position-vertical-relative:paragraph;z-index:-387736" filled="true" fillcolor="#d1d3d4" stroked="false">
            <v:fill type="solid"/>
            <w10:wrap type="none"/>
          </v:rect>
        </w:pict>
      </w:r>
      <w:r>
        <w:rPr>
          <w:color w:val="231F20"/>
          <w:sz w:val="20"/>
        </w:rPr>
        <w:t>Fuel derivatives</w:t>
        <w:tab/>
        <w:t>Option model</w:t>
        <w:tab/>
        <w:t>Implied</w:t>
      </w:r>
      <w:r>
        <w:rPr>
          <w:color w:val="231F20"/>
          <w:spacing w:val="1"/>
          <w:sz w:val="20"/>
        </w:rPr>
        <w:t> </w:t>
      </w:r>
      <w:r>
        <w:rPr>
          <w:color w:val="231F20"/>
          <w:sz w:val="20"/>
        </w:rPr>
        <w:t>volatility</w:t>
        <w:tab/>
        <w:t>2016</w:t>
        <w:tab/>
        <w:t>26-47% 2017</w:t>
        <w:tab/>
        <w:t>25-37%</w:t>
      </w:r>
    </w:p>
    <w:p>
      <w:pPr>
        <w:tabs>
          <w:tab w:pos="705" w:val="left" w:leader="none"/>
        </w:tabs>
        <w:spacing w:before="3"/>
        <w:ind w:left="0" w:right="178" w:firstLine="0"/>
        <w:jc w:val="right"/>
        <w:rPr>
          <w:sz w:val="20"/>
        </w:rPr>
      </w:pPr>
      <w:r>
        <w:rPr>
          <w:color w:val="231F20"/>
          <w:sz w:val="20"/>
        </w:rPr>
        <w:t>2018</w:t>
        <w:tab/>
        <w:t>16-31%</w:t>
      </w:r>
    </w:p>
    <w:p>
      <w:pPr>
        <w:pStyle w:val="BodyText"/>
        <w:spacing w:before="1"/>
        <w:rPr>
          <w:sz w:val="27"/>
        </w:rPr>
      </w:pPr>
    </w:p>
    <w:p>
      <w:pPr>
        <w:pStyle w:val="BodyText"/>
        <w:spacing w:line="247" w:lineRule="auto"/>
        <w:ind w:left="120" w:right="117"/>
        <w:jc w:val="both"/>
      </w:pPr>
      <w:r>
        <w:rPr>
          <w:color w:val="231F20"/>
        </w:rPr>
        <w:t>The carrying amounts and estimated fair values of the Company’s long-term debt (including current maturities), as well as the applicable fair value hierarchy tier, at December 31, 2015,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w:t>
      </w:r>
      <w:r>
        <w:rPr>
          <w:color w:val="231F20"/>
          <w:spacing w:val="-4"/>
        </w:rPr>
        <w:t> </w:t>
      </w:r>
      <w:r>
        <w:rPr>
          <w:color w:val="231F20"/>
        </w:rPr>
        <w:t>items.</w:t>
      </w:r>
    </w:p>
    <w:p>
      <w:pPr>
        <w:pStyle w:val="BodyText"/>
        <w:spacing w:before="1"/>
        <w:rPr>
          <w:sz w:val="12"/>
        </w:rPr>
      </w:pPr>
    </w:p>
    <w:p>
      <w:pPr>
        <w:spacing w:after="0"/>
        <w:rPr>
          <w:sz w:val="12"/>
        </w:rPr>
        <w:sectPr>
          <w:pgSz w:w="11880" w:h="15480"/>
          <w:pgMar w:header="0" w:footer="1240" w:top="1240" w:bottom="1420" w:left="1260" w:right="1260"/>
        </w:sectPr>
      </w:pPr>
    </w:p>
    <w:p>
      <w:pPr>
        <w:pStyle w:val="BodyText"/>
        <w:spacing w:before="5"/>
        <w:rPr>
          <w:sz w:val="29"/>
        </w:rPr>
      </w:pPr>
    </w:p>
    <w:p>
      <w:pPr>
        <w:tabs>
          <w:tab w:pos="5031" w:val="left" w:leader="none"/>
        </w:tabs>
        <w:spacing w:before="1"/>
        <w:ind w:left="170" w:right="0" w:firstLine="0"/>
        <w:jc w:val="left"/>
        <w:rPr>
          <w:b/>
          <w:sz w:val="20"/>
        </w:rPr>
      </w:pPr>
      <w:r>
        <w:rPr>
          <w:b/>
          <w:color w:val="231F20"/>
          <w:sz w:val="20"/>
        </w:rPr>
        <w:t>(in millions)</w:t>
        <w:tab/>
        <w:t>Carrying value</w:t>
      </w:r>
    </w:p>
    <w:p>
      <w:pPr>
        <w:spacing w:line="249" w:lineRule="auto" w:before="99"/>
        <w:ind w:left="50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99"/>
        <w:ind w:left="359" w:right="152"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327" w:space="40"/>
            <w:col w:w="1350" w:space="40"/>
            <w:col w:w="160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83"/>
        <w:gridCol w:w="2099"/>
        <w:gridCol w:w="997"/>
        <w:gridCol w:w="1241"/>
      </w:tblGrid>
      <w:tr>
        <w:trPr>
          <w:trHeight w:val="310" w:hRule="exact"/>
        </w:trPr>
        <w:tc>
          <w:tcPr>
            <w:tcW w:w="4783" w:type="dxa"/>
            <w:tcBorders>
              <w:top w:val="single" w:sz="8" w:space="0" w:color="231F20"/>
            </w:tcBorders>
            <w:shd w:val="clear" w:color="auto" w:fill="D1D3D4"/>
          </w:tcPr>
          <w:p>
            <w:pPr>
              <w:pStyle w:val="TableParagraph"/>
              <w:ind w:left="80"/>
              <w:rPr>
                <w:sz w:val="20"/>
              </w:rPr>
            </w:pPr>
            <w:r>
              <w:rPr>
                <w:color w:val="231F20"/>
                <w:sz w:val="20"/>
              </w:rPr>
              <w:t>5.75% Notes due 2016</w:t>
            </w:r>
          </w:p>
        </w:tc>
        <w:tc>
          <w:tcPr>
            <w:tcW w:w="2099" w:type="dxa"/>
            <w:tcBorders>
              <w:top w:val="single" w:sz="8" w:space="0" w:color="231F20"/>
            </w:tcBorders>
            <w:shd w:val="clear" w:color="auto" w:fill="D1D3D4"/>
          </w:tcPr>
          <w:p>
            <w:pPr>
              <w:pStyle w:val="TableParagraph"/>
              <w:tabs>
                <w:tab w:pos="1173" w:val="left" w:leader="none"/>
              </w:tabs>
              <w:ind w:left="78"/>
              <w:rPr>
                <w:sz w:val="20"/>
              </w:rPr>
            </w:pPr>
            <w:r>
              <w:rPr>
                <w:color w:val="231F20"/>
                <w:sz w:val="20"/>
              </w:rPr>
              <w:t>$</w:t>
              <w:tab/>
              <w:t>307</w:t>
            </w:r>
            <w:r>
              <w:rPr>
                <w:color w:val="231F20"/>
                <w:spacing w:val="10"/>
                <w:sz w:val="20"/>
              </w:rPr>
              <w:t> </w:t>
            </w:r>
            <w:r>
              <w:rPr>
                <w:color w:val="231F20"/>
                <w:sz w:val="20"/>
              </w:rPr>
              <w:t>$</w:t>
            </w:r>
          </w:p>
        </w:tc>
        <w:tc>
          <w:tcPr>
            <w:tcW w:w="997" w:type="dxa"/>
            <w:tcBorders>
              <w:top w:val="single" w:sz="8" w:space="0" w:color="231F20"/>
            </w:tcBorders>
            <w:shd w:val="clear" w:color="auto" w:fill="D1D3D4"/>
          </w:tcPr>
          <w:p>
            <w:pPr>
              <w:pStyle w:val="TableParagraph"/>
              <w:ind w:right="229"/>
              <w:jc w:val="right"/>
              <w:rPr>
                <w:sz w:val="20"/>
              </w:rPr>
            </w:pPr>
            <w:r>
              <w:rPr>
                <w:color w:val="231F20"/>
                <w:sz w:val="20"/>
              </w:rPr>
              <w:t>319</w:t>
            </w:r>
          </w:p>
        </w:tc>
        <w:tc>
          <w:tcPr>
            <w:tcW w:w="1241" w:type="dxa"/>
            <w:tcBorders>
              <w:top w:val="single" w:sz="8" w:space="0" w:color="231F20"/>
            </w:tcBorders>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5.25% Convertible Senior Notes due 2016</w:t>
            </w:r>
          </w:p>
        </w:tc>
        <w:tc>
          <w:tcPr>
            <w:tcW w:w="2099" w:type="dxa"/>
          </w:tcPr>
          <w:p>
            <w:pPr>
              <w:pStyle w:val="TableParagraph"/>
              <w:ind w:left="1173"/>
              <w:rPr>
                <w:sz w:val="20"/>
              </w:rPr>
            </w:pPr>
            <w:r>
              <w:rPr>
                <w:color w:val="231F20"/>
                <w:sz w:val="20"/>
              </w:rPr>
              <w:t>111</w:t>
            </w:r>
          </w:p>
        </w:tc>
        <w:tc>
          <w:tcPr>
            <w:tcW w:w="997" w:type="dxa"/>
          </w:tcPr>
          <w:p>
            <w:pPr>
              <w:pStyle w:val="TableParagraph"/>
              <w:ind w:right="229"/>
              <w:jc w:val="right"/>
              <w:rPr>
                <w:sz w:val="20"/>
              </w:rPr>
            </w:pPr>
            <w:r>
              <w:rPr>
                <w:color w:val="231F20"/>
                <w:sz w:val="20"/>
              </w:rPr>
              <w:t>324</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5.125% Notes due 2017</w:t>
            </w:r>
          </w:p>
        </w:tc>
        <w:tc>
          <w:tcPr>
            <w:tcW w:w="2099" w:type="dxa"/>
            <w:shd w:val="clear" w:color="auto" w:fill="D1D3D4"/>
          </w:tcPr>
          <w:p>
            <w:pPr>
              <w:pStyle w:val="TableParagraph"/>
              <w:ind w:left="1173"/>
              <w:rPr>
                <w:sz w:val="20"/>
              </w:rPr>
            </w:pPr>
            <w:r>
              <w:rPr>
                <w:color w:val="231F20"/>
                <w:sz w:val="20"/>
              </w:rPr>
              <w:t>309</w:t>
            </w:r>
          </w:p>
        </w:tc>
        <w:tc>
          <w:tcPr>
            <w:tcW w:w="997" w:type="dxa"/>
            <w:shd w:val="clear" w:color="auto" w:fill="D1D3D4"/>
          </w:tcPr>
          <w:p>
            <w:pPr>
              <w:pStyle w:val="TableParagraph"/>
              <w:ind w:right="229"/>
              <w:jc w:val="right"/>
              <w:rPr>
                <w:sz w:val="20"/>
              </w:rPr>
            </w:pPr>
            <w:r>
              <w:rPr>
                <w:color w:val="231F20"/>
                <w:sz w:val="20"/>
              </w:rPr>
              <w:t>321</w:t>
            </w:r>
          </w:p>
        </w:tc>
        <w:tc>
          <w:tcPr>
            <w:tcW w:w="1241" w:type="dxa"/>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French Credit Agreements due 2018 - 1.53%</w:t>
            </w:r>
          </w:p>
        </w:tc>
        <w:tc>
          <w:tcPr>
            <w:tcW w:w="2099" w:type="dxa"/>
          </w:tcPr>
          <w:p>
            <w:pPr>
              <w:pStyle w:val="TableParagraph"/>
              <w:ind w:left="1273"/>
              <w:rPr>
                <w:sz w:val="20"/>
              </w:rPr>
            </w:pPr>
            <w:r>
              <w:rPr>
                <w:color w:val="231F20"/>
                <w:sz w:val="20"/>
              </w:rPr>
              <w:t>25</w:t>
            </w:r>
          </w:p>
        </w:tc>
        <w:tc>
          <w:tcPr>
            <w:tcW w:w="997" w:type="dxa"/>
          </w:tcPr>
          <w:p>
            <w:pPr>
              <w:pStyle w:val="TableParagraph"/>
              <w:ind w:right="229"/>
              <w:jc w:val="right"/>
              <w:rPr>
                <w:sz w:val="20"/>
              </w:rPr>
            </w:pPr>
            <w:r>
              <w:rPr>
                <w:color w:val="231F20"/>
                <w:sz w:val="20"/>
              </w:rPr>
              <w:t>25</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pacing w:val="-4"/>
                <w:sz w:val="20"/>
              </w:rPr>
              <w:t>Fixed-rate </w:t>
            </w:r>
            <w:r>
              <w:rPr>
                <w:color w:val="231F20"/>
                <w:spacing w:val="-3"/>
                <w:sz w:val="20"/>
              </w:rPr>
              <w:t>737 </w:t>
            </w:r>
            <w:r>
              <w:rPr>
                <w:color w:val="231F20"/>
                <w:spacing w:val="-4"/>
                <w:sz w:val="20"/>
              </w:rPr>
              <w:t>Aircraft Notes payable through </w:t>
            </w:r>
            <w:r>
              <w:rPr>
                <w:color w:val="231F20"/>
                <w:spacing w:val="-3"/>
                <w:sz w:val="20"/>
              </w:rPr>
              <w:t>2018 </w:t>
            </w:r>
            <w:r>
              <w:rPr>
                <w:color w:val="231F20"/>
                <w:sz w:val="20"/>
              </w:rPr>
              <w:t>- </w:t>
            </w:r>
            <w:r>
              <w:rPr>
                <w:color w:val="231F20"/>
                <w:spacing w:val="-4"/>
                <w:sz w:val="20"/>
              </w:rPr>
              <w:t>7.02%</w:t>
            </w:r>
          </w:p>
        </w:tc>
        <w:tc>
          <w:tcPr>
            <w:tcW w:w="2099" w:type="dxa"/>
            <w:shd w:val="clear" w:color="auto" w:fill="D1D3D4"/>
          </w:tcPr>
          <w:p>
            <w:pPr>
              <w:pStyle w:val="TableParagraph"/>
              <w:ind w:left="1274"/>
              <w:rPr>
                <w:sz w:val="20"/>
              </w:rPr>
            </w:pPr>
            <w:r>
              <w:rPr>
                <w:color w:val="231F20"/>
                <w:sz w:val="20"/>
              </w:rPr>
              <w:t>17</w:t>
            </w:r>
          </w:p>
        </w:tc>
        <w:tc>
          <w:tcPr>
            <w:tcW w:w="997" w:type="dxa"/>
            <w:shd w:val="clear" w:color="auto" w:fill="D1D3D4"/>
          </w:tcPr>
          <w:p>
            <w:pPr>
              <w:pStyle w:val="TableParagraph"/>
              <w:ind w:right="229"/>
              <w:jc w:val="right"/>
              <w:rPr>
                <w:sz w:val="20"/>
              </w:rPr>
            </w:pPr>
            <w:r>
              <w:rPr>
                <w:color w:val="231F20"/>
                <w:sz w:val="20"/>
              </w:rPr>
              <w:t>17</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2.75% Notes due 2019</w:t>
            </w:r>
          </w:p>
        </w:tc>
        <w:tc>
          <w:tcPr>
            <w:tcW w:w="2099" w:type="dxa"/>
          </w:tcPr>
          <w:p>
            <w:pPr>
              <w:pStyle w:val="TableParagraph"/>
              <w:ind w:left="1173"/>
              <w:rPr>
                <w:sz w:val="20"/>
              </w:rPr>
            </w:pPr>
            <w:r>
              <w:rPr>
                <w:color w:val="231F20"/>
                <w:sz w:val="20"/>
              </w:rPr>
              <w:t>303</w:t>
            </w:r>
          </w:p>
        </w:tc>
        <w:tc>
          <w:tcPr>
            <w:tcW w:w="997" w:type="dxa"/>
          </w:tcPr>
          <w:p>
            <w:pPr>
              <w:pStyle w:val="TableParagraph"/>
              <w:ind w:right="229"/>
              <w:jc w:val="right"/>
              <w:rPr>
                <w:sz w:val="20"/>
              </w:rPr>
            </w:pPr>
            <w:r>
              <w:rPr>
                <w:color w:val="231F20"/>
                <w:sz w:val="20"/>
              </w:rPr>
              <w:t>307</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Term Loan Agreement due 2019 - 6.315%</w:t>
            </w:r>
          </w:p>
        </w:tc>
        <w:tc>
          <w:tcPr>
            <w:tcW w:w="2099" w:type="dxa"/>
            <w:shd w:val="clear" w:color="auto" w:fill="D1D3D4"/>
          </w:tcPr>
          <w:p>
            <w:pPr>
              <w:pStyle w:val="TableParagraph"/>
              <w:ind w:left="1173"/>
              <w:rPr>
                <w:sz w:val="20"/>
              </w:rPr>
            </w:pPr>
            <w:r>
              <w:rPr>
                <w:color w:val="231F20"/>
                <w:sz w:val="20"/>
              </w:rPr>
              <w:t>143</w:t>
            </w:r>
          </w:p>
        </w:tc>
        <w:tc>
          <w:tcPr>
            <w:tcW w:w="997" w:type="dxa"/>
            <w:shd w:val="clear" w:color="auto" w:fill="D1D3D4"/>
          </w:tcPr>
          <w:p>
            <w:pPr>
              <w:pStyle w:val="TableParagraph"/>
              <w:ind w:right="229"/>
              <w:jc w:val="right"/>
              <w:rPr>
                <w:sz w:val="20"/>
              </w:rPr>
            </w:pPr>
            <w:r>
              <w:rPr>
                <w:color w:val="231F20"/>
                <w:sz w:val="20"/>
              </w:rPr>
              <w:t>147</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Term Loan Agreement due 2019 - 4.84%</w:t>
            </w:r>
          </w:p>
        </w:tc>
        <w:tc>
          <w:tcPr>
            <w:tcW w:w="2099" w:type="dxa"/>
          </w:tcPr>
          <w:p>
            <w:pPr>
              <w:pStyle w:val="TableParagraph"/>
              <w:ind w:left="1273"/>
              <w:rPr>
                <w:sz w:val="20"/>
              </w:rPr>
            </w:pPr>
            <w:r>
              <w:rPr>
                <w:color w:val="231F20"/>
                <w:sz w:val="20"/>
              </w:rPr>
              <w:t>36</w:t>
            </w:r>
          </w:p>
        </w:tc>
        <w:tc>
          <w:tcPr>
            <w:tcW w:w="997" w:type="dxa"/>
          </w:tcPr>
          <w:p>
            <w:pPr>
              <w:pStyle w:val="TableParagraph"/>
              <w:ind w:right="229"/>
              <w:jc w:val="right"/>
              <w:rPr>
                <w:sz w:val="20"/>
              </w:rPr>
            </w:pPr>
            <w:r>
              <w:rPr>
                <w:color w:val="231F20"/>
                <w:sz w:val="20"/>
              </w:rPr>
              <w:t>37</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z w:val="20"/>
              </w:rPr>
              <w:t>2.65% Notes due 2020</w:t>
            </w:r>
          </w:p>
        </w:tc>
        <w:tc>
          <w:tcPr>
            <w:tcW w:w="2099" w:type="dxa"/>
            <w:shd w:val="clear" w:color="auto" w:fill="D1D3D4"/>
          </w:tcPr>
          <w:p>
            <w:pPr>
              <w:pStyle w:val="TableParagraph"/>
              <w:ind w:left="1173"/>
              <w:rPr>
                <w:sz w:val="20"/>
              </w:rPr>
            </w:pPr>
            <w:r>
              <w:rPr>
                <w:color w:val="231F20"/>
                <w:sz w:val="20"/>
              </w:rPr>
              <w:t>494</w:t>
            </w:r>
          </w:p>
        </w:tc>
        <w:tc>
          <w:tcPr>
            <w:tcW w:w="997" w:type="dxa"/>
            <w:shd w:val="clear" w:color="auto" w:fill="D1D3D4"/>
          </w:tcPr>
          <w:p>
            <w:pPr>
              <w:pStyle w:val="TableParagraph"/>
              <w:ind w:right="229"/>
              <w:jc w:val="right"/>
              <w:rPr>
                <w:sz w:val="20"/>
              </w:rPr>
            </w:pPr>
            <w:r>
              <w:rPr>
                <w:color w:val="231F20"/>
                <w:sz w:val="20"/>
              </w:rPr>
              <w:t>493</w:t>
            </w:r>
          </w:p>
        </w:tc>
        <w:tc>
          <w:tcPr>
            <w:tcW w:w="1241" w:type="dxa"/>
            <w:shd w:val="clear" w:color="auto" w:fill="D1D3D4"/>
          </w:tcPr>
          <w:p>
            <w:pPr>
              <w:pStyle w:val="TableParagraph"/>
              <w:ind w:left="231"/>
              <w:rPr>
                <w:sz w:val="20"/>
              </w:rPr>
            </w:pPr>
            <w:r>
              <w:rPr>
                <w:color w:val="231F20"/>
                <w:sz w:val="20"/>
              </w:rPr>
              <w:t>Level 2</w:t>
            </w:r>
          </w:p>
        </w:tc>
      </w:tr>
      <w:tr>
        <w:trPr>
          <w:trHeight w:val="300" w:hRule="exact"/>
        </w:trPr>
        <w:tc>
          <w:tcPr>
            <w:tcW w:w="4783" w:type="dxa"/>
          </w:tcPr>
          <w:p>
            <w:pPr>
              <w:pStyle w:val="TableParagraph"/>
              <w:ind w:left="80"/>
              <w:rPr>
                <w:sz w:val="20"/>
              </w:rPr>
            </w:pPr>
            <w:r>
              <w:rPr>
                <w:color w:val="231F20"/>
                <w:sz w:val="20"/>
              </w:rPr>
              <w:t>Term Loan Agreement due 2020 - 5.223%</w:t>
            </w:r>
          </w:p>
        </w:tc>
        <w:tc>
          <w:tcPr>
            <w:tcW w:w="2099" w:type="dxa"/>
          </w:tcPr>
          <w:p>
            <w:pPr>
              <w:pStyle w:val="TableParagraph"/>
              <w:ind w:left="1173"/>
              <w:rPr>
                <w:sz w:val="20"/>
              </w:rPr>
            </w:pPr>
            <w:r>
              <w:rPr>
                <w:color w:val="231F20"/>
                <w:sz w:val="20"/>
              </w:rPr>
              <w:t>329</w:t>
            </w:r>
          </w:p>
        </w:tc>
        <w:tc>
          <w:tcPr>
            <w:tcW w:w="997" w:type="dxa"/>
          </w:tcPr>
          <w:p>
            <w:pPr>
              <w:pStyle w:val="TableParagraph"/>
              <w:ind w:right="229"/>
              <w:jc w:val="right"/>
              <w:rPr>
                <w:sz w:val="20"/>
              </w:rPr>
            </w:pPr>
            <w:r>
              <w:rPr>
                <w:color w:val="231F20"/>
                <w:sz w:val="20"/>
              </w:rPr>
              <w:t>323</w:t>
            </w:r>
          </w:p>
        </w:tc>
        <w:tc>
          <w:tcPr>
            <w:tcW w:w="1241" w:type="dxa"/>
          </w:tcPr>
          <w:p>
            <w:pPr>
              <w:pStyle w:val="TableParagraph"/>
              <w:ind w:left="231"/>
              <w:rPr>
                <w:sz w:val="20"/>
              </w:rPr>
            </w:pPr>
            <w:r>
              <w:rPr>
                <w:color w:val="231F20"/>
                <w:sz w:val="20"/>
              </w:rPr>
              <w:t>Level 3</w:t>
            </w:r>
          </w:p>
        </w:tc>
      </w:tr>
      <w:tr>
        <w:trPr>
          <w:trHeight w:val="300" w:hRule="exact"/>
        </w:trPr>
        <w:tc>
          <w:tcPr>
            <w:tcW w:w="4783" w:type="dxa"/>
            <w:shd w:val="clear" w:color="auto" w:fill="D1D3D4"/>
          </w:tcPr>
          <w:p>
            <w:pPr>
              <w:pStyle w:val="TableParagraph"/>
              <w:ind w:left="80"/>
              <w:rPr>
                <w:sz w:val="20"/>
              </w:rPr>
            </w:pPr>
            <w:r>
              <w:rPr>
                <w:color w:val="231F20"/>
                <w:sz w:val="20"/>
              </w:rPr>
              <w:t>Floating-rate 737 Aircraft Notes payable through 2020</w:t>
            </w:r>
          </w:p>
        </w:tc>
        <w:tc>
          <w:tcPr>
            <w:tcW w:w="2099" w:type="dxa"/>
            <w:shd w:val="clear" w:color="auto" w:fill="D1D3D4"/>
          </w:tcPr>
          <w:p>
            <w:pPr>
              <w:pStyle w:val="TableParagraph"/>
              <w:ind w:left="1173"/>
              <w:rPr>
                <w:sz w:val="20"/>
              </w:rPr>
            </w:pPr>
            <w:r>
              <w:rPr>
                <w:color w:val="231F20"/>
                <w:sz w:val="20"/>
              </w:rPr>
              <w:t>257</w:t>
            </w:r>
          </w:p>
        </w:tc>
        <w:tc>
          <w:tcPr>
            <w:tcW w:w="997" w:type="dxa"/>
            <w:shd w:val="clear" w:color="auto" w:fill="D1D3D4"/>
          </w:tcPr>
          <w:p>
            <w:pPr>
              <w:pStyle w:val="TableParagraph"/>
              <w:ind w:right="229"/>
              <w:jc w:val="right"/>
              <w:rPr>
                <w:sz w:val="20"/>
              </w:rPr>
            </w:pPr>
            <w:r>
              <w:rPr>
                <w:color w:val="231F20"/>
                <w:sz w:val="20"/>
              </w:rPr>
              <w:t>253</w:t>
            </w:r>
          </w:p>
        </w:tc>
        <w:tc>
          <w:tcPr>
            <w:tcW w:w="1241" w:type="dxa"/>
            <w:shd w:val="clear" w:color="auto" w:fill="D1D3D4"/>
          </w:tcPr>
          <w:p>
            <w:pPr>
              <w:pStyle w:val="TableParagraph"/>
              <w:ind w:left="231"/>
              <w:rPr>
                <w:sz w:val="20"/>
              </w:rPr>
            </w:pPr>
            <w:r>
              <w:rPr>
                <w:color w:val="231F20"/>
                <w:sz w:val="20"/>
              </w:rPr>
              <w:t>Level 3</w:t>
            </w:r>
          </w:p>
        </w:tc>
      </w:tr>
      <w:tr>
        <w:trPr>
          <w:trHeight w:val="300" w:hRule="exact"/>
        </w:trPr>
        <w:tc>
          <w:tcPr>
            <w:tcW w:w="4783" w:type="dxa"/>
          </w:tcPr>
          <w:p>
            <w:pPr>
              <w:pStyle w:val="TableParagraph"/>
              <w:ind w:left="80"/>
              <w:rPr>
                <w:sz w:val="20"/>
              </w:rPr>
            </w:pPr>
            <w:r>
              <w:rPr>
                <w:color w:val="231F20"/>
                <w:sz w:val="20"/>
              </w:rPr>
              <w:t>Pass Through Certificates due 2022 - 6.24%</w:t>
            </w:r>
          </w:p>
        </w:tc>
        <w:tc>
          <w:tcPr>
            <w:tcW w:w="2099" w:type="dxa"/>
          </w:tcPr>
          <w:p>
            <w:pPr>
              <w:pStyle w:val="TableParagraph"/>
              <w:ind w:left="1173"/>
              <w:rPr>
                <w:sz w:val="20"/>
              </w:rPr>
            </w:pPr>
            <w:r>
              <w:rPr>
                <w:color w:val="231F20"/>
                <w:sz w:val="20"/>
              </w:rPr>
              <w:t>340</w:t>
            </w:r>
          </w:p>
        </w:tc>
        <w:tc>
          <w:tcPr>
            <w:tcW w:w="997" w:type="dxa"/>
          </w:tcPr>
          <w:p>
            <w:pPr>
              <w:pStyle w:val="TableParagraph"/>
              <w:ind w:right="229"/>
              <w:jc w:val="right"/>
              <w:rPr>
                <w:sz w:val="20"/>
              </w:rPr>
            </w:pPr>
            <w:r>
              <w:rPr>
                <w:color w:val="231F20"/>
                <w:sz w:val="20"/>
              </w:rPr>
              <w:t>382</w:t>
            </w:r>
          </w:p>
        </w:tc>
        <w:tc>
          <w:tcPr>
            <w:tcW w:w="1241" w:type="dxa"/>
          </w:tcPr>
          <w:p>
            <w:pPr>
              <w:pStyle w:val="TableParagraph"/>
              <w:ind w:left="231"/>
              <w:rPr>
                <w:sz w:val="20"/>
              </w:rPr>
            </w:pPr>
            <w:r>
              <w:rPr>
                <w:color w:val="231F20"/>
                <w:sz w:val="20"/>
              </w:rPr>
              <w:t>Level 2</w:t>
            </w:r>
          </w:p>
        </w:tc>
      </w:tr>
      <w:tr>
        <w:trPr>
          <w:trHeight w:val="300" w:hRule="exact"/>
        </w:trPr>
        <w:tc>
          <w:tcPr>
            <w:tcW w:w="4783" w:type="dxa"/>
            <w:shd w:val="clear" w:color="auto" w:fill="D1D3D4"/>
          </w:tcPr>
          <w:p>
            <w:pPr>
              <w:pStyle w:val="TableParagraph"/>
              <w:ind w:left="80"/>
              <w:rPr>
                <w:sz w:val="20"/>
              </w:rPr>
            </w:pPr>
            <w:r>
              <w:rPr>
                <w:color w:val="231F20"/>
                <w:sz w:val="20"/>
              </w:rPr>
              <w:t>7.375% Debentures due 2027</w:t>
            </w:r>
          </w:p>
        </w:tc>
        <w:tc>
          <w:tcPr>
            <w:tcW w:w="2099" w:type="dxa"/>
            <w:shd w:val="clear" w:color="auto" w:fill="D1D3D4"/>
          </w:tcPr>
          <w:p>
            <w:pPr>
              <w:pStyle w:val="TableParagraph"/>
              <w:ind w:left="1173"/>
              <w:rPr>
                <w:sz w:val="20"/>
              </w:rPr>
            </w:pPr>
            <w:r>
              <w:rPr>
                <w:color w:val="231F20"/>
                <w:sz w:val="20"/>
              </w:rPr>
              <w:t>132</w:t>
            </w:r>
          </w:p>
        </w:tc>
        <w:tc>
          <w:tcPr>
            <w:tcW w:w="997" w:type="dxa"/>
            <w:shd w:val="clear" w:color="auto" w:fill="D1D3D4"/>
          </w:tcPr>
          <w:p>
            <w:pPr>
              <w:pStyle w:val="TableParagraph"/>
              <w:ind w:right="229"/>
              <w:jc w:val="right"/>
              <w:rPr>
                <w:sz w:val="20"/>
              </w:rPr>
            </w:pPr>
            <w:r>
              <w:rPr>
                <w:color w:val="231F20"/>
                <w:sz w:val="20"/>
              </w:rPr>
              <w:t>154</w:t>
            </w:r>
          </w:p>
        </w:tc>
        <w:tc>
          <w:tcPr>
            <w:tcW w:w="1241" w:type="dxa"/>
            <w:shd w:val="clear" w:color="auto" w:fill="D1D3D4"/>
          </w:tcPr>
          <w:p>
            <w:pPr>
              <w:pStyle w:val="TableParagraph"/>
              <w:ind w:left="231"/>
              <w:rPr>
                <w:sz w:val="20"/>
              </w:rPr>
            </w:pPr>
            <w:r>
              <w:rPr>
                <w:color w:val="231F20"/>
                <w:sz w:val="20"/>
              </w:rPr>
              <w:t>Level 2</w:t>
            </w:r>
          </w:p>
        </w:tc>
      </w:tr>
    </w:tbl>
    <w:p>
      <w:pPr>
        <w:spacing w:after="0"/>
        <w:rPr>
          <w:sz w:val="20"/>
        </w:rPr>
        <w:sectPr>
          <w:type w:val="continuous"/>
          <w:pgSz w:w="11880" w:h="15480"/>
          <w:pgMar w:top="1260" w:bottom="280" w:left="1260" w:right="1260"/>
        </w:sectPr>
      </w:pPr>
    </w:p>
    <w:p>
      <w:pPr>
        <w:pStyle w:val="Heading1"/>
        <w:numPr>
          <w:ilvl w:val="0"/>
          <w:numId w:val="14"/>
        </w:numPr>
        <w:tabs>
          <w:tab w:pos="450" w:val="left" w:leader="none"/>
        </w:tabs>
        <w:spacing w:line="240" w:lineRule="auto" w:before="74" w:after="0"/>
        <w:ind w:left="450" w:right="0" w:hanging="330"/>
        <w:jc w:val="both"/>
      </w:pPr>
      <w:r>
        <w:rPr>
          <w:color w:val="231F20"/>
        </w:rPr>
        <w:t>ACCUMULATED OTHER COMPREHENSIVE INCOME</w:t>
      </w:r>
      <w:r>
        <w:rPr>
          <w:color w:val="231F20"/>
          <w:spacing w:val="3"/>
        </w:rPr>
        <w:t> </w:t>
      </w:r>
      <w:r>
        <w:rPr>
          <w:color w:val="231F20"/>
        </w:rPr>
        <w:t>(LOSS)</w:t>
      </w:r>
    </w:p>
    <w:p>
      <w:pPr>
        <w:pStyle w:val="BodyText"/>
        <w:spacing w:line="247" w:lineRule="auto" w:before="165"/>
        <w:ind w:left="120" w:right="118"/>
        <w:jc w:val="both"/>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2015 and 2014:</w:t>
      </w:r>
    </w:p>
    <w:p>
      <w:pPr>
        <w:spacing w:after="0" w:line="247" w:lineRule="auto"/>
        <w:jc w:val="both"/>
        <w:sectPr>
          <w:pgSz w:w="11880" w:h="15480"/>
          <w:pgMar w:header="0" w:footer="1240" w:top="1240" w:bottom="1420" w:left="1260" w:right="1260"/>
        </w:sectPr>
      </w:pPr>
    </w:p>
    <w:p>
      <w:pPr>
        <w:pStyle w:val="BodyText"/>
      </w:pPr>
    </w:p>
    <w:p>
      <w:pPr>
        <w:pStyle w:val="BodyText"/>
      </w:pPr>
    </w:p>
    <w:p>
      <w:pPr>
        <w:spacing w:before="131"/>
        <w:ind w:left="160" w:right="0" w:firstLine="0"/>
        <w:jc w:val="left"/>
        <w:rPr>
          <w:b/>
          <w:sz w:val="20"/>
        </w:rPr>
      </w:pPr>
      <w:r>
        <w:rPr>
          <w:b/>
          <w:color w:val="231F20"/>
          <w:sz w:val="20"/>
        </w:rPr>
        <w:t>(in millions)</w:t>
      </w:r>
    </w:p>
    <w:p>
      <w:pPr>
        <w:pStyle w:val="BodyText"/>
        <w:rPr>
          <w:b/>
        </w:rPr>
      </w:pPr>
      <w:r>
        <w:rPr/>
        <w:br w:type="column"/>
      </w:r>
      <w:r>
        <w:rPr>
          <w:b/>
        </w:rPr>
      </w:r>
    </w:p>
    <w:p>
      <w:pPr>
        <w:spacing w:line="249" w:lineRule="auto" w:before="144"/>
        <w:ind w:left="160" w:right="-20" w:firstLine="278"/>
        <w:jc w:val="left"/>
        <w:rPr>
          <w:b/>
          <w:sz w:val="20"/>
        </w:rPr>
      </w:pPr>
      <w:r>
        <w:rPr>
          <w:b/>
          <w:color w:val="231F20"/>
          <w:sz w:val="20"/>
        </w:rPr>
        <w:t>Fuel derivatives</w:t>
      </w:r>
    </w:p>
    <w:p>
      <w:pPr>
        <w:spacing w:line="249" w:lineRule="auto" w:before="157"/>
        <w:ind w:left="81" w:right="0" w:hanging="1"/>
        <w:jc w:val="center"/>
        <w:rPr>
          <w:b/>
          <w:sz w:val="20"/>
        </w:rPr>
      </w:pPr>
      <w:r>
        <w:rPr/>
        <w:br w:type="column"/>
      </w:r>
      <w:r>
        <w:rPr>
          <w:b/>
          <w:color w:val="231F20"/>
          <w:sz w:val="20"/>
        </w:rPr>
        <w:t>Interest rate derivatives</w:t>
      </w:r>
    </w:p>
    <w:p>
      <w:pPr>
        <w:spacing w:line="249" w:lineRule="auto" w:before="157"/>
        <w:ind w:left="81" w:right="613" w:firstLine="175"/>
        <w:jc w:val="left"/>
        <w:rPr>
          <w:b/>
          <w:sz w:val="20"/>
        </w:rPr>
      </w:pPr>
      <w:r>
        <w:rPr/>
        <w:br w:type="column"/>
      </w:r>
      <w:r>
        <w:rPr>
          <w:b/>
          <w:color w:val="231F20"/>
          <w:sz w:val="20"/>
        </w:rPr>
        <w:t>Defined benefit plan</w:t>
      </w:r>
    </w:p>
    <w:p>
      <w:pPr>
        <w:tabs>
          <w:tab w:pos="1219" w:val="left" w:leader="none"/>
        </w:tabs>
        <w:spacing w:before="1"/>
        <w:ind w:left="361" w:right="0" w:firstLine="0"/>
        <w:jc w:val="left"/>
        <w:rPr>
          <w:b/>
          <w:sz w:val="20"/>
        </w:rPr>
      </w:pPr>
      <w:r>
        <w:rPr/>
        <w:pict>
          <v:line style="position:absolute;mso-position-horizontal-relative:page;mso-position-vertical-relative:paragraph;z-index:-387640" from="367.049988pt,58.135914pt" to="392.649988pt,58.135914pt" stroked="true" strokeweight=".5pt" strokecolor="#231f20">
            <v:stroke dashstyle="solid"/>
            <w10:wrap type="none"/>
          </v:line>
        </w:pict>
      </w:r>
      <w:r>
        <w:rPr>
          <w:b/>
          <w:color w:val="231F20"/>
          <w:sz w:val="20"/>
        </w:rPr>
        <w:t>items</w:t>
        <w:tab/>
        <w:t>Other</w:t>
      </w:r>
    </w:p>
    <w:p>
      <w:pPr>
        <w:spacing w:line="249" w:lineRule="auto" w:before="157"/>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157"/>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1399"/>
        <w:gridCol w:w="120"/>
        <w:gridCol w:w="1640"/>
      </w:tblGrid>
      <w:tr>
        <w:trPr>
          <w:trHeight w:val="310" w:hRule="exact"/>
        </w:trPr>
        <w:tc>
          <w:tcPr>
            <w:tcW w:w="2713" w:type="dxa"/>
            <w:tcBorders>
              <w:top w:val="single" w:sz="8" w:space="0" w:color="231F20"/>
            </w:tcBorders>
            <w:shd w:val="clear" w:color="auto" w:fill="D1D3D4"/>
          </w:tcPr>
          <w:p>
            <w:pPr>
              <w:pStyle w:val="TableParagraph"/>
              <w:spacing w:before="51"/>
              <w:ind w:left="40"/>
              <w:rPr>
                <w:sz w:val="20"/>
              </w:rPr>
            </w:pPr>
            <w:r>
              <w:rPr>
                <w:color w:val="231F20"/>
                <w:sz w:val="20"/>
              </w:rPr>
              <w:t>Balance at December 31, 2013</w:t>
            </w:r>
          </w:p>
        </w:tc>
        <w:tc>
          <w:tcPr>
            <w:tcW w:w="935" w:type="dxa"/>
            <w:tcBorders>
              <w:top w:val="single" w:sz="8"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(20)</w:t>
            </w:r>
          </w:p>
        </w:tc>
        <w:tc>
          <w:tcPr>
            <w:tcW w:w="120" w:type="dxa"/>
            <w:tcBorders>
              <w:top w:val="single" w:sz="8" w:space="0" w:color="231F20"/>
            </w:tcBorders>
            <w:shd w:val="clear" w:color="auto" w:fill="D1D3D4"/>
          </w:tcPr>
          <w:p>
            <w:pPr/>
          </w:p>
        </w:tc>
        <w:tc>
          <w:tcPr>
            <w:tcW w:w="935" w:type="dxa"/>
            <w:tcBorders>
              <w:top w:val="single" w:sz="8"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(58)</w:t>
            </w:r>
          </w:p>
        </w:tc>
        <w:tc>
          <w:tcPr>
            <w:tcW w:w="120" w:type="dxa"/>
            <w:tcBorders>
              <w:top w:val="single" w:sz="8" w:space="0" w:color="231F20"/>
            </w:tcBorders>
            <w:shd w:val="clear" w:color="auto" w:fill="D1D3D4"/>
          </w:tcPr>
          <w:p>
            <w:pPr/>
          </w:p>
        </w:tc>
        <w:tc>
          <w:tcPr>
            <w:tcW w:w="1018" w:type="dxa"/>
            <w:tcBorders>
              <w:top w:val="single" w:sz="8" w:space="0" w:color="231F20"/>
            </w:tcBorders>
            <w:shd w:val="clear" w:color="auto" w:fill="D1D3D4"/>
          </w:tcPr>
          <w:p>
            <w:pPr>
              <w:pStyle w:val="TableParagraph"/>
              <w:tabs>
                <w:tab w:pos="717" w:val="left" w:leader="none"/>
              </w:tabs>
              <w:spacing w:before="51"/>
              <w:ind w:right="97"/>
              <w:jc w:val="right"/>
              <w:rPr>
                <w:sz w:val="20"/>
              </w:rPr>
            </w:pPr>
            <w:r>
              <w:rPr>
                <w:color w:val="231F20"/>
                <w:sz w:val="20"/>
              </w:rPr>
              <w:t>$</w:t>
              <w:tab/>
              <w:t>65</w:t>
            </w:r>
          </w:p>
        </w:tc>
        <w:tc>
          <w:tcPr>
            <w:tcW w:w="120" w:type="dxa"/>
            <w:tcBorders>
              <w:top w:val="single" w:sz="8" w:space="0" w:color="231F20"/>
            </w:tcBorders>
            <w:shd w:val="clear" w:color="auto" w:fill="D1D3D4"/>
          </w:tcPr>
          <w:p>
            <w:pPr/>
          </w:p>
        </w:tc>
        <w:tc>
          <w:tcPr>
            <w:tcW w:w="1399" w:type="dxa"/>
            <w:tcBorders>
              <w:top w:val="single" w:sz="8" w:space="0" w:color="231F20"/>
            </w:tcBorders>
            <w:shd w:val="clear" w:color="auto" w:fill="D1D3D4"/>
          </w:tcPr>
          <w:p>
            <w:pPr>
              <w:pStyle w:val="TableParagraph"/>
              <w:tabs>
                <w:tab w:pos="311" w:val="left" w:leader="none"/>
                <w:tab w:pos="631" w:val="left" w:leader="none"/>
                <w:tab w:pos="1198" w:val="left" w:leader="none"/>
              </w:tabs>
              <w:spacing w:before="51"/>
              <w:ind w:right="97"/>
              <w:jc w:val="right"/>
              <w:rPr>
                <w:sz w:val="20"/>
              </w:rPr>
            </w:pPr>
            <w:r>
              <w:rPr>
                <w:color w:val="231F20"/>
                <w:sz w:val="20"/>
              </w:rPr>
              <w:t>$</w:t>
              <w:tab/>
              <w:t>8</w:t>
              <w:tab/>
              <w:t>$</w:t>
              <w:tab/>
            </w:r>
            <w:r>
              <w:rPr>
                <w:color w:val="231F20"/>
                <w:spacing w:val="-1"/>
                <w:sz w:val="20"/>
              </w:rPr>
              <w:t>2</w:t>
            </w:r>
          </w:p>
        </w:tc>
        <w:tc>
          <w:tcPr>
            <w:tcW w:w="120" w:type="dxa"/>
            <w:tcBorders>
              <w:top w:val="single" w:sz="8" w:space="0" w:color="231F20"/>
            </w:tcBorders>
            <w:shd w:val="clear" w:color="auto" w:fill="D1D3D4"/>
          </w:tcPr>
          <w:p>
            <w:pPr/>
          </w:p>
        </w:tc>
        <w:tc>
          <w:tcPr>
            <w:tcW w:w="1640" w:type="dxa"/>
            <w:tcBorders>
              <w:top w:val="single" w:sz="8" w:space="0" w:color="231F20"/>
            </w:tcBorders>
            <w:shd w:val="clear" w:color="auto" w:fill="D1D3D4"/>
          </w:tcPr>
          <w:p>
            <w:pPr>
              <w:pStyle w:val="TableParagraph"/>
              <w:tabs>
                <w:tab w:pos="1355" w:val="left" w:leader="none"/>
              </w:tabs>
              <w:spacing w:before="51"/>
              <w:ind w:right="48"/>
              <w:jc w:val="right"/>
              <w:rPr>
                <w:sz w:val="20"/>
              </w:rPr>
            </w:pPr>
            <w:r>
              <w:rPr>
                <w:color w:val="231F20"/>
                <w:sz w:val="20"/>
              </w:rPr>
              <w:t>$</w:t>
              <w:tab/>
              <w:t>(3)</w:t>
            </w:r>
          </w:p>
        </w:tc>
      </w:tr>
      <w:tr>
        <w:trPr>
          <w:trHeight w:val="300" w:hRule="exact"/>
        </w:trPr>
        <w:tc>
          <w:tcPr>
            <w:tcW w:w="2713" w:type="dxa"/>
          </w:tcPr>
          <w:p>
            <w:pPr>
              <w:pStyle w:val="TableParagraph"/>
              <w:spacing w:before="51"/>
              <w:ind w:left="240"/>
              <w:rPr>
                <w:sz w:val="20"/>
              </w:rPr>
            </w:pPr>
            <w:r>
              <w:rPr>
                <w:color w:val="231F20"/>
                <w:sz w:val="20"/>
              </w:rPr>
              <w:t>Changes in fair value</w:t>
            </w:r>
          </w:p>
        </w:tc>
        <w:tc>
          <w:tcPr>
            <w:tcW w:w="935" w:type="dxa"/>
          </w:tcPr>
          <w:p>
            <w:pPr>
              <w:pStyle w:val="TableParagraph"/>
              <w:spacing w:before="51"/>
              <w:ind w:right="48"/>
              <w:jc w:val="right"/>
              <w:rPr>
                <w:sz w:val="20"/>
              </w:rPr>
            </w:pPr>
            <w:r>
              <w:rPr>
                <w:color w:val="231F20"/>
                <w:sz w:val="20"/>
              </w:rPr>
              <w:t>(1,191)</w:t>
            </w:r>
          </w:p>
        </w:tc>
        <w:tc>
          <w:tcPr>
            <w:tcW w:w="120" w:type="dxa"/>
          </w:tcPr>
          <w:p>
            <w:pPr/>
          </w:p>
        </w:tc>
        <w:tc>
          <w:tcPr>
            <w:tcW w:w="935" w:type="dxa"/>
          </w:tcPr>
          <w:p>
            <w:pPr>
              <w:pStyle w:val="TableParagraph"/>
              <w:spacing w:before="51"/>
              <w:ind w:right="48"/>
              <w:jc w:val="right"/>
              <w:rPr>
                <w:sz w:val="20"/>
              </w:rPr>
            </w:pPr>
            <w:r>
              <w:rPr>
                <w:color w:val="231F20"/>
                <w:sz w:val="20"/>
              </w:rPr>
              <w:t>(10)</w:t>
            </w:r>
          </w:p>
        </w:tc>
        <w:tc>
          <w:tcPr>
            <w:tcW w:w="120" w:type="dxa"/>
          </w:tcPr>
          <w:p>
            <w:pPr/>
          </w:p>
        </w:tc>
        <w:tc>
          <w:tcPr>
            <w:tcW w:w="1018" w:type="dxa"/>
          </w:tcPr>
          <w:p>
            <w:pPr>
              <w:pStyle w:val="TableParagraph"/>
              <w:spacing w:before="51"/>
              <w:ind w:right="48"/>
              <w:jc w:val="right"/>
              <w:rPr>
                <w:sz w:val="20"/>
              </w:rPr>
            </w:pPr>
            <w:r>
              <w:rPr>
                <w:color w:val="231F20"/>
                <w:sz w:val="20"/>
              </w:rPr>
              <w:t>(24)</w:t>
            </w:r>
          </w:p>
        </w:tc>
        <w:tc>
          <w:tcPr>
            <w:tcW w:w="120" w:type="dxa"/>
          </w:tcPr>
          <w:p>
            <w:pPr/>
          </w:p>
        </w:tc>
        <w:tc>
          <w:tcPr>
            <w:tcW w:w="1399" w:type="dxa"/>
          </w:tcPr>
          <w:p>
            <w:pPr>
              <w:pStyle w:val="TableParagraph"/>
              <w:tabs>
                <w:tab w:pos="786" w:val="left" w:leader="none"/>
              </w:tabs>
              <w:spacing w:before="51"/>
              <w:ind w:right="99"/>
              <w:jc w:val="right"/>
              <w:rPr>
                <w:sz w:val="20"/>
              </w:rPr>
            </w:pPr>
            <w:r>
              <w:rPr>
                <w:color w:val="231F20"/>
                <w:sz w:val="20"/>
              </w:rPr>
              <w:t>—</w:t>
              <w:tab/>
              <w:t>454</w:t>
            </w:r>
          </w:p>
        </w:tc>
        <w:tc>
          <w:tcPr>
            <w:tcW w:w="120" w:type="dxa"/>
          </w:tcPr>
          <w:p>
            <w:pPr/>
          </w:p>
        </w:tc>
        <w:tc>
          <w:tcPr>
            <w:tcW w:w="1640" w:type="dxa"/>
          </w:tcPr>
          <w:p>
            <w:pPr>
              <w:pStyle w:val="TableParagraph"/>
              <w:spacing w:before="51"/>
              <w:ind w:right="48"/>
              <w:jc w:val="right"/>
              <w:rPr>
                <w:sz w:val="20"/>
              </w:rPr>
            </w:pPr>
            <w:r>
              <w:rPr>
                <w:color w:val="231F20"/>
                <w:sz w:val="20"/>
              </w:rPr>
              <w:t>(771)</w:t>
            </w:r>
          </w:p>
        </w:tc>
      </w:tr>
      <w:tr>
        <w:trPr>
          <w:trHeight w:val="315" w:hRule="exact"/>
        </w:trPr>
        <w:tc>
          <w:tcPr>
            <w:tcW w:w="2713" w:type="dxa"/>
            <w:shd w:val="clear" w:color="auto" w:fill="D1D3D4"/>
          </w:tcPr>
          <w:p>
            <w:pPr>
              <w:pStyle w:val="TableParagraph"/>
              <w:spacing w:before="51"/>
              <w:ind w:left="240"/>
              <w:rPr>
                <w:sz w:val="20"/>
              </w:rPr>
            </w:pPr>
            <w:r>
              <w:rPr>
                <w:color w:val="231F20"/>
                <w:sz w:val="20"/>
              </w:rPr>
              <w:t>Reclassification to earnings</w:t>
            </w:r>
          </w:p>
        </w:tc>
        <w:tc>
          <w:tcPr>
            <w:tcW w:w="935" w:type="dxa"/>
            <w:tcBorders>
              <w:bottom w:val="single" w:sz="4" w:space="0" w:color="231F20"/>
            </w:tcBorders>
            <w:shd w:val="clear" w:color="auto" w:fill="D1D3D4"/>
          </w:tcPr>
          <w:p>
            <w:pPr>
              <w:pStyle w:val="TableParagraph"/>
              <w:spacing w:before="51"/>
              <w:ind w:right="97"/>
              <w:jc w:val="right"/>
              <w:rPr>
                <w:sz w:val="20"/>
              </w:rPr>
            </w:pPr>
            <w:r>
              <w:rPr>
                <w:color w:val="231F20"/>
                <w:sz w:val="20"/>
              </w:rPr>
              <w:t>34</w:t>
            </w:r>
          </w:p>
        </w:tc>
        <w:tc>
          <w:tcPr>
            <w:tcW w:w="120" w:type="dxa"/>
            <w:shd w:val="clear" w:color="auto" w:fill="D1D3D4"/>
          </w:tcPr>
          <w:p>
            <w:pPr/>
          </w:p>
        </w:tc>
        <w:tc>
          <w:tcPr>
            <w:tcW w:w="935" w:type="dxa"/>
            <w:tcBorders>
              <w:bottom w:val="single" w:sz="4" w:space="0" w:color="231F20"/>
            </w:tcBorders>
            <w:shd w:val="clear" w:color="auto" w:fill="D1D3D4"/>
          </w:tcPr>
          <w:p>
            <w:pPr>
              <w:pStyle w:val="TableParagraph"/>
              <w:spacing w:before="51"/>
              <w:ind w:right="97"/>
              <w:jc w:val="right"/>
              <w:rPr>
                <w:sz w:val="20"/>
              </w:rPr>
            </w:pPr>
            <w:r>
              <w:rPr>
                <w:color w:val="231F20"/>
                <w:sz w:val="20"/>
              </w:rPr>
              <w:t>23</w:t>
            </w:r>
          </w:p>
        </w:tc>
        <w:tc>
          <w:tcPr>
            <w:tcW w:w="120" w:type="dxa"/>
            <w:shd w:val="clear" w:color="auto" w:fill="D1D3D4"/>
          </w:tcPr>
          <w:p>
            <w:pPr/>
          </w:p>
        </w:tc>
        <w:tc>
          <w:tcPr>
            <w:tcW w:w="1018" w:type="dxa"/>
            <w:tcBorders>
              <w:bottom w:val="single" w:sz="4" w:space="0" w:color="231F20"/>
            </w:tcBorders>
            <w:shd w:val="clear" w:color="auto" w:fill="D1D3D4"/>
          </w:tcPr>
          <w:p>
            <w:pPr>
              <w:pStyle w:val="TableParagraph"/>
              <w:spacing w:before="51"/>
              <w:ind w:right="97"/>
              <w:jc w:val="right"/>
              <w:rPr>
                <w:sz w:val="20"/>
              </w:rPr>
            </w:pPr>
            <w:r>
              <w:rPr>
                <w:color w:val="231F20"/>
                <w:sz w:val="20"/>
              </w:rPr>
              <w:t>—</w:t>
            </w:r>
          </w:p>
        </w:tc>
        <w:tc>
          <w:tcPr>
            <w:tcW w:w="120" w:type="dxa"/>
            <w:shd w:val="clear" w:color="auto" w:fill="D1D3D4"/>
          </w:tcPr>
          <w:p>
            <w:pPr/>
          </w:p>
        </w:tc>
        <w:tc>
          <w:tcPr>
            <w:tcW w:w="1399" w:type="dxa"/>
            <w:tcBorders>
              <w:bottom w:val="single" w:sz="4" w:space="0" w:color="231F20"/>
            </w:tcBorders>
            <w:shd w:val="clear" w:color="auto" w:fill="D1D3D4"/>
          </w:tcPr>
          <w:p>
            <w:pPr>
              <w:pStyle w:val="TableParagraph"/>
              <w:tabs>
                <w:tab w:pos="802" w:val="left" w:leader="none"/>
              </w:tabs>
              <w:spacing w:before="51"/>
              <w:ind w:right="48"/>
              <w:jc w:val="right"/>
              <w:rPr>
                <w:sz w:val="20"/>
              </w:rPr>
            </w:pPr>
            <w:r>
              <w:rPr>
                <w:color w:val="231F20"/>
                <w:sz w:val="20"/>
              </w:rPr>
              <w:t>—</w:t>
              <w:tab/>
              <w:t>(21)</w:t>
            </w:r>
          </w:p>
        </w:tc>
        <w:tc>
          <w:tcPr>
            <w:tcW w:w="120" w:type="dxa"/>
            <w:shd w:val="clear" w:color="auto" w:fill="D1D3D4"/>
          </w:tcPr>
          <w:p>
            <w:pPr/>
          </w:p>
        </w:tc>
        <w:tc>
          <w:tcPr>
            <w:tcW w:w="1640" w:type="dxa"/>
            <w:tcBorders>
              <w:bottom w:val="single" w:sz="4" w:space="0" w:color="231F20"/>
            </w:tcBorders>
            <w:shd w:val="clear" w:color="auto" w:fill="D1D3D4"/>
          </w:tcPr>
          <w:p>
            <w:pPr>
              <w:pStyle w:val="TableParagraph"/>
              <w:spacing w:before="51"/>
              <w:ind w:right="97"/>
              <w:jc w:val="right"/>
              <w:rPr>
                <w:sz w:val="20"/>
              </w:rPr>
            </w:pPr>
            <w:r>
              <w:rPr>
                <w:color w:val="231F20"/>
                <w:sz w:val="20"/>
              </w:rPr>
              <w:t>36</w:t>
            </w:r>
          </w:p>
        </w:tc>
      </w:tr>
      <w:tr>
        <w:trPr>
          <w:trHeight w:val="305" w:hRule="exact"/>
        </w:trPr>
        <w:tc>
          <w:tcPr>
            <w:tcW w:w="2713" w:type="dxa"/>
          </w:tcPr>
          <w:p>
            <w:pPr>
              <w:pStyle w:val="TableParagraph"/>
              <w:spacing w:before="71"/>
              <w:ind w:left="40"/>
              <w:rPr>
                <w:sz w:val="20"/>
              </w:rPr>
            </w:pPr>
            <w:r>
              <w:rPr>
                <w:color w:val="231F20"/>
                <w:sz w:val="20"/>
              </w:rPr>
              <w:t>Balance at December 31, 2014</w:t>
            </w:r>
          </w:p>
        </w:tc>
        <w:tc>
          <w:tcPr>
            <w:tcW w:w="935" w:type="dxa"/>
            <w:tcBorders>
              <w:top w:val="single" w:sz="4" w:space="0" w:color="231F20"/>
            </w:tcBorders>
          </w:tcPr>
          <w:p>
            <w:pPr>
              <w:pStyle w:val="TableParagraph"/>
              <w:tabs>
                <w:tab w:pos="300" w:val="left" w:leader="none"/>
              </w:tabs>
              <w:spacing w:before="51"/>
              <w:ind w:right="48"/>
              <w:jc w:val="right"/>
              <w:rPr>
                <w:sz w:val="20"/>
              </w:rPr>
            </w:pPr>
            <w:r>
              <w:rPr>
                <w:color w:val="231F20"/>
                <w:sz w:val="20"/>
              </w:rPr>
              <w:t>$</w:t>
              <w:tab/>
              <w:t>(1,177)</w:t>
            </w:r>
          </w:p>
        </w:tc>
        <w:tc>
          <w:tcPr>
            <w:tcW w:w="120" w:type="dxa"/>
          </w:tcPr>
          <w:p>
            <w:pPr/>
          </w:p>
        </w:tc>
        <w:tc>
          <w:tcPr>
            <w:tcW w:w="935" w:type="dxa"/>
            <w:tcBorders>
              <w:top w:val="single" w:sz="4" w:space="0" w:color="231F20"/>
            </w:tcBorders>
          </w:tcPr>
          <w:p>
            <w:pPr>
              <w:pStyle w:val="TableParagraph"/>
              <w:tabs>
                <w:tab w:pos="550" w:val="left" w:leader="none"/>
              </w:tabs>
              <w:spacing w:before="51"/>
              <w:ind w:right="48"/>
              <w:jc w:val="right"/>
              <w:rPr>
                <w:sz w:val="20"/>
              </w:rPr>
            </w:pPr>
            <w:r>
              <w:rPr>
                <w:color w:val="231F20"/>
                <w:sz w:val="20"/>
              </w:rPr>
              <w:t>$</w:t>
              <w:tab/>
              <w:t>(45)</w:t>
            </w:r>
          </w:p>
        </w:tc>
        <w:tc>
          <w:tcPr>
            <w:tcW w:w="120" w:type="dxa"/>
          </w:tcPr>
          <w:p>
            <w:pPr/>
          </w:p>
        </w:tc>
        <w:tc>
          <w:tcPr>
            <w:tcW w:w="1018" w:type="dxa"/>
            <w:tcBorders>
              <w:top w:val="single" w:sz="4" w:space="0" w:color="231F20"/>
            </w:tcBorders>
          </w:tcPr>
          <w:p>
            <w:pPr>
              <w:pStyle w:val="TableParagraph"/>
              <w:tabs>
                <w:tab w:pos="717" w:val="left" w:leader="none"/>
              </w:tabs>
              <w:spacing w:before="51"/>
              <w:ind w:right="97"/>
              <w:jc w:val="right"/>
              <w:rPr>
                <w:sz w:val="20"/>
              </w:rPr>
            </w:pPr>
            <w:r>
              <w:rPr>
                <w:color w:val="231F20"/>
                <w:sz w:val="20"/>
              </w:rPr>
              <w:t>$</w:t>
              <w:tab/>
              <w:t>41</w:t>
            </w:r>
          </w:p>
        </w:tc>
        <w:tc>
          <w:tcPr>
            <w:tcW w:w="120" w:type="dxa"/>
          </w:tcPr>
          <w:p>
            <w:pPr/>
          </w:p>
        </w:tc>
        <w:tc>
          <w:tcPr>
            <w:tcW w:w="1399" w:type="dxa"/>
            <w:tcBorders>
              <w:top w:val="single" w:sz="4" w:space="0" w:color="231F20"/>
            </w:tcBorders>
          </w:tcPr>
          <w:p>
            <w:pPr>
              <w:pStyle w:val="TableParagraph"/>
              <w:tabs>
                <w:tab w:pos="311" w:val="left" w:leader="none"/>
                <w:tab w:pos="631" w:val="left" w:leader="none"/>
                <w:tab w:pos="998" w:val="left" w:leader="none"/>
              </w:tabs>
              <w:spacing w:before="51"/>
              <w:ind w:right="97"/>
              <w:jc w:val="right"/>
              <w:rPr>
                <w:sz w:val="20"/>
              </w:rPr>
            </w:pPr>
            <w:r>
              <w:rPr>
                <w:color w:val="231F20"/>
                <w:sz w:val="20"/>
              </w:rPr>
              <w:t>$</w:t>
              <w:tab/>
              <w:t>8</w:t>
              <w:tab/>
              <w:t>$</w:t>
              <w:tab/>
            </w:r>
            <w:r>
              <w:rPr>
                <w:color w:val="231F20"/>
                <w:spacing w:val="-1"/>
                <w:sz w:val="20"/>
              </w:rPr>
              <w:t>435</w:t>
            </w:r>
          </w:p>
        </w:tc>
        <w:tc>
          <w:tcPr>
            <w:tcW w:w="120" w:type="dxa"/>
          </w:tcPr>
          <w:p>
            <w:pPr/>
          </w:p>
        </w:tc>
        <w:tc>
          <w:tcPr>
            <w:tcW w:w="1640" w:type="dxa"/>
            <w:tcBorders>
              <w:top w:val="single" w:sz="4" w:space="0" w:color="231F20"/>
            </w:tcBorders>
          </w:tcPr>
          <w:p>
            <w:pPr>
              <w:pStyle w:val="TableParagraph"/>
              <w:tabs>
                <w:tab w:pos="1155" w:val="left" w:leader="none"/>
              </w:tabs>
              <w:spacing w:before="51"/>
              <w:ind w:right="48"/>
              <w:jc w:val="right"/>
              <w:rPr>
                <w:sz w:val="20"/>
              </w:rPr>
            </w:pPr>
            <w:r>
              <w:rPr>
                <w:color w:val="231F20"/>
                <w:sz w:val="20"/>
              </w:rPr>
              <w:t>$</w:t>
              <w:tab/>
              <w:t>(738)</w:t>
            </w:r>
          </w:p>
        </w:tc>
      </w:tr>
      <w:tr>
        <w:trPr>
          <w:trHeight w:val="300" w:hRule="exact"/>
        </w:trPr>
        <w:tc>
          <w:tcPr>
            <w:tcW w:w="2713" w:type="dxa"/>
            <w:shd w:val="clear" w:color="auto" w:fill="D1D3D4"/>
          </w:tcPr>
          <w:p>
            <w:pPr>
              <w:pStyle w:val="TableParagraph"/>
              <w:spacing w:before="51"/>
              <w:ind w:left="240"/>
              <w:rPr>
                <w:sz w:val="20"/>
              </w:rPr>
            </w:pPr>
            <w:r>
              <w:rPr>
                <w:color w:val="231F20"/>
                <w:sz w:val="20"/>
              </w:rPr>
              <w:t>Changes in fair value</w:t>
            </w:r>
          </w:p>
        </w:tc>
        <w:tc>
          <w:tcPr>
            <w:tcW w:w="935" w:type="dxa"/>
            <w:shd w:val="clear" w:color="auto" w:fill="D1D3D4"/>
          </w:tcPr>
          <w:p>
            <w:pPr>
              <w:pStyle w:val="TableParagraph"/>
              <w:spacing w:before="51"/>
              <w:ind w:right="48"/>
              <w:jc w:val="right"/>
              <w:rPr>
                <w:sz w:val="20"/>
              </w:rPr>
            </w:pPr>
            <w:r>
              <w:rPr>
                <w:color w:val="231F20"/>
                <w:sz w:val="20"/>
              </w:rPr>
              <w:t>(867)</w:t>
            </w:r>
          </w:p>
        </w:tc>
        <w:tc>
          <w:tcPr>
            <w:tcW w:w="120" w:type="dxa"/>
            <w:shd w:val="clear" w:color="auto" w:fill="D1D3D4"/>
          </w:tcPr>
          <w:p>
            <w:pPr/>
          </w:p>
        </w:tc>
        <w:tc>
          <w:tcPr>
            <w:tcW w:w="935" w:type="dxa"/>
            <w:shd w:val="clear" w:color="auto" w:fill="D1D3D4"/>
          </w:tcPr>
          <w:p>
            <w:pPr>
              <w:pStyle w:val="TableParagraph"/>
              <w:spacing w:before="51"/>
              <w:ind w:right="48"/>
              <w:jc w:val="right"/>
              <w:rPr>
                <w:sz w:val="20"/>
              </w:rPr>
            </w:pPr>
            <w:r>
              <w:rPr>
                <w:color w:val="231F20"/>
                <w:sz w:val="20"/>
              </w:rPr>
              <w:t>(5)</w:t>
            </w:r>
          </w:p>
        </w:tc>
        <w:tc>
          <w:tcPr>
            <w:tcW w:w="120" w:type="dxa"/>
            <w:shd w:val="clear" w:color="auto" w:fill="D1D3D4"/>
          </w:tcPr>
          <w:p>
            <w:pPr/>
          </w:p>
        </w:tc>
        <w:tc>
          <w:tcPr>
            <w:tcW w:w="1018" w:type="dxa"/>
            <w:shd w:val="clear" w:color="auto" w:fill="D1D3D4"/>
          </w:tcPr>
          <w:p>
            <w:pPr>
              <w:pStyle w:val="TableParagraph"/>
              <w:spacing w:before="51"/>
              <w:ind w:right="48"/>
              <w:jc w:val="right"/>
              <w:rPr>
                <w:sz w:val="20"/>
              </w:rPr>
            </w:pPr>
            <w:r>
              <w:rPr>
                <w:color w:val="231F20"/>
                <w:sz w:val="20"/>
              </w:rPr>
              <w:t>(19)</w:t>
            </w:r>
          </w:p>
        </w:tc>
        <w:tc>
          <w:tcPr>
            <w:tcW w:w="120" w:type="dxa"/>
            <w:shd w:val="clear" w:color="auto" w:fill="D1D3D4"/>
          </w:tcPr>
          <w:p>
            <w:pPr/>
          </w:p>
        </w:tc>
        <w:tc>
          <w:tcPr>
            <w:tcW w:w="1399" w:type="dxa"/>
            <w:shd w:val="clear" w:color="auto" w:fill="D1D3D4"/>
          </w:tcPr>
          <w:p>
            <w:pPr>
              <w:pStyle w:val="TableParagraph"/>
              <w:tabs>
                <w:tab w:pos="770" w:val="left" w:leader="none"/>
              </w:tabs>
              <w:spacing w:before="51"/>
              <w:ind w:right="99"/>
              <w:jc w:val="right"/>
              <w:rPr>
                <w:sz w:val="20"/>
              </w:rPr>
            </w:pPr>
            <w:r>
              <w:rPr>
                <w:color w:val="231F20"/>
                <w:sz w:val="20"/>
              </w:rPr>
              <w:t>(2)</w:t>
              <w:tab/>
              <w:t>329</w:t>
            </w:r>
          </w:p>
        </w:tc>
        <w:tc>
          <w:tcPr>
            <w:tcW w:w="120" w:type="dxa"/>
            <w:shd w:val="clear" w:color="auto" w:fill="D1D3D4"/>
          </w:tcPr>
          <w:p>
            <w:pPr/>
          </w:p>
        </w:tc>
        <w:tc>
          <w:tcPr>
            <w:tcW w:w="1640" w:type="dxa"/>
            <w:shd w:val="clear" w:color="auto" w:fill="D1D3D4"/>
          </w:tcPr>
          <w:p>
            <w:pPr>
              <w:pStyle w:val="TableParagraph"/>
              <w:spacing w:before="51"/>
              <w:ind w:right="48"/>
              <w:jc w:val="right"/>
              <w:rPr>
                <w:sz w:val="20"/>
              </w:rPr>
            </w:pPr>
            <w:r>
              <w:rPr>
                <w:color w:val="231F20"/>
                <w:sz w:val="20"/>
              </w:rPr>
              <w:t>(564)</w:t>
            </w:r>
          </w:p>
        </w:tc>
      </w:tr>
      <w:tr>
        <w:trPr>
          <w:trHeight w:val="315" w:hRule="exact"/>
        </w:trPr>
        <w:tc>
          <w:tcPr>
            <w:tcW w:w="2713" w:type="dxa"/>
          </w:tcPr>
          <w:p>
            <w:pPr>
              <w:pStyle w:val="TableParagraph"/>
              <w:spacing w:before="51"/>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1"/>
              <w:ind w:right="97"/>
              <w:jc w:val="right"/>
              <w:rPr>
                <w:sz w:val="20"/>
              </w:rPr>
            </w:pPr>
            <w:r>
              <w:rPr>
                <w:color w:val="231F20"/>
                <w:sz w:val="20"/>
              </w:rPr>
              <w:t>378</w:t>
            </w:r>
          </w:p>
        </w:tc>
        <w:tc>
          <w:tcPr>
            <w:tcW w:w="120" w:type="dxa"/>
          </w:tcPr>
          <w:p>
            <w:pPr/>
          </w:p>
        </w:tc>
        <w:tc>
          <w:tcPr>
            <w:tcW w:w="935" w:type="dxa"/>
            <w:tcBorders>
              <w:bottom w:val="single" w:sz="4" w:space="0" w:color="231F20"/>
            </w:tcBorders>
          </w:tcPr>
          <w:p>
            <w:pPr>
              <w:pStyle w:val="TableParagraph"/>
              <w:spacing w:before="51"/>
              <w:ind w:right="97"/>
              <w:jc w:val="right"/>
              <w:rPr>
                <w:sz w:val="20"/>
              </w:rPr>
            </w:pPr>
            <w:r>
              <w:rPr>
                <w:color w:val="231F20"/>
                <w:sz w:val="20"/>
              </w:rPr>
              <w:t>20</w:t>
            </w:r>
          </w:p>
        </w:tc>
        <w:tc>
          <w:tcPr>
            <w:tcW w:w="120" w:type="dxa"/>
          </w:tcPr>
          <w:p>
            <w:pPr/>
          </w:p>
        </w:tc>
        <w:tc>
          <w:tcPr>
            <w:tcW w:w="1018" w:type="dxa"/>
            <w:tcBorders>
              <w:bottom w:val="single" w:sz="4" w:space="0" w:color="231F20"/>
            </w:tcBorders>
          </w:tcPr>
          <w:p>
            <w:pPr>
              <w:pStyle w:val="TableParagraph"/>
              <w:spacing w:before="51"/>
              <w:ind w:right="97"/>
              <w:jc w:val="right"/>
              <w:rPr>
                <w:sz w:val="20"/>
              </w:rPr>
            </w:pPr>
            <w:r>
              <w:rPr>
                <w:color w:val="231F20"/>
                <w:sz w:val="20"/>
              </w:rPr>
              <w:t>—</w:t>
            </w:r>
          </w:p>
        </w:tc>
        <w:tc>
          <w:tcPr>
            <w:tcW w:w="120" w:type="dxa"/>
          </w:tcPr>
          <w:p>
            <w:pPr/>
          </w:p>
        </w:tc>
        <w:tc>
          <w:tcPr>
            <w:tcW w:w="1399" w:type="dxa"/>
            <w:tcBorders>
              <w:bottom w:val="single" w:sz="4" w:space="0" w:color="231F20"/>
            </w:tcBorders>
          </w:tcPr>
          <w:p>
            <w:pPr>
              <w:pStyle w:val="TableParagraph"/>
              <w:tabs>
                <w:tab w:pos="702" w:val="left" w:leader="none"/>
              </w:tabs>
              <w:spacing w:before="51"/>
              <w:ind w:right="48"/>
              <w:jc w:val="right"/>
              <w:rPr>
                <w:sz w:val="20"/>
              </w:rPr>
            </w:pPr>
            <w:r>
              <w:rPr>
                <w:color w:val="231F20"/>
                <w:sz w:val="20"/>
              </w:rPr>
              <w:t>—</w:t>
              <w:tab/>
              <w:t>(147)</w:t>
            </w:r>
          </w:p>
        </w:tc>
        <w:tc>
          <w:tcPr>
            <w:tcW w:w="120" w:type="dxa"/>
          </w:tcPr>
          <w:p>
            <w:pPr/>
          </w:p>
        </w:tc>
        <w:tc>
          <w:tcPr>
            <w:tcW w:w="1640" w:type="dxa"/>
            <w:tcBorders>
              <w:bottom w:val="single" w:sz="4" w:space="0" w:color="231F20"/>
            </w:tcBorders>
          </w:tcPr>
          <w:p>
            <w:pPr>
              <w:pStyle w:val="TableParagraph"/>
              <w:spacing w:before="51"/>
              <w:ind w:right="97"/>
              <w:jc w:val="right"/>
              <w:rPr>
                <w:sz w:val="20"/>
              </w:rPr>
            </w:pPr>
            <w:r>
              <w:rPr>
                <w:color w:val="231F20"/>
                <w:sz w:val="20"/>
              </w:rPr>
              <w:t>251</w:t>
            </w:r>
          </w:p>
        </w:tc>
      </w:tr>
      <w:tr>
        <w:trPr>
          <w:trHeight w:val="360" w:hRule="exact"/>
        </w:trPr>
        <w:tc>
          <w:tcPr>
            <w:tcW w:w="2713" w:type="dxa"/>
            <w:shd w:val="clear" w:color="auto" w:fill="D1D3D4"/>
          </w:tcPr>
          <w:p>
            <w:pPr>
              <w:pStyle w:val="TableParagraph"/>
              <w:spacing w:before="51"/>
              <w:ind w:left="40"/>
              <w:rPr>
                <w:sz w:val="20"/>
              </w:rPr>
            </w:pPr>
            <w:r>
              <w:rPr>
                <w:color w:val="231F20"/>
                <w:sz w:val="20"/>
              </w:rPr>
              <w:t>Balance at December 31, 2015</w:t>
            </w:r>
          </w:p>
        </w:tc>
        <w:tc>
          <w:tcPr>
            <w:tcW w:w="935" w:type="dxa"/>
            <w:tcBorders>
              <w:top w:val="single" w:sz="4" w:space="0" w:color="231F20"/>
              <w:bottom w:val="single" w:sz="4" w:space="0" w:color="231F20"/>
            </w:tcBorders>
            <w:shd w:val="clear" w:color="auto" w:fill="D1D3D4"/>
          </w:tcPr>
          <w:p>
            <w:pPr>
              <w:pStyle w:val="TableParagraph"/>
              <w:tabs>
                <w:tab w:pos="300" w:val="left" w:leader="none"/>
              </w:tabs>
              <w:spacing w:before="51"/>
              <w:ind w:right="48"/>
              <w:jc w:val="right"/>
              <w:rPr>
                <w:sz w:val="20"/>
              </w:rPr>
            </w:pPr>
            <w:r>
              <w:rPr>
                <w:color w:val="231F20"/>
                <w:sz w:val="20"/>
              </w:rPr>
              <w:t>$</w:t>
              <w:tab/>
              <w:t>(1,666)</w:t>
            </w:r>
          </w:p>
        </w:tc>
        <w:tc>
          <w:tcPr>
            <w:tcW w:w="120" w:type="dxa"/>
            <w:shd w:val="clear" w:color="auto" w:fill="D1D3D4"/>
          </w:tcPr>
          <w:p>
            <w:pPr/>
          </w:p>
        </w:tc>
        <w:tc>
          <w:tcPr>
            <w:tcW w:w="935" w:type="dxa"/>
            <w:tcBorders>
              <w:top w:val="single" w:sz="4" w:space="0" w:color="231F20"/>
              <w:bottom w:val="single" w:sz="4" w:space="0" w:color="231F20"/>
            </w:tcBorders>
            <w:shd w:val="clear" w:color="auto" w:fill="D1D3D4"/>
          </w:tcPr>
          <w:p>
            <w:pPr>
              <w:pStyle w:val="TableParagraph"/>
              <w:tabs>
                <w:tab w:pos="550" w:val="left" w:leader="none"/>
              </w:tabs>
              <w:spacing w:before="51"/>
              <w:ind w:right="48"/>
              <w:jc w:val="right"/>
              <w:rPr>
                <w:sz w:val="20"/>
              </w:rPr>
            </w:pPr>
            <w:r>
              <w:rPr>
                <w:color w:val="231F20"/>
                <w:sz w:val="20"/>
              </w:rPr>
              <w:t>$</w:t>
              <w:tab/>
              <w:t>(30)</w:t>
            </w:r>
          </w:p>
        </w:tc>
        <w:tc>
          <w:tcPr>
            <w:tcW w:w="120" w:type="dxa"/>
            <w:shd w:val="clear" w:color="auto" w:fill="D1D3D4"/>
          </w:tcPr>
          <w:p>
            <w:pPr/>
          </w:p>
        </w:tc>
        <w:tc>
          <w:tcPr>
            <w:tcW w:w="1018" w:type="dxa"/>
            <w:tcBorders>
              <w:top w:val="single" w:sz="4" w:space="0" w:color="231F20"/>
              <w:bottom w:val="single" w:sz="4" w:space="0" w:color="231F20"/>
            </w:tcBorders>
            <w:shd w:val="clear" w:color="auto" w:fill="D1D3D4"/>
          </w:tcPr>
          <w:p>
            <w:pPr>
              <w:pStyle w:val="TableParagraph"/>
              <w:tabs>
                <w:tab w:pos="717" w:val="left" w:leader="none"/>
              </w:tabs>
              <w:spacing w:before="51"/>
              <w:ind w:right="97"/>
              <w:jc w:val="right"/>
              <w:rPr>
                <w:sz w:val="20"/>
              </w:rPr>
            </w:pPr>
            <w:r>
              <w:rPr>
                <w:color w:val="231F20"/>
                <w:sz w:val="20"/>
              </w:rPr>
              <w:t>$</w:t>
              <w:tab/>
              <w:t>22</w:t>
            </w:r>
          </w:p>
        </w:tc>
        <w:tc>
          <w:tcPr>
            <w:tcW w:w="120" w:type="dxa"/>
            <w:shd w:val="clear" w:color="auto" w:fill="D1D3D4"/>
          </w:tcPr>
          <w:p>
            <w:pPr/>
          </w:p>
        </w:tc>
        <w:tc>
          <w:tcPr>
            <w:tcW w:w="1399" w:type="dxa"/>
            <w:tcBorders>
              <w:top w:val="single" w:sz="4" w:space="0" w:color="231F20"/>
              <w:bottom w:val="single" w:sz="4" w:space="0" w:color="231F20"/>
            </w:tcBorders>
            <w:shd w:val="clear" w:color="auto" w:fill="D1D3D4"/>
          </w:tcPr>
          <w:p>
            <w:pPr>
              <w:pStyle w:val="TableParagraph"/>
              <w:tabs>
                <w:tab w:pos="311" w:val="left" w:leader="none"/>
                <w:tab w:pos="631" w:val="left" w:leader="none"/>
                <w:tab w:pos="998" w:val="left" w:leader="none"/>
              </w:tabs>
              <w:spacing w:before="51"/>
              <w:ind w:right="97"/>
              <w:jc w:val="right"/>
              <w:rPr>
                <w:sz w:val="20"/>
              </w:rPr>
            </w:pPr>
            <w:r>
              <w:rPr>
                <w:color w:val="231F20"/>
                <w:sz w:val="20"/>
              </w:rPr>
              <w:t>$</w:t>
              <w:tab/>
              <w:t>6</w:t>
              <w:tab/>
              <w:t>$</w:t>
              <w:tab/>
            </w:r>
            <w:r>
              <w:rPr>
                <w:color w:val="231F20"/>
                <w:spacing w:val="-1"/>
                <w:sz w:val="20"/>
              </w:rPr>
              <w:t>617</w:t>
            </w:r>
          </w:p>
        </w:tc>
        <w:tc>
          <w:tcPr>
            <w:tcW w:w="120" w:type="dxa"/>
            <w:shd w:val="clear" w:color="auto" w:fill="D1D3D4"/>
          </w:tcPr>
          <w:p>
            <w:pPr/>
          </w:p>
        </w:tc>
        <w:tc>
          <w:tcPr>
            <w:tcW w:w="1640" w:type="dxa"/>
            <w:tcBorders>
              <w:top w:val="single" w:sz="4" w:space="0" w:color="231F20"/>
              <w:bottom w:val="single" w:sz="4" w:space="0" w:color="231F20"/>
            </w:tcBorders>
            <w:shd w:val="clear" w:color="auto" w:fill="D1D3D4"/>
          </w:tcPr>
          <w:p>
            <w:pPr>
              <w:pStyle w:val="TableParagraph"/>
              <w:tabs>
                <w:tab w:pos="1005" w:val="left" w:leader="none"/>
              </w:tabs>
              <w:spacing w:before="46"/>
              <w:ind w:right="48"/>
              <w:jc w:val="right"/>
              <w:rPr>
                <w:sz w:val="20"/>
              </w:rPr>
            </w:pPr>
            <w:r>
              <w:rPr>
                <w:color w:val="231F20"/>
                <w:sz w:val="20"/>
              </w:rPr>
              <w:t>$</w:t>
              <w:tab/>
              <w:t>(1,051)</w:t>
            </w:r>
          </w:p>
        </w:tc>
      </w:tr>
    </w:tbl>
    <w:p>
      <w:pPr>
        <w:pStyle w:val="BodyText"/>
        <w:spacing w:before="10"/>
        <w:rPr>
          <w:b/>
          <w:sz w:val="9"/>
        </w:rPr>
      </w:pPr>
    </w:p>
    <w:p>
      <w:pPr>
        <w:pStyle w:val="BodyText"/>
        <w:spacing w:line="247" w:lineRule="auto" w:before="93"/>
        <w:ind w:left="120"/>
      </w:pPr>
      <w:r>
        <w:rPr/>
        <w:pict>
          <v:line style="position:absolute;mso-position-horizontal-relative:page;mso-position-vertical-relative:paragraph;z-index:-387616" from="367.049988pt,-24.280476pt" to="392.649988pt,-24.280476pt" stroked="true" strokeweight=".5pt" strokecolor="#231f20">
            <v:stroke dashstyle="solid"/>
            <w10:wrap type="none"/>
          </v:line>
        </w:pict>
      </w:r>
      <w:r>
        <w:rPr/>
        <w:pict>
          <v:line style="position:absolute;mso-position-horizontal-relative:page;mso-position-vertical-relative:paragraph;z-index:-387592" from="204.649994pt,-8.280475pt" to="251.399994pt,-8.280475pt" stroked="true" strokeweight=".5pt" strokecolor="#231f20">
            <v:stroke dashstyle="solid"/>
            <w10:wrap type="none"/>
          </v:line>
        </w:pict>
      </w:r>
      <w:r>
        <w:rPr/>
        <w:pict>
          <v:line style="position:absolute;mso-position-horizontal-relative:page;mso-position-vertical-relative:paragraph;z-index:-387568" from="257.399994pt,-8.280475pt" to="304.149994pt,-8.280475pt" stroked="true" strokeweight=".5pt" strokecolor="#231f20">
            <v:stroke dashstyle="solid"/>
            <w10:wrap type="none"/>
          </v:line>
        </w:pict>
      </w:r>
      <w:r>
        <w:rPr/>
        <w:pict>
          <v:line style="position:absolute;mso-position-horizontal-relative:page;mso-position-vertical-relative:paragraph;z-index:-387544" from="310.149994pt,-8.280475pt" to="361.049994pt,-8.280475pt" stroked="true" strokeweight=".5pt" strokecolor="#231f20">
            <v:stroke dashstyle="solid"/>
            <w10:wrap type="none"/>
          </v:line>
        </w:pict>
      </w:r>
      <w:r>
        <w:rPr/>
        <w:pict>
          <v:group style="position:absolute;margin-left:366.799988pt;margin-top:-8.530475pt;width:26.1pt;height:2.5pt;mso-position-horizontal-relative:page;mso-position-vertical-relative:paragraph;z-index:-387520" coordorigin="7336,-171" coordsize="522,50">
            <v:line style="position:absolute" from="7341,-166" to="7853,-166" stroked="true" strokeweight=".5pt" strokecolor="#231f20">
              <v:stroke dashstyle="solid"/>
            </v:line>
            <v:line style="position:absolute" from="7341,-126" to="7853,-126" stroked="true" strokeweight=".5pt" strokecolor="#231f20">
              <v:stroke dashstyle="solid"/>
            </v:line>
            <w10:wrap type="none"/>
          </v:group>
        </w:pict>
      </w:r>
      <w:r>
        <w:rPr/>
        <w:pict>
          <v:line style="position:absolute;mso-position-horizontal-relative:page;mso-position-vertical-relative:paragraph;z-index:-387496" from="398.649994pt,-8.280475pt" to="436.999994pt,-8.280475pt" stroked="true" strokeweight=".5pt" strokecolor="#231f20">
            <v:stroke dashstyle="solid"/>
            <w10:wrap type="none"/>
          </v:line>
        </w:pict>
      </w:r>
      <w:r>
        <w:rPr>
          <w:color w:val="231F20"/>
        </w:rPr>
        <w:t>The following table illustrates the significant amounts reclassified out of each component of AOCI for the year ended December 31, 2015:</w:t>
      </w:r>
    </w:p>
    <w:p>
      <w:pPr>
        <w:spacing w:after="0" w:line="247" w:lineRule="auto"/>
        <w:sectPr>
          <w:type w:val="continuous"/>
          <w:pgSz w:w="11880" w:h="15480"/>
          <w:pgMar w:top="1260" w:bottom="280" w:left="1260" w:right="1260"/>
        </w:sectPr>
      </w:pPr>
    </w:p>
    <w:p>
      <w:pPr>
        <w:spacing w:line="560" w:lineRule="atLeast" w:before="147"/>
        <w:ind w:left="180" w:right="1102" w:firstLine="0"/>
        <w:jc w:val="left"/>
        <w:rPr>
          <w:b/>
          <w:sz w:val="20"/>
        </w:rPr>
      </w:pPr>
      <w:r>
        <w:rPr>
          <w:b/>
          <w:color w:val="231F20"/>
          <w:sz w:val="20"/>
        </w:rPr>
        <w:t>(in  millions) AOCI components</w:t>
      </w:r>
    </w:p>
    <w:p>
      <w:pPr>
        <w:spacing w:before="69"/>
        <w:ind w:left="180" w:right="0" w:firstLine="0"/>
        <w:jc w:val="left"/>
        <w:rPr>
          <w:sz w:val="20"/>
        </w:rPr>
      </w:pPr>
      <w:r>
        <w:rPr>
          <w:color w:val="231F20"/>
          <w:sz w:val="20"/>
        </w:rPr>
        <w:t>Unrealized loss on fuel derivative</w:t>
      </w:r>
    </w:p>
    <w:p>
      <w:pPr>
        <w:spacing w:before="157"/>
        <w:ind w:left="179" w:right="0" w:firstLine="0"/>
        <w:jc w:val="center"/>
        <w:rPr>
          <w:b/>
          <w:sz w:val="20"/>
        </w:rPr>
      </w:pPr>
      <w:r>
        <w:rPr/>
        <w:br w:type="column"/>
      </w:r>
      <w:r>
        <w:rPr>
          <w:b/>
          <w:color w:val="231F20"/>
          <w:sz w:val="20"/>
        </w:rPr>
        <w:t>Year ended December 31, 2015</w:t>
      </w:r>
    </w:p>
    <w:p>
      <w:pPr>
        <w:pStyle w:val="BodyText"/>
        <w:rPr>
          <w:b/>
        </w:rPr>
      </w:pPr>
    </w:p>
    <w:p>
      <w:pPr>
        <w:spacing w:line="249" w:lineRule="auto" w:before="156"/>
        <w:ind w:left="641" w:right="402" w:firstLine="0"/>
        <w:jc w:val="center"/>
        <w:rPr>
          <w:b/>
          <w:sz w:val="20"/>
        </w:rPr>
      </w:pPr>
      <w:r>
        <w:rPr/>
        <w:pict>
          <v:line style="position:absolute;mso-position-horizontal-relative:page;mso-position-vertical-relative:paragraph;z-index:-387424" from="524.5pt,31.63595pt" to="69.5pt,31.63595pt" stroked="true" strokeweight="1pt" strokecolor="#231f20">
            <v:stroke dashstyle="solid"/>
            <w10:wrap type="none"/>
          </v:line>
        </w:pict>
      </w:r>
      <w:r>
        <w:rPr/>
        <w:pict>
          <v:line style="position:absolute;mso-position-horizontal-relative:page;mso-position-vertical-relative:paragraph;z-index:-387400" from="69pt,-11.36405pt" to="525pt,-11.36405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pStyle w:val="BodyText"/>
        <w:spacing w:before="5"/>
        <w:rPr>
          <w:b/>
          <w:sz w:val="26"/>
        </w:rPr>
      </w:pPr>
    </w:p>
    <w:p>
      <w:pPr>
        <w:spacing w:line="249" w:lineRule="auto" w:before="0"/>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883" w:space="322"/>
            <w:col w:w="2831" w:space="151"/>
            <w:col w:w="3173"/>
          </w:cols>
        </w:sectPr>
      </w:pPr>
    </w:p>
    <w:p>
      <w:pPr>
        <w:tabs>
          <w:tab w:pos="3846" w:val="left" w:leader="none"/>
          <w:tab w:pos="5232" w:val="left" w:leader="none"/>
          <w:tab w:pos="5752" w:val="left" w:leader="none"/>
        </w:tabs>
        <w:spacing w:before="9"/>
        <w:ind w:left="380" w:right="0" w:firstLine="0"/>
        <w:jc w:val="left"/>
        <w:rPr>
          <w:sz w:val="20"/>
        </w:rPr>
      </w:pPr>
      <w:r>
        <w:rPr>
          <w:color w:val="231F20"/>
          <w:sz w:val="20"/>
        </w:rPr>
        <w:t>instruments</w:t>
        <w:tab/>
        <w:t>$</w:t>
        <w:tab/>
        <w:t>378</w:t>
        <w:tab/>
        <w:t>Fuel and oil expense</w:t>
      </w:r>
    </w:p>
    <w:p>
      <w:pPr>
        <w:tabs>
          <w:tab w:pos="5232" w:val="left" w:leader="none"/>
          <w:tab w:pos="5752" w:val="left" w:leader="none"/>
          <w:tab w:pos="9239" w:val="left" w:leader="none"/>
        </w:tabs>
        <w:spacing w:before="69"/>
        <w:ind w:left="120" w:right="0" w:firstLine="0"/>
        <w:jc w:val="left"/>
        <w:rPr>
          <w:sz w:val="20"/>
        </w:rPr>
      </w:pPr>
      <w:r>
        <w:rPr/>
        <w:pict>
          <v:line style="position:absolute;mso-position-horizontal-relative:page;mso-position-vertical-relative:paragraph;z-index:7744;mso-wrap-distance-left:0;mso-wrap-distance-right:0" from="255.350006pt,16.53595pt" to="344.650006pt,16.53595pt" stroked="true" strokeweight=".5pt" strokecolor="#231f20">
            <v:stroke dashstyle="solid"/>
            <w10:wrap type="topAndBottom"/>
          </v:line>
        </w:pict>
      </w:r>
      <w:r>
        <w:rPr>
          <w:color w:val="231F20"/>
          <w:sz w:val="20"/>
          <w:shd w:fill="D1D3D4" w:color="auto" w:val="clear"/>
        </w:rPr>
        <w:t> </w:t>
        <w:tab/>
        <w:t>140</w:t>
        <w:tab/>
        <w:t>Less: Tax expense</w:t>
        <w:tab/>
      </w:r>
    </w:p>
    <w:p>
      <w:pPr>
        <w:tabs>
          <w:tab w:pos="5232" w:val="left" w:leader="none"/>
          <w:tab w:pos="5752" w:val="left" w:leader="none"/>
        </w:tabs>
        <w:spacing w:before="24"/>
        <w:ind w:left="3847" w:right="0" w:firstLine="0"/>
        <w:jc w:val="left"/>
        <w:rPr>
          <w:sz w:val="20"/>
        </w:rPr>
      </w:pPr>
      <w:r>
        <w:rPr>
          <w:color w:val="231F20"/>
          <w:sz w:val="20"/>
        </w:rPr>
        <w:t>$</w:t>
        <w:tab/>
        <w:t>238</w:t>
        <w:tab/>
        <w:t>Net of tax</w:t>
      </w:r>
    </w:p>
    <w:p>
      <w:pPr>
        <w:spacing w:before="89"/>
        <w:ind w:left="180" w:right="0" w:firstLine="0"/>
        <w:jc w:val="left"/>
        <w:rPr>
          <w:sz w:val="20"/>
        </w:rPr>
      </w:pPr>
      <w:r>
        <w:rPr/>
        <w:pict>
          <v:group style="position:absolute;margin-left:69pt;margin-top:1.285950pt;width:456pt;height:27.5pt;mso-position-horizontal-relative:page;mso-position-vertical-relative:paragraph;z-index:-387472" coordorigin="1380,26" coordsize="9120,550">
            <v:rect style="position:absolute;left:1380;top:36;width:9120;height:540" filled="true" fillcolor="#d1d3d4" stroked="false">
              <v:fill type="solid"/>
            </v:rect>
            <v:line style="position:absolute" from="5107,31" to="6893,31" stroked="true" strokeweight=".5pt" strokecolor="#231f20">
              <v:stroke dashstyle="solid"/>
            </v:line>
            <w10:wrap type="none"/>
          </v:group>
        </w:pict>
      </w:r>
      <w:r>
        <w:rPr>
          <w:color w:val="231F20"/>
          <w:sz w:val="20"/>
        </w:rPr>
        <w:t>Unrealized loss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20</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5pt;width:456pt;height:16.5pt;mso-position-horizontal-relative:page;mso-position-vertical-relative:paragraph;z-index:-387448" coordorigin="1380,326" coordsize="9120,330">
            <v:rect style="position:absolute;left:1380;top:336;width:9120;height:300" filled="true" fillcolor="#d1d3d4"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7</w:t>
        <w:tab/>
        <w:t>Less: Tax expense</w:t>
      </w:r>
    </w:p>
    <w:p>
      <w:pPr>
        <w:tabs>
          <w:tab w:pos="5332" w:val="left" w:leader="none"/>
          <w:tab w:pos="5752" w:val="left" w:leader="none"/>
        </w:tabs>
        <w:spacing w:before="89"/>
        <w:ind w:left="3847" w:right="0" w:firstLine="0"/>
        <w:jc w:val="left"/>
        <w:rPr>
          <w:sz w:val="20"/>
        </w:rPr>
      </w:pPr>
      <w:r>
        <w:rPr>
          <w:color w:val="231F20"/>
          <w:sz w:val="20"/>
        </w:rPr>
        <w:t>$</w:t>
        <w:tab/>
        <w:t>13</w:t>
        <w:tab/>
        <w:t>Net of tax</w:t>
      </w:r>
    </w:p>
    <w:p>
      <w:pPr>
        <w:pStyle w:val="BodyText"/>
        <w:spacing w:before="8"/>
        <w:rPr>
          <w:sz w:val="26"/>
        </w:rPr>
      </w:pPr>
      <w:r>
        <w:rPr/>
        <w:pict>
          <v:line style="position:absolute;mso-position-horizontal-relative:page;mso-position-vertical-relative:paragraph;z-index:7768;mso-wrap-distance-left:0;mso-wrap-distance-right:0" from="255.350006pt,17.572876pt" to="344.650006pt,17.572876pt" stroked="true" strokeweight=".5pt" strokecolor="#231f20">
            <v:stroke dashstyle="solid"/>
            <w10:wrap type="topAndBottom"/>
          </v:line>
        </w:pict>
      </w:r>
    </w:p>
    <w:p>
      <w:pPr>
        <w:tabs>
          <w:tab w:pos="3846" w:val="left" w:leader="none"/>
          <w:tab w:pos="5232" w:val="left" w:leader="none"/>
          <w:tab w:pos="5752" w:val="left" w:leader="none"/>
        </w:tabs>
        <w:spacing w:before="24" w:after="26"/>
        <w:ind w:left="180" w:right="0" w:firstLine="0"/>
        <w:jc w:val="left"/>
        <w:rPr>
          <w:sz w:val="20"/>
        </w:rPr>
      </w:pPr>
      <w:r>
        <w:rPr>
          <w:color w:val="231F20"/>
          <w:sz w:val="20"/>
        </w:rPr>
        <w:t>Total reclassifications for</w:t>
      </w:r>
      <w:r>
        <w:rPr>
          <w:color w:val="231F20"/>
          <w:spacing w:val="4"/>
          <w:sz w:val="20"/>
        </w:rPr>
        <w:t> </w:t>
      </w:r>
      <w:r>
        <w:rPr>
          <w:color w:val="231F20"/>
          <w:sz w:val="20"/>
        </w:rPr>
        <w:t>the period</w:t>
        <w:tab/>
        <w:t>$</w:t>
        <w:tab/>
        <w:t>251</w:t>
        <w:tab/>
        <w:t>Net of tax</w:t>
      </w:r>
    </w:p>
    <w:p>
      <w:pPr>
        <w:pStyle w:val="BodyText"/>
        <w:spacing w:line="50" w:lineRule="exact"/>
        <w:ind w:left="3842"/>
        <w:rPr>
          <w:sz w:val="5"/>
        </w:rPr>
      </w:pPr>
      <w:r>
        <w:rPr>
          <w:position w:val="0"/>
          <w:sz w:val="5"/>
        </w:rPr>
        <w:pict>
          <v:group style="width:89.8pt;height:2.5pt;mso-position-horizontal-relative:char;mso-position-vertical-relative:line" coordorigin="0,0" coordsize="1796,50">
            <v:line style="position:absolute" from="5,5" to="1791,5" stroked="true" strokeweight=".5pt" strokecolor="#231f20">
              <v:stroke dashstyle="solid"/>
            </v:line>
            <v:line style="position:absolute" from="5,45" to="1791,45" stroked="true" strokeweight=".5pt" strokecolor="#231f20">
              <v:stroke dashstyle="solid"/>
            </v:line>
          </v:group>
        </w:pict>
      </w:r>
      <w:r>
        <w:rPr>
          <w:position w:val="0"/>
          <w:sz w:val="5"/>
        </w:rPr>
      </w:r>
    </w:p>
    <w:p>
      <w:pPr>
        <w:pStyle w:val="BodyText"/>
        <w:spacing w:before="10"/>
        <w:rPr>
          <w:sz w:val="9"/>
        </w:rPr>
      </w:pPr>
    </w:p>
    <w:p>
      <w:pPr>
        <w:pStyle w:val="Heading1"/>
        <w:numPr>
          <w:ilvl w:val="0"/>
          <w:numId w:val="14"/>
        </w:numPr>
        <w:tabs>
          <w:tab w:pos="450" w:val="left" w:leader="none"/>
        </w:tabs>
        <w:spacing w:line="240" w:lineRule="auto" w:before="100" w:after="0"/>
        <w:ind w:left="450" w:right="0" w:hanging="330"/>
        <w:jc w:val="both"/>
      </w:pPr>
      <w:r>
        <w:rPr>
          <w:color w:val="231F20"/>
        </w:rPr>
        <w:t>EMPLOYEE RETIREMENT</w:t>
      </w:r>
      <w:r>
        <w:rPr>
          <w:color w:val="231F20"/>
          <w:spacing w:val="2"/>
        </w:rPr>
        <w:t> </w:t>
      </w:r>
      <w:r>
        <w:rPr>
          <w:color w:val="231F20"/>
        </w:rPr>
        <w:t>PLANS</w:t>
      </w:r>
    </w:p>
    <w:p>
      <w:pPr>
        <w:pStyle w:val="Heading2"/>
        <w:spacing w:before="166"/>
        <w:ind w:left="480"/>
        <w:rPr>
          <w:i/>
        </w:rPr>
      </w:pPr>
      <w:r>
        <w:rPr>
          <w:i/>
          <w:color w:val="231F20"/>
        </w:rPr>
        <w:t>Defined Contribution Plans</w:t>
      </w:r>
    </w:p>
    <w:p>
      <w:pPr>
        <w:pStyle w:val="BodyText"/>
        <w:spacing w:line="247" w:lineRule="auto" w:before="166"/>
        <w:ind w:left="120" w:right="117"/>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of 1986, as amended,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w:t>
      </w:r>
      <w:r>
        <w:rPr>
          <w:color w:val="231F20"/>
          <w:spacing w:val="-6"/>
        </w:rPr>
        <w:t> </w:t>
      </w:r>
      <w:r>
        <w:rPr>
          <w:color w:val="231F20"/>
        </w:rPr>
        <w:t>allowed.</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jc w:val="both"/>
      </w:pPr>
      <w:r>
        <w:rPr>
          <w:color w:val="231F20"/>
        </w:rPr>
        <w:t>Company contributions to all defined contribution plans expensed in 2015, 2014, and 2013, reflected  as a component of Salaries, wages, and benefits, were $945 million, $644 million, and $497 million, respectively.</w:t>
      </w:r>
    </w:p>
    <w:p>
      <w:pPr>
        <w:pStyle w:val="BodyText"/>
        <w:spacing w:before="9"/>
        <w:rPr>
          <w:sz w:val="20"/>
        </w:rPr>
      </w:pPr>
    </w:p>
    <w:p>
      <w:pPr>
        <w:pStyle w:val="Heading2"/>
        <w:ind w:left="480"/>
        <w:rPr>
          <w:i/>
        </w:rPr>
      </w:pPr>
      <w:r>
        <w:rPr>
          <w:i/>
          <w:color w:val="231F20"/>
        </w:rPr>
        <w:t>Postretirement Benefit Plans</w:t>
      </w:r>
    </w:p>
    <w:p>
      <w:pPr>
        <w:pStyle w:val="BodyText"/>
        <w:spacing w:before="5"/>
        <w:rPr>
          <w:b/>
          <w:i/>
          <w:sz w:val="21"/>
        </w:rPr>
      </w:pPr>
    </w:p>
    <w:p>
      <w:pPr>
        <w:pStyle w:val="BodyText"/>
        <w:spacing w:line="247" w:lineRule="auto"/>
        <w:ind w:left="120" w:right="138"/>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collective-bargaining agreements with specific workgroups. Employees meeting these requirements, as defined, may use accrued unused sick time to pay for medical and dental premiums from the age of retirement until age</w:t>
      </w:r>
      <w:r>
        <w:rPr>
          <w:color w:val="231F20"/>
          <w:spacing w:val="-4"/>
        </w:rPr>
        <w:t> </w:t>
      </w:r>
      <w:r>
        <w:rPr>
          <w:color w:val="231F20"/>
        </w:rPr>
        <w:t>65.</w:t>
      </w:r>
    </w:p>
    <w:p>
      <w:pPr>
        <w:pStyle w:val="BodyText"/>
        <w:spacing w:before="9"/>
        <w:rPr>
          <w:sz w:val="20"/>
        </w:rPr>
      </w:pPr>
    </w:p>
    <w:p>
      <w:pPr>
        <w:pStyle w:val="BodyText"/>
        <w:spacing w:line="247" w:lineRule="auto"/>
        <w:ind w:left="120" w:right="137"/>
        <w:jc w:val="both"/>
      </w:pPr>
      <w:r>
        <w:rPr/>
        <w:pict>
          <v:line style="position:absolute;mso-position-horizontal-relative:page;mso-position-vertical-relative:paragraph;z-index:-387376" from="69pt,48.771606pt" to="345pt,48.771606pt" stroked="true" strokeweight="1pt" strokecolor="#231f20">
            <v:stroke dashstyle="solid"/>
            <w10:wrap type="none"/>
          </v:line>
        </w:pict>
      </w:r>
      <w:r>
        <w:rPr>
          <w:color w:val="231F20"/>
        </w:rPr>
        <w:t>The following table shows the change in the accumulated postretirement benefit obligation (APBO) for the years ended December 31,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640"/>
        <w:gridCol w:w="160"/>
        <w:gridCol w:w="1640"/>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2015</w:t>
            </w:r>
          </w:p>
        </w:tc>
        <w:tc>
          <w:tcPr>
            <w:tcW w:w="160" w:type="dxa"/>
          </w:tcPr>
          <w:p>
            <w:pPr/>
          </w:p>
        </w:tc>
        <w:tc>
          <w:tcPr>
            <w:tcW w:w="1640" w:type="dxa"/>
            <w:tcBorders>
              <w:bottom w:val="single" w:sz="8" w:space="0" w:color="231F20"/>
            </w:tcBorders>
          </w:tcPr>
          <w:p>
            <w:pPr>
              <w:pStyle w:val="TableParagraph"/>
              <w:spacing w:line="229" w:lineRule="exact" w:before="0"/>
              <w:ind w:left="600" w:right="600"/>
              <w:jc w:val="center"/>
              <w:rPr>
                <w:b/>
                <w:sz w:val="20"/>
              </w:rPr>
            </w:pPr>
            <w:r>
              <w:rPr>
                <w:b/>
                <w:color w:val="231F20"/>
                <w:sz w:val="20"/>
              </w:rPr>
              <w:t>2014</w:t>
            </w:r>
          </w:p>
        </w:tc>
      </w:tr>
      <w:tr>
        <w:trPr>
          <w:trHeight w:val="310" w:hRule="exact"/>
        </w:trPr>
        <w:tc>
          <w:tcPr>
            <w:tcW w:w="5520" w:type="dxa"/>
            <w:shd w:val="clear" w:color="auto" w:fill="D1D3D4"/>
          </w:tcPr>
          <w:p>
            <w:pPr>
              <w:pStyle w:val="TableParagraph"/>
              <w:rPr>
                <w:sz w:val="20"/>
              </w:rPr>
            </w:pPr>
            <w:r>
              <w:rPr>
                <w:color w:val="231F20"/>
                <w:sz w:val="20"/>
              </w:rPr>
              <w:t>APBO at beginning of period</w:t>
            </w:r>
          </w:p>
        </w:tc>
        <w:tc>
          <w:tcPr>
            <w:tcW w:w="160" w:type="dxa"/>
            <w:shd w:val="clear" w:color="auto" w:fill="D1D3D4"/>
          </w:tcPr>
          <w:p>
            <w:pPr/>
          </w:p>
        </w:tc>
        <w:tc>
          <w:tcPr>
            <w:tcW w:w="1640" w:type="dxa"/>
            <w:tcBorders>
              <w:top w:val="single" w:sz="8" w:space="0" w:color="231F20"/>
            </w:tcBorders>
            <w:shd w:val="clear" w:color="auto" w:fill="D1D3D4"/>
          </w:tcPr>
          <w:p>
            <w:pPr>
              <w:pStyle w:val="TableParagraph"/>
              <w:tabs>
                <w:tab w:pos="1239" w:val="left" w:leader="none"/>
              </w:tabs>
              <w:ind w:right="97"/>
              <w:jc w:val="right"/>
              <w:rPr>
                <w:sz w:val="20"/>
              </w:rPr>
            </w:pPr>
            <w:r>
              <w:rPr>
                <w:color w:val="231F20"/>
                <w:sz w:val="20"/>
              </w:rPr>
              <w:t>$</w:t>
              <w:tab/>
              <w:t>169</w:t>
            </w:r>
          </w:p>
        </w:tc>
        <w:tc>
          <w:tcPr>
            <w:tcW w:w="160" w:type="dxa"/>
            <w:shd w:val="clear" w:color="auto" w:fill="D1D3D4"/>
          </w:tcPr>
          <w:p>
            <w:pPr/>
          </w:p>
        </w:tc>
        <w:tc>
          <w:tcPr>
            <w:tcW w:w="1640" w:type="dxa"/>
            <w:tcBorders>
              <w:top w:val="single" w:sz="8" w:space="0" w:color="231F20"/>
            </w:tcBorders>
            <w:shd w:val="clear" w:color="auto" w:fill="D1D3D4"/>
          </w:tcPr>
          <w:p>
            <w:pPr>
              <w:pStyle w:val="TableParagraph"/>
              <w:tabs>
                <w:tab w:pos="1239" w:val="left" w:leader="none"/>
              </w:tabs>
              <w:rPr>
                <w:sz w:val="20"/>
              </w:rPr>
            </w:pPr>
            <w:r>
              <w:rPr>
                <w:color w:val="231F20"/>
                <w:sz w:val="20"/>
              </w:rPr>
              <w:t>$</w:t>
              <w:tab/>
              <w:t>138</w:t>
            </w:r>
          </w:p>
        </w:tc>
      </w:tr>
      <w:tr>
        <w:trPr>
          <w:trHeight w:val="300" w:hRule="exact"/>
        </w:trPr>
        <w:tc>
          <w:tcPr>
            <w:tcW w:w="5520" w:type="dxa"/>
          </w:tcPr>
          <w:p>
            <w:pPr>
              <w:pStyle w:val="TableParagraph"/>
              <w:ind w:left="200"/>
              <w:rPr>
                <w:sz w:val="20"/>
              </w:rPr>
            </w:pPr>
            <w:r>
              <w:rPr>
                <w:color w:val="231F20"/>
                <w:sz w:val="20"/>
              </w:rPr>
              <w:t>Service cost</w:t>
            </w:r>
          </w:p>
        </w:tc>
        <w:tc>
          <w:tcPr>
            <w:tcW w:w="160" w:type="dxa"/>
          </w:tcPr>
          <w:p>
            <w:pPr/>
          </w:p>
        </w:tc>
        <w:tc>
          <w:tcPr>
            <w:tcW w:w="1640" w:type="dxa"/>
          </w:tcPr>
          <w:p>
            <w:pPr>
              <w:pStyle w:val="TableParagraph"/>
              <w:ind w:right="99"/>
              <w:jc w:val="right"/>
              <w:rPr>
                <w:sz w:val="20"/>
              </w:rPr>
            </w:pPr>
            <w:r>
              <w:rPr>
                <w:color w:val="231F20"/>
                <w:sz w:val="20"/>
              </w:rPr>
              <w:t>11</w:t>
            </w:r>
          </w:p>
        </w:tc>
        <w:tc>
          <w:tcPr>
            <w:tcW w:w="160" w:type="dxa"/>
          </w:tcPr>
          <w:p>
            <w:pPr/>
          </w:p>
        </w:tc>
        <w:tc>
          <w:tcPr>
            <w:tcW w:w="1640" w:type="dxa"/>
          </w:tcPr>
          <w:p>
            <w:pPr>
              <w:pStyle w:val="TableParagraph"/>
              <w:ind w:right="99"/>
              <w:jc w:val="right"/>
              <w:rPr>
                <w:sz w:val="20"/>
              </w:rPr>
            </w:pPr>
            <w:r>
              <w:rPr>
                <w:color w:val="231F20"/>
                <w:sz w:val="20"/>
              </w:rPr>
              <w:t>10</w:t>
            </w:r>
          </w:p>
        </w:tc>
      </w:tr>
      <w:tr>
        <w:trPr>
          <w:trHeight w:val="300" w:hRule="exact"/>
        </w:trPr>
        <w:tc>
          <w:tcPr>
            <w:tcW w:w="5520" w:type="dxa"/>
            <w:shd w:val="clear" w:color="auto" w:fill="D1D3D4"/>
          </w:tcPr>
          <w:p>
            <w:pPr>
              <w:pStyle w:val="TableParagraph"/>
              <w:ind w:left="200"/>
              <w:rPr>
                <w:sz w:val="20"/>
              </w:rPr>
            </w:pPr>
            <w:r>
              <w:rPr>
                <w:color w:val="231F20"/>
                <w:sz w:val="20"/>
              </w:rPr>
              <w:t>Interest cost</w:t>
            </w:r>
          </w:p>
        </w:tc>
        <w:tc>
          <w:tcPr>
            <w:tcW w:w="160" w:type="dxa"/>
            <w:shd w:val="clear" w:color="auto" w:fill="D1D3D4"/>
          </w:tcPr>
          <w:p>
            <w:pPr/>
          </w:p>
        </w:tc>
        <w:tc>
          <w:tcPr>
            <w:tcW w:w="1640" w:type="dxa"/>
            <w:shd w:val="clear" w:color="auto" w:fill="D1D3D4"/>
          </w:tcPr>
          <w:p>
            <w:pPr>
              <w:pStyle w:val="TableParagraph"/>
              <w:ind w:right="99"/>
              <w:jc w:val="right"/>
              <w:rPr>
                <w:sz w:val="20"/>
              </w:rPr>
            </w:pPr>
            <w:r>
              <w:rPr>
                <w:color w:val="231F20"/>
                <w:sz w:val="20"/>
              </w:rPr>
              <w:t>7</w:t>
            </w:r>
          </w:p>
        </w:tc>
        <w:tc>
          <w:tcPr>
            <w:tcW w:w="160" w:type="dxa"/>
            <w:shd w:val="clear" w:color="auto" w:fill="D1D3D4"/>
          </w:tcPr>
          <w:p>
            <w:pPr/>
          </w:p>
        </w:tc>
        <w:tc>
          <w:tcPr>
            <w:tcW w:w="1640" w:type="dxa"/>
            <w:shd w:val="clear" w:color="auto" w:fill="D1D3D4"/>
          </w:tcPr>
          <w:p>
            <w:pPr>
              <w:pStyle w:val="TableParagraph"/>
              <w:ind w:right="99"/>
              <w:jc w:val="right"/>
              <w:rPr>
                <w:sz w:val="20"/>
              </w:rPr>
            </w:pPr>
            <w:r>
              <w:rPr>
                <w:color w:val="231F20"/>
                <w:sz w:val="20"/>
              </w:rPr>
              <w:t>7</w:t>
            </w:r>
          </w:p>
        </w:tc>
      </w:tr>
      <w:tr>
        <w:trPr>
          <w:trHeight w:val="300" w:hRule="exact"/>
        </w:trPr>
        <w:tc>
          <w:tcPr>
            <w:tcW w:w="5520" w:type="dxa"/>
          </w:tcPr>
          <w:p>
            <w:pPr>
              <w:pStyle w:val="TableParagraph"/>
              <w:ind w:left="200"/>
              <w:rPr>
                <w:sz w:val="20"/>
              </w:rPr>
            </w:pPr>
            <w:r>
              <w:rPr>
                <w:color w:val="231F20"/>
                <w:sz w:val="20"/>
              </w:rPr>
              <w:t>Benefits paid</w:t>
            </w:r>
          </w:p>
        </w:tc>
        <w:tc>
          <w:tcPr>
            <w:tcW w:w="160" w:type="dxa"/>
          </w:tcPr>
          <w:p>
            <w:pPr/>
          </w:p>
        </w:tc>
        <w:tc>
          <w:tcPr>
            <w:tcW w:w="1640" w:type="dxa"/>
          </w:tcPr>
          <w:p>
            <w:pPr>
              <w:pStyle w:val="TableParagraph"/>
              <w:ind w:right="48"/>
              <w:jc w:val="right"/>
              <w:rPr>
                <w:sz w:val="20"/>
              </w:rPr>
            </w:pPr>
            <w:r>
              <w:rPr>
                <w:color w:val="231F20"/>
                <w:sz w:val="20"/>
              </w:rPr>
              <w:t>(6)</w:t>
            </w:r>
          </w:p>
        </w:tc>
        <w:tc>
          <w:tcPr>
            <w:tcW w:w="160" w:type="dxa"/>
          </w:tcPr>
          <w:p>
            <w:pPr/>
          </w:p>
        </w:tc>
        <w:tc>
          <w:tcPr>
            <w:tcW w:w="1640" w:type="dxa"/>
          </w:tcPr>
          <w:p>
            <w:pPr>
              <w:pStyle w:val="TableParagraph"/>
              <w:ind w:right="48"/>
              <w:jc w:val="right"/>
              <w:rPr>
                <w:sz w:val="20"/>
              </w:rPr>
            </w:pPr>
            <w:r>
              <w:rPr>
                <w:color w:val="231F20"/>
                <w:sz w:val="20"/>
              </w:rPr>
              <w:t>(4)</w:t>
            </w:r>
          </w:p>
        </w:tc>
      </w:tr>
      <w:tr>
        <w:trPr>
          <w:trHeight w:val="300" w:hRule="exact"/>
        </w:trPr>
        <w:tc>
          <w:tcPr>
            <w:tcW w:w="5520" w:type="dxa"/>
            <w:shd w:val="clear" w:color="auto" w:fill="D1D3D4"/>
          </w:tcPr>
          <w:p>
            <w:pPr>
              <w:pStyle w:val="TableParagraph"/>
              <w:ind w:left="200"/>
              <w:rPr>
                <w:sz w:val="20"/>
              </w:rPr>
            </w:pPr>
            <w:r>
              <w:rPr>
                <w:color w:val="231F20"/>
                <w:sz w:val="20"/>
              </w:rPr>
              <w:t>Actuarial loss</w:t>
            </w:r>
          </w:p>
        </w:tc>
        <w:tc>
          <w:tcPr>
            <w:tcW w:w="160" w:type="dxa"/>
            <w:shd w:val="clear" w:color="auto" w:fill="D1D3D4"/>
          </w:tcPr>
          <w:p>
            <w:pPr/>
          </w:p>
        </w:tc>
        <w:tc>
          <w:tcPr>
            <w:tcW w:w="1640" w:type="dxa"/>
            <w:shd w:val="clear" w:color="auto" w:fill="D1D3D4"/>
          </w:tcPr>
          <w:p>
            <w:pPr>
              <w:pStyle w:val="TableParagraph"/>
              <w:ind w:right="97"/>
              <w:jc w:val="right"/>
              <w:rPr>
                <w:sz w:val="20"/>
              </w:rPr>
            </w:pPr>
            <w:r>
              <w:rPr>
                <w:color w:val="231F20"/>
                <w:sz w:val="20"/>
              </w:rPr>
              <w:t>20</w:t>
            </w:r>
          </w:p>
        </w:tc>
        <w:tc>
          <w:tcPr>
            <w:tcW w:w="160" w:type="dxa"/>
            <w:shd w:val="clear" w:color="auto" w:fill="D1D3D4"/>
          </w:tcPr>
          <w:p>
            <w:pPr/>
          </w:p>
        </w:tc>
        <w:tc>
          <w:tcPr>
            <w:tcW w:w="1640" w:type="dxa"/>
            <w:shd w:val="clear" w:color="auto" w:fill="D1D3D4"/>
          </w:tcPr>
          <w:p>
            <w:pPr>
              <w:pStyle w:val="TableParagraph"/>
              <w:ind w:right="97"/>
              <w:jc w:val="right"/>
              <w:rPr>
                <w:sz w:val="20"/>
              </w:rPr>
            </w:pPr>
            <w:r>
              <w:rPr>
                <w:color w:val="231F20"/>
                <w:sz w:val="20"/>
              </w:rPr>
              <w:t>21</w:t>
            </w:r>
          </w:p>
        </w:tc>
      </w:tr>
      <w:tr>
        <w:trPr>
          <w:trHeight w:val="315" w:hRule="exact"/>
        </w:trPr>
        <w:tc>
          <w:tcPr>
            <w:tcW w:w="5520" w:type="dxa"/>
          </w:tcPr>
          <w:p>
            <w:pPr>
              <w:pStyle w:val="TableParagraph"/>
              <w:ind w:left="200"/>
              <w:rPr>
                <w:sz w:val="20"/>
              </w:rPr>
            </w:pPr>
            <w:r>
              <w:rPr>
                <w:color w:val="231F20"/>
                <w:sz w:val="20"/>
              </w:rPr>
              <w:t>Settlements</w:t>
            </w:r>
          </w:p>
        </w:tc>
        <w:tc>
          <w:tcPr>
            <w:tcW w:w="160" w:type="dxa"/>
          </w:tcPr>
          <w:p>
            <w:pPr/>
          </w:p>
        </w:tc>
        <w:tc>
          <w:tcPr>
            <w:tcW w:w="1640" w:type="dxa"/>
            <w:tcBorders>
              <w:bottom w:val="single" w:sz="4" w:space="0" w:color="231F20"/>
            </w:tcBorders>
          </w:tcPr>
          <w:p>
            <w:pPr>
              <w:pStyle w:val="TableParagraph"/>
              <w:tabs>
                <w:tab w:pos="1339" w:val="left" w:leader="none"/>
              </w:tabs>
              <w:ind w:right="97"/>
              <w:jc w:val="right"/>
              <w:rPr>
                <w:sz w:val="20"/>
              </w:rPr>
            </w:pPr>
            <w:r>
              <w:rPr>
                <w:color w:val="231F20"/>
                <w:sz w:val="20"/>
              </w:rPr>
              <w:t>$</w:t>
              <w:tab/>
              <w:t>—</w:t>
            </w:r>
          </w:p>
        </w:tc>
        <w:tc>
          <w:tcPr>
            <w:tcW w:w="160" w:type="dxa"/>
            <w:tcBorders>
              <w:bottom w:val="single" w:sz="4" w:space="0" w:color="231F20"/>
            </w:tcBorders>
          </w:tcPr>
          <w:p>
            <w:pPr/>
          </w:p>
        </w:tc>
        <w:tc>
          <w:tcPr>
            <w:tcW w:w="1640" w:type="dxa"/>
            <w:tcBorders>
              <w:bottom w:val="single" w:sz="4" w:space="0" w:color="231F20"/>
            </w:tcBorders>
          </w:tcPr>
          <w:p>
            <w:pPr>
              <w:pStyle w:val="TableParagraph"/>
              <w:tabs>
                <w:tab w:pos="1405" w:val="left" w:leader="none"/>
              </w:tabs>
              <w:rPr>
                <w:sz w:val="20"/>
              </w:rPr>
            </w:pPr>
            <w:r>
              <w:rPr>
                <w:color w:val="231F20"/>
                <w:sz w:val="20"/>
              </w:rPr>
              <w:t>$</w:t>
              <w:tab/>
              <w:t>(3)</w:t>
            </w:r>
          </w:p>
        </w:tc>
      </w:tr>
      <w:tr>
        <w:trPr>
          <w:trHeight w:val="340" w:hRule="exact"/>
        </w:trPr>
        <w:tc>
          <w:tcPr>
            <w:tcW w:w="5520" w:type="dxa"/>
            <w:shd w:val="clear" w:color="auto" w:fill="D1D3D4"/>
          </w:tcPr>
          <w:p>
            <w:pPr>
              <w:pStyle w:val="TableParagraph"/>
              <w:rPr>
                <w:sz w:val="20"/>
              </w:rPr>
            </w:pPr>
            <w:r>
              <w:rPr>
                <w:color w:val="231F20"/>
                <w:sz w:val="20"/>
              </w:rPr>
              <w:t>APBO at end of period</w:t>
            </w:r>
          </w:p>
        </w:tc>
        <w:tc>
          <w:tcPr>
            <w:tcW w:w="160" w:type="dxa"/>
            <w:shd w:val="clear" w:color="auto" w:fill="D1D3D4"/>
          </w:tcPr>
          <w:p>
            <w:pPr/>
          </w:p>
        </w:tc>
        <w:tc>
          <w:tcPr>
            <w:tcW w:w="1640" w:type="dxa"/>
            <w:tcBorders>
              <w:top w:val="single" w:sz="4" w:space="0" w:color="231F20"/>
              <w:bottom w:val="double" w:sz="7" w:space="0" w:color="231F20"/>
            </w:tcBorders>
            <w:shd w:val="clear" w:color="auto" w:fill="D1D3D4"/>
          </w:tcPr>
          <w:p>
            <w:pPr>
              <w:pStyle w:val="TableParagraph"/>
              <w:tabs>
                <w:tab w:pos="1239" w:val="left" w:leader="none"/>
              </w:tabs>
              <w:ind w:right="99"/>
              <w:jc w:val="right"/>
              <w:rPr>
                <w:sz w:val="20"/>
              </w:rPr>
            </w:pPr>
            <w:r>
              <w:rPr>
                <w:color w:val="231F20"/>
                <w:sz w:val="20"/>
              </w:rPr>
              <w:t>$</w:t>
              <w:tab/>
              <w:t>201</w:t>
            </w:r>
          </w:p>
        </w:tc>
        <w:tc>
          <w:tcPr>
            <w:tcW w:w="160" w:type="dxa"/>
            <w:tcBorders>
              <w:top w:val="single" w:sz="4" w:space="0" w:color="231F20"/>
              <w:bottom w:val="double" w:sz="7" w:space="0" w:color="231F20"/>
            </w:tcBorders>
            <w:shd w:val="clear" w:color="auto" w:fill="D1D3D4"/>
          </w:tcPr>
          <w:p>
            <w:pPr/>
          </w:p>
        </w:tc>
        <w:tc>
          <w:tcPr>
            <w:tcW w:w="1640" w:type="dxa"/>
            <w:tcBorders>
              <w:top w:val="single" w:sz="4" w:space="0" w:color="231F20"/>
              <w:bottom w:val="double" w:sz="7" w:space="0" w:color="231F20"/>
            </w:tcBorders>
            <w:shd w:val="clear" w:color="auto" w:fill="D1D3D4"/>
          </w:tcPr>
          <w:p>
            <w:pPr>
              <w:pStyle w:val="TableParagraph"/>
              <w:tabs>
                <w:tab w:pos="1239" w:val="left" w:leader="none"/>
              </w:tabs>
              <w:rPr>
                <w:sz w:val="20"/>
              </w:rPr>
            </w:pPr>
            <w:r>
              <w:rPr>
                <w:color w:val="231F20"/>
                <w:sz w:val="20"/>
              </w:rPr>
              <w:t>$</w:t>
              <w:tab/>
              <w:t>169</w:t>
            </w:r>
          </w:p>
        </w:tc>
      </w:tr>
    </w:tbl>
    <w:p>
      <w:pPr>
        <w:pStyle w:val="BodyText"/>
        <w:spacing w:before="5"/>
        <w:rPr>
          <w:sz w:val="23"/>
        </w:rPr>
      </w:pPr>
    </w:p>
    <w:p>
      <w:pPr>
        <w:pStyle w:val="BodyText"/>
        <w:spacing w:line="247" w:lineRule="auto"/>
        <w:ind w:left="120" w:right="138"/>
        <w:jc w:val="both"/>
      </w:pPr>
      <w:r>
        <w:rPr>
          <w:color w:val="231F20"/>
        </w:rPr>
        <w:t>All plans are unfunded, and benefits are paid as they become due. Estimated future benefit payments expected to be paid are $5 million in 2016, $6 million in 2017, $7 million in 2018, $8 million in   2019,</w:t>
      </w:r>
    </w:p>
    <w:p>
      <w:pPr>
        <w:pStyle w:val="BodyText"/>
        <w:spacing w:line="253" w:lineRule="exact"/>
        <w:ind w:left="120"/>
        <w:jc w:val="both"/>
      </w:pPr>
      <w:r>
        <w:rPr>
          <w:color w:val="231F20"/>
        </w:rPr>
        <w:t>$9 million in 2020, and $71 million for the next five years thereafter.</w:t>
      </w:r>
    </w:p>
    <w:p>
      <w:pPr>
        <w:pStyle w:val="BodyText"/>
        <w:spacing w:before="5"/>
        <w:rPr>
          <w:sz w:val="21"/>
        </w:rPr>
      </w:pPr>
    </w:p>
    <w:p>
      <w:pPr>
        <w:pStyle w:val="BodyText"/>
        <w:spacing w:line="247" w:lineRule="auto"/>
        <w:ind w:left="120" w:right="137"/>
        <w:jc w:val="both"/>
      </w:pPr>
      <w:r>
        <w:rPr/>
        <w:pict>
          <v:line style="position:absolute;mso-position-horizontal-relative:page;mso-position-vertical-relative:paragraph;z-index:-387352" from="69pt,87.770233pt" to="345pt,87.770233pt" stroked="true" strokeweight="1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2014</w:t>
            </w:r>
          </w:p>
        </w:tc>
        <w:tc>
          <w:tcPr>
            <w:tcW w:w="552"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Funded status</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(201)</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(169)</w:t>
            </w:r>
          </w:p>
        </w:tc>
      </w:tr>
      <w:tr>
        <w:trPr>
          <w:trHeight w:val="300" w:hRule="exact"/>
        </w:trPr>
        <w:tc>
          <w:tcPr>
            <w:tcW w:w="5520" w:type="dxa"/>
          </w:tcPr>
          <w:p>
            <w:pPr>
              <w:pStyle w:val="TableParagraph"/>
              <w:rPr>
                <w:sz w:val="20"/>
              </w:rPr>
            </w:pPr>
            <w:r>
              <w:rPr>
                <w:color w:val="231F20"/>
                <w:sz w:val="20"/>
              </w:rPr>
              <w:t>Unrecognized net actuarial gain</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(31)</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(53)</w:t>
            </w:r>
          </w:p>
        </w:tc>
      </w:tr>
      <w:tr>
        <w:trPr>
          <w:trHeight w:val="300" w:hRule="exact"/>
        </w:trPr>
        <w:tc>
          <w:tcPr>
            <w:tcW w:w="5520" w:type="dxa"/>
            <w:shd w:val="clear" w:color="auto" w:fill="D1D3D4"/>
          </w:tcPr>
          <w:p>
            <w:pPr>
              <w:pStyle w:val="TableParagraph"/>
              <w:rPr>
                <w:sz w:val="20"/>
              </w:rPr>
            </w:pPr>
            <w:r>
              <w:rPr>
                <w:color w:val="231F20"/>
                <w:sz w:val="20"/>
              </w:rPr>
              <w:t>Unrecognized prior service cost</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9</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12</w:t>
            </w:r>
          </w:p>
        </w:tc>
      </w:tr>
      <w:tr>
        <w:trPr>
          <w:trHeight w:val="315" w:hRule="exact"/>
        </w:trPr>
        <w:tc>
          <w:tcPr>
            <w:tcW w:w="5520" w:type="dxa"/>
          </w:tcPr>
          <w:p>
            <w:pPr>
              <w:pStyle w:val="TableParagraph"/>
              <w:rPr>
                <w:sz w:val="20"/>
              </w:rPr>
            </w:pPr>
            <w:r>
              <w:rPr>
                <w:color w:val="231F20"/>
                <w:sz w:val="20"/>
              </w:rPr>
              <w:t>Accumulated other comprehensive income</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22</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41</w:t>
            </w:r>
          </w:p>
        </w:tc>
      </w:tr>
      <w:tr>
        <w:trPr>
          <w:trHeight w:val="305" w:hRule="exact"/>
        </w:trPr>
        <w:tc>
          <w:tcPr>
            <w:tcW w:w="5520" w:type="dxa"/>
            <w:shd w:val="clear" w:color="auto" w:fill="D1D3D4"/>
          </w:tcPr>
          <w:p>
            <w:pPr>
              <w:pStyle w:val="TableParagraph"/>
              <w:rPr>
                <w:sz w:val="20"/>
              </w:rPr>
            </w:pPr>
            <w:r>
              <w:rPr>
                <w:color w:val="231F20"/>
                <w:sz w:val="20"/>
              </w:rPr>
              <w:t>Cost recognized on Consolidated Balance Sheet</w:t>
            </w:r>
          </w:p>
        </w:tc>
        <w:tc>
          <w:tcPr>
            <w:tcW w:w="160" w:type="dxa"/>
            <w:shd w:val="clear" w:color="auto" w:fill="D1D3D4"/>
          </w:tcPr>
          <w:p>
            <w:pPr/>
          </w:p>
        </w:tc>
        <w:tc>
          <w:tcPr>
            <w:tcW w:w="1088" w:type="dxa"/>
            <w:tcBorders>
              <w:top w:val="single" w:sz="4" w:space="0" w:color="231F20"/>
              <w:bottom w:val="double" w:sz="7" w:space="0" w:color="231F20"/>
            </w:tcBorders>
            <w:shd w:val="clear" w:color="auto" w:fill="D1D3D4"/>
          </w:tcPr>
          <w:p>
            <w:pPr>
              <w:pStyle w:val="TableParagraph"/>
              <w:rPr>
                <w:sz w:val="20"/>
              </w:rPr>
            </w:pPr>
            <w:r>
              <w:rPr>
                <w:color w:val="231F20"/>
                <w:sz w:val="20"/>
              </w:rPr>
              <w:t>$</w:t>
            </w:r>
          </w:p>
        </w:tc>
        <w:tc>
          <w:tcPr>
            <w:tcW w:w="552" w:type="dxa"/>
            <w:tcBorders>
              <w:top w:val="single" w:sz="4" w:space="0" w:color="231F20"/>
              <w:bottom w:val="double" w:sz="7" w:space="0" w:color="231F20"/>
            </w:tcBorders>
            <w:shd w:val="clear" w:color="auto" w:fill="D1D3D4"/>
          </w:tcPr>
          <w:p>
            <w:pPr>
              <w:pStyle w:val="TableParagraph"/>
              <w:ind w:right="48"/>
              <w:jc w:val="right"/>
              <w:rPr>
                <w:sz w:val="20"/>
              </w:rPr>
            </w:pPr>
            <w:r>
              <w:rPr>
                <w:color w:val="231F20"/>
                <w:sz w:val="20"/>
              </w:rPr>
              <w:t>(201)</w:t>
            </w:r>
          </w:p>
        </w:tc>
        <w:tc>
          <w:tcPr>
            <w:tcW w:w="160" w:type="dxa"/>
            <w:tcBorders>
              <w:bottom w:val="double" w:sz="7" w:space="0" w:color="231F20"/>
            </w:tcBorders>
            <w:shd w:val="clear" w:color="auto" w:fill="D1D3D4"/>
          </w:tcPr>
          <w:p>
            <w:pPr/>
          </w:p>
        </w:tc>
        <w:tc>
          <w:tcPr>
            <w:tcW w:w="1088" w:type="dxa"/>
            <w:tcBorders>
              <w:top w:val="single" w:sz="4" w:space="0" w:color="231F20"/>
              <w:bottom w:val="double" w:sz="7" w:space="0" w:color="231F20"/>
            </w:tcBorders>
            <w:shd w:val="clear" w:color="auto" w:fill="D1D3D4"/>
          </w:tcPr>
          <w:p>
            <w:pPr>
              <w:pStyle w:val="TableParagraph"/>
              <w:spacing w:before="48"/>
              <w:rPr>
                <w:sz w:val="20"/>
              </w:rPr>
            </w:pPr>
            <w:r>
              <w:rPr>
                <w:color w:val="231F20"/>
                <w:sz w:val="20"/>
              </w:rPr>
              <w:t>$</w:t>
            </w:r>
          </w:p>
        </w:tc>
        <w:tc>
          <w:tcPr>
            <w:tcW w:w="552" w:type="dxa"/>
            <w:tcBorders>
              <w:top w:val="single" w:sz="4" w:space="0" w:color="231F20"/>
              <w:bottom w:val="double" w:sz="7" w:space="0" w:color="231F20"/>
            </w:tcBorders>
            <w:shd w:val="clear" w:color="auto" w:fill="D1D3D4"/>
          </w:tcPr>
          <w:p>
            <w:pPr>
              <w:pStyle w:val="TableParagraph"/>
              <w:spacing w:before="48"/>
              <w:ind w:right="48"/>
              <w:jc w:val="right"/>
              <w:rPr>
                <w:sz w:val="20"/>
              </w:rPr>
            </w:pPr>
            <w:r>
              <w:rPr>
                <w:color w:val="231F20"/>
                <w:sz w:val="20"/>
              </w:rPr>
              <w:t>(169)</w:t>
            </w:r>
          </w:p>
        </w:tc>
      </w:tr>
    </w:tbl>
    <w:p>
      <w:pPr>
        <w:spacing w:after="0"/>
        <w:jc w:val="right"/>
        <w:rPr>
          <w:sz w:val="20"/>
        </w:rPr>
        <w:sectPr>
          <w:pgSz w:w="11880" w:h="15480"/>
          <w:pgMar w:header="0" w:footer="1240" w:top="1240" w:bottom="1420" w:left="1260" w:right="1240"/>
        </w:sectPr>
      </w:pPr>
    </w:p>
    <w:p>
      <w:pPr>
        <w:pStyle w:val="BodyText"/>
        <w:spacing w:line="247" w:lineRule="auto" w:before="74"/>
        <w:ind w:left="120" w:right="118"/>
        <w:jc w:val="both"/>
      </w:pPr>
      <w:r>
        <w:rPr/>
        <w:pict>
          <v:line style="position:absolute;mso-position-horizontal-relative:page;mso-position-vertical-relative:paragraph;z-index:-387328" from="69pt,52.469532pt" to="303pt,52.469532pt" stroked="true" strokeweight="1pt" strokecolor="#231f20">
            <v:stroke dashstyle="solid"/>
            <w10:wrap type="none"/>
          </v:line>
        </w:pict>
      </w:r>
      <w:r>
        <w:rPr>
          <w:color w:val="231F20"/>
        </w:rPr>
        <w:t>The consolidated periodic postretirement benefit cost for the years ended December 31, 2015, 2014, and 2013,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48"/>
        <w:gridCol w:w="372"/>
        <w:gridCol w:w="160"/>
        <w:gridCol w:w="948"/>
        <w:gridCol w:w="372"/>
        <w:gridCol w:w="160"/>
        <w:gridCol w:w="948"/>
        <w:gridCol w:w="372"/>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2015</w:t>
            </w:r>
          </w:p>
        </w:tc>
        <w:tc>
          <w:tcPr>
            <w:tcW w:w="372" w:type="dxa"/>
            <w:tcBorders>
              <w:bottom w:val="single" w:sz="8" w:space="0" w:color="231F20"/>
            </w:tcBorders>
          </w:tcPr>
          <w:p>
            <w:pP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72" w:type="dxa"/>
            <w:tcBorders>
              <w:bottom w:val="single" w:sz="8" w:space="0" w:color="231F20"/>
            </w:tcBorders>
          </w:tcPr>
          <w:p>
            <w:pPr/>
          </w:p>
        </w:tc>
        <w:tc>
          <w:tcPr>
            <w:tcW w:w="160" w:type="dxa"/>
          </w:tcPr>
          <w:p>
            <w:pPr/>
          </w:p>
        </w:tc>
        <w:tc>
          <w:tcPr>
            <w:tcW w:w="948" w:type="dxa"/>
            <w:tcBorders>
              <w:bottom w:val="single" w:sz="8" w:space="0" w:color="231F20"/>
            </w:tcBorders>
          </w:tcPr>
          <w:p>
            <w:pPr>
              <w:pStyle w:val="TableParagraph"/>
              <w:spacing w:line="229" w:lineRule="exact" w:before="0"/>
              <w:ind w:left="460"/>
              <w:rPr>
                <w:b/>
                <w:sz w:val="20"/>
              </w:rPr>
            </w:pPr>
            <w:r>
              <w:rPr>
                <w:b/>
                <w:color w:val="231F20"/>
                <w:sz w:val="20"/>
              </w:rPr>
              <w:t>2013</w:t>
            </w:r>
          </w:p>
        </w:tc>
        <w:tc>
          <w:tcPr>
            <w:tcW w:w="372" w:type="dxa"/>
            <w:tcBorders>
              <w:bottom w:val="single" w:sz="8" w:space="0" w:color="231F20"/>
            </w:tcBorders>
          </w:tcPr>
          <w:p>
            <w:pPr/>
          </w:p>
        </w:tc>
      </w:tr>
      <w:tr>
        <w:trPr>
          <w:trHeight w:val="310" w:hRule="exact"/>
        </w:trPr>
        <w:tc>
          <w:tcPr>
            <w:tcW w:w="4680" w:type="dxa"/>
            <w:shd w:val="clear" w:color="auto" w:fill="D1D3D4"/>
          </w:tcPr>
          <w:p>
            <w:pPr>
              <w:pStyle w:val="TableParagraph"/>
              <w:ind w:left="100"/>
              <w:rPr>
                <w:sz w:val="20"/>
              </w:rPr>
            </w:pPr>
            <w:r>
              <w:rPr>
                <w:color w:val="231F20"/>
                <w:sz w:val="20"/>
              </w:rPr>
              <w:t>Service cost</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11</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10</w:t>
            </w:r>
          </w:p>
        </w:tc>
        <w:tc>
          <w:tcPr>
            <w:tcW w:w="160" w:type="dxa"/>
            <w:shd w:val="clear" w:color="auto" w:fill="D1D3D4"/>
          </w:tcPr>
          <w:p>
            <w:pPr/>
          </w:p>
        </w:tc>
        <w:tc>
          <w:tcPr>
            <w:tcW w:w="948" w:type="dxa"/>
            <w:tcBorders>
              <w:top w:val="single" w:sz="8" w:space="0" w:color="231F20"/>
            </w:tcBorders>
            <w:shd w:val="clear" w:color="auto" w:fill="D1D3D4"/>
          </w:tcPr>
          <w:p>
            <w:pPr>
              <w:pStyle w:val="TableParagraph"/>
              <w:rPr>
                <w:sz w:val="20"/>
              </w:rPr>
            </w:pPr>
            <w:r>
              <w:rPr>
                <w:color w:val="231F20"/>
                <w:sz w:val="20"/>
              </w:rPr>
              <w:t>$</w:t>
            </w:r>
          </w:p>
        </w:tc>
        <w:tc>
          <w:tcPr>
            <w:tcW w:w="372" w:type="dxa"/>
            <w:tcBorders>
              <w:top w:val="single" w:sz="8" w:space="0" w:color="231F20"/>
            </w:tcBorders>
            <w:shd w:val="clear" w:color="auto" w:fill="D1D3D4"/>
          </w:tcPr>
          <w:p>
            <w:pPr>
              <w:pStyle w:val="TableParagraph"/>
              <w:ind w:right="49"/>
              <w:jc w:val="right"/>
              <w:rPr>
                <w:sz w:val="20"/>
              </w:rPr>
            </w:pPr>
            <w:r>
              <w:rPr>
                <w:color w:val="231F20"/>
                <w:sz w:val="20"/>
              </w:rPr>
              <w:t>30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7</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7</w:t>
            </w:r>
          </w:p>
        </w:tc>
        <w:tc>
          <w:tcPr>
            <w:tcW w:w="160" w:type="dxa"/>
          </w:tcPr>
          <w:p>
            <w:pPr/>
          </w:p>
        </w:tc>
        <w:tc>
          <w:tcPr>
            <w:tcW w:w="948" w:type="dxa"/>
          </w:tcPr>
          <w:p>
            <w:pPr/>
          </w:p>
        </w:tc>
        <w:tc>
          <w:tcPr>
            <w:tcW w:w="372" w:type="dxa"/>
          </w:tcPr>
          <w:p>
            <w:pPr>
              <w:pStyle w:val="TableParagraph"/>
              <w:ind w:right="49"/>
              <w:jc w:val="right"/>
              <w:rPr>
                <w:sz w:val="20"/>
              </w:rPr>
            </w:pPr>
            <w:r>
              <w:rPr>
                <w:color w:val="231F20"/>
                <w:sz w:val="20"/>
              </w:rPr>
              <w:t>4</w:t>
            </w:r>
          </w:p>
        </w:tc>
      </w:tr>
      <w:tr>
        <w:trPr>
          <w:trHeight w:val="300" w:hRule="exact"/>
        </w:trPr>
        <w:tc>
          <w:tcPr>
            <w:tcW w:w="4680" w:type="dxa"/>
            <w:shd w:val="clear" w:color="auto" w:fill="D1D3D4"/>
          </w:tcPr>
          <w:p>
            <w:pPr>
              <w:pStyle w:val="TableParagraph"/>
              <w:ind w:left="100"/>
              <w:rPr>
                <w:sz w:val="20"/>
              </w:rPr>
            </w:pPr>
            <w:r>
              <w:rPr>
                <w:color w:val="231F20"/>
                <w:sz w:val="20"/>
              </w:rPr>
              <w:t>Amortization of prior service cost</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48" w:type="dxa"/>
            <w:shd w:val="clear" w:color="auto" w:fill="D1D3D4"/>
          </w:tcPr>
          <w:p>
            <w:pPr/>
          </w:p>
        </w:tc>
        <w:tc>
          <w:tcPr>
            <w:tcW w:w="372" w:type="dxa"/>
            <w:shd w:val="clear" w:color="auto" w:fill="D1D3D4"/>
          </w:tcPr>
          <w:p>
            <w:pPr>
              <w:pStyle w:val="TableParagraph"/>
              <w:ind w:right="47"/>
              <w:jc w:val="right"/>
              <w:rPr>
                <w:sz w:val="20"/>
              </w:rPr>
            </w:pPr>
            <w:r>
              <w:rPr>
                <w:color w:val="231F20"/>
                <w:sz w:val="20"/>
              </w:rPr>
              <w:t>3</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(3)</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(4)</w:t>
            </w:r>
          </w:p>
        </w:tc>
        <w:tc>
          <w:tcPr>
            <w:tcW w:w="160" w:type="dxa"/>
          </w:tcPr>
          <w:p>
            <w:pPr/>
          </w:p>
        </w:tc>
        <w:tc>
          <w:tcPr>
            <w:tcW w:w="948" w:type="dxa"/>
          </w:tcPr>
          <w:p>
            <w:pPr/>
          </w:p>
        </w:tc>
        <w:tc>
          <w:tcPr>
            <w:tcW w:w="372" w:type="dxa"/>
          </w:tcPr>
          <w:p>
            <w:pPr>
              <w:pStyle w:val="TableParagraph"/>
              <w:ind w:right="48"/>
              <w:jc w:val="right"/>
              <w:rPr>
                <w:sz w:val="20"/>
              </w:rPr>
            </w:pPr>
            <w:r>
              <w:rPr>
                <w:color w:val="231F20"/>
                <w:sz w:val="20"/>
              </w:rPr>
              <w:t>(4)</w:t>
            </w:r>
          </w:p>
        </w:tc>
      </w:tr>
      <w:tr>
        <w:trPr>
          <w:trHeight w:val="315" w:hRule="exact"/>
        </w:trPr>
        <w:tc>
          <w:tcPr>
            <w:tcW w:w="4680" w:type="dxa"/>
            <w:shd w:val="clear" w:color="auto" w:fill="D1D3D4"/>
          </w:tcPr>
          <w:p>
            <w:pPr>
              <w:pStyle w:val="TableParagraph"/>
              <w:ind w:left="100"/>
              <w:rPr>
                <w:sz w:val="20"/>
              </w:rPr>
            </w:pPr>
            <w:r>
              <w:rPr>
                <w:color w:val="231F20"/>
                <w:sz w:val="20"/>
              </w:rPr>
              <w:t>Settlements</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7"/>
              <w:jc w:val="right"/>
              <w:rPr>
                <w:sz w:val="20"/>
              </w:rPr>
            </w:pPr>
            <w:r>
              <w:rPr>
                <w:color w:val="231F20"/>
                <w:sz w:val="20"/>
              </w:rPr>
              <w:t>—</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8"/>
              <w:jc w:val="right"/>
              <w:rPr>
                <w:sz w:val="20"/>
              </w:rPr>
            </w:pPr>
            <w:r>
              <w:rPr>
                <w:color w:val="231F20"/>
                <w:sz w:val="20"/>
              </w:rPr>
              <w:t>(1)</w:t>
            </w:r>
          </w:p>
        </w:tc>
        <w:tc>
          <w:tcPr>
            <w:tcW w:w="160" w:type="dxa"/>
            <w:shd w:val="clear" w:color="auto" w:fill="D1D3D4"/>
          </w:tcPr>
          <w:p>
            <w:pPr/>
          </w:p>
        </w:tc>
        <w:tc>
          <w:tcPr>
            <w:tcW w:w="948" w:type="dxa"/>
            <w:tcBorders>
              <w:bottom w:val="single" w:sz="4" w:space="0" w:color="231F20"/>
            </w:tcBorders>
            <w:shd w:val="clear" w:color="auto" w:fill="D1D3D4"/>
          </w:tcPr>
          <w:p>
            <w:pPr>
              <w:pStyle w:val="TableParagraph"/>
              <w:rPr>
                <w:sz w:val="20"/>
              </w:rPr>
            </w:pPr>
            <w:r>
              <w:rPr>
                <w:color w:val="231F20"/>
                <w:sz w:val="20"/>
              </w:rPr>
              <w:t>$</w:t>
            </w:r>
          </w:p>
        </w:tc>
        <w:tc>
          <w:tcPr>
            <w:tcW w:w="372" w:type="dxa"/>
            <w:tcBorders>
              <w:bottom w:val="single" w:sz="4" w:space="0" w:color="231F20"/>
            </w:tcBorders>
            <w:shd w:val="clear" w:color="auto" w:fill="D1D3D4"/>
          </w:tcPr>
          <w:p>
            <w:pPr>
              <w:pStyle w:val="TableParagraph"/>
              <w:ind w:right="47"/>
              <w:jc w:val="right"/>
              <w:rPr>
                <w:sz w:val="20"/>
              </w:rPr>
            </w:pPr>
            <w:r>
              <w:rPr>
                <w:color w:val="231F20"/>
                <w:sz w:val="20"/>
              </w:rPr>
              <w:t>—</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48" w:type="dxa"/>
            <w:tcBorders>
              <w:top w:val="single" w:sz="4" w:space="0" w:color="231F20"/>
              <w:bottom w:val="single" w:sz="4" w:space="0" w:color="231F20"/>
            </w:tcBorders>
          </w:tcPr>
          <w:p>
            <w:pPr>
              <w:pStyle w:val="TableParagraph"/>
              <w:rPr>
                <w:sz w:val="20"/>
              </w:rPr>
            </w:pPr>
            <w:r>
              <w:rPr>
                <w:color w:val="231F20"/>
                <w:sz w:val="20"/>
              </w:rPr>
              <w:t>$</w:t>
            </w:r>
          </w:p>
        </w:tc>
        <w:tc>
          <w:tcPr>
            <w:tcW w:w="372" w:type="dxa"/>
            <w:tcBorders>
              <w:top w:val="single" w:sz="4" w:space="0" w:color="231F20"/>
              <w:bottom w:val="single" w:sz="4" w:space="0" w:color="231F20"/>
            </w:tcBorders>
          </w:tcPr>
          <w:p>
            <w:pPr>
              <w:pStyle w:val="TableParagraph"/>
              <w:ind w:right="47"/>
              <w:jc w:val="right"/>
              <w:rPr>
                <w:sz w:val="20"/>
              </w:rPr>
            </w:pPr>
            <w:r>
              <w:rPr>
                <w:color w:val="231F20"/>
                <w:sz w:val="20"/>
              </w:rPr>
              <w:t>18</w:t>
            </w:r>
          </w:p>
        </w:tc>
        <w:tc>
          <w:tcPr>
            <w:tcW w:w="160" w:type="dxa"/>
          </w:tcPr>
          <w:p>
            <w:pPr/>
          </w:p>
        </w:tc>
        <w:tc>
          <w:tcPr>
            <w:tcW w:w="948" w:type="dxa"/>
            <w:tcBorders>
              <w:top w:val="single" w:sz="4" w:space="0" w:color="231F20"/>
              <w:bottom w:val="single" w:sz="4" w:space="0" w:color="231F20"/>
            </w:tcBorders>
          </w:tcPr>
          <w:p>
            <w:pPr>
              <w:pStyle w:val="TableParagraph"/>
              <w:rPr>
                <w:sz w:val="20"/>
              </w:rPr>
            </w:pPr>
            <w:r>
              <w:rPr>
                <w:color w:val="231F20"/>
                <w:sz w:val="20"/>
              </w:rPr>
              <w:t>$</w:t>
            </w:r>
          </w:p>
        </w:tc>
        <w:tc>
          <w:tcPr>
            <w:tcW w:w="372" w:type="dxa"/>
            <w:tcBorders>
              <w:top w:val="single" w:sz="4" w:space="0" w:color="231F20"/>
              <w:bottom w:val="single" w:sz="4" w:space="0" w:color="231F20"/>
            </w:tcBorders>
          </w:tcPr>
          <w:p>
            <w:pPr>
              <w:pStyle w:val="TableParagraph"/>
              <w:ind w:right="47"/>
              <w:jc w:val="right"/>
              <w:rPr>
                <w:sz w:val="20"/>
              </w:rPr>
            </w:pPr>
            <w:r>
              <w:rPr>
                <w:color w:val="231F20"/>
                <w:sz w:val="20"/>
              </w:rPr>
              <w:t>15</w:t>
            </w:r>
          </w:p>
        </w:tc>
        <w:tc>
          <w:tcPr>
            <w:tcW w:w="160" w:type="dxa"/>
          </w:tcPr>
          <w:p>
            <w:pPr/>
          </w:p>
        </w:tc>
        <w:tc>
          <w:tcPr>
            <w:tcW w:w="948"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72" w:type="dxa"/>
            <w:tcBorders>
              <w:top w:val="single" w:sz="4" w:space="0" w:color="231F20"/>
              <w:bottom w:val="single" w:sz="4" w:space="0" w:color="231F20"/>
            </w:tcBorders>
          </w:tcPr>
          <w:p>
            <w:pPr>
              <w:pStyle w:val="TableParagraph"/>
              <w:spacing w:before="68"/>
              <w:ind w:right="47"/>
              <w:jc w:val="right"/>
              <w:rPr>
                <w:sz w:val="20"/>
              </w:rPr>
            </w:pPr>
            <w:r>
              <w:rPr>
                <w:color w:val="231F20"/>
                <w:sz w:val="20"/>
              </w:rPr>
              <w:t>33</w:t>
            </w:r>
          </w:p>
        </w:tc>
      </w:tr>
    </w:tbl>
    <w:p>
      <w:pPr>
        <w:pStyle w:val="BodyText"/>
        <w:spacing w:before="2"/>
        <w:rPr>
          <w:sz w:val="25"/>
        </w:rPr>
      </w:pPr>
    </w:p>
    <w:p>
      <w:pPr>
        <w:pStyle w:val="BodyText"/>
        <w:spacing w:line="247" w:lineRule="auto"/>
        <w:ind w:left="120" w:right="118"/>
        <w:jc w:val="both"/>
      </w:pPr>
      <w:r>
        <w:rPr/>
        <w:pict>
          <v:line style="position:absolute;mso-position-horizontal-relative:page;mso-position-vertical-relative:paragraph;z-index:-387304" from="311pt,-16.980469pt" to="377pt,-16.980469pt" stroked="true" strokeweight=".5pt" strokecolor="#231f20">
            <v:stroke dashstyle="solid"/>
            <w10:wrap type="none"/>
          </v:line>
        </w:pict>
      </w:r>
      <w:r>
        <w:rPr/>
        <w:pict>
          <v:line style="position:absolute;mso-position-horizontal-relative:page;mso-position-vertical-relative:paragraph;z-index:-387280" from="385pt,-16.980469pt" to="451pt,-16.980469pt" stroked="true" strokeweight=".5pt" strokecolor="#231f20">
            <v:stroke dashstyle="solid"/>
            <w10:wrap type="none"/>
          </v:line>
        </w:pict>
      </w:r>
      <w:r>
        <w:rPr/>
        <w:pict>
          <v:line style="position:absolute;mso-position-horizontal-relative:page;mso-position-vertical-relative:paragraph;z-index:-387256"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2015, 2014, and 2013:</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Borders>
              <w:bottom w:val="single" w:sz="8" w:space="0" w:color="231F20"/>
            </w:tcBorders>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2013</w:t>
            </w:r>
          </w:p>
        </w:tc>
      </w:tr>
      <w:tr>
        <w:trPr>
          <w:trHeight w:val="310" w:hRule="exact"/>
        </w:trPr>
        <w:tc>
          <w:tcPr>
            <w:tcW w:w="4840" w:type="dxa"/>
            <w:tcBorders>
              <w:top w:val="single" w:sz="8" w:space="0" w:color="231F20"/>
            </w:tcBorders>
            <w:shd w:val="clear" w:color="auto" w:fill="D1D3D4"/>
          </w:tcPr>
          <w:p>
            <w:pPr>
              <w:pStyle w:val="TableParagraph"/>
              <w:spacing w:before="43"/>
              <w:ind w:left="100"/>
              <w:rPr>
                <w:sz w:val="20"/>
              </w:rPr>
            </w:pPr>
            <w:r>
              <w:rPr>
                <w:color w:val="231F20"/>
                <w:sz w:val="20"/>
              </w:rPr>
              <w:t>Weighted-average discount rate</w:t>
            </w:r>
          </w:p>
        </w:tc>
        <w:tc>
          <w:tcPr>
            <w:tcW w:w="1320" w:type="dxa"/>
            <w:tcBorders>
              <w:top w:val="single" w:sz="8" w:space="0" w:color="231F20"/>
            </w:tcBorders>
            <w:shd w:val="clear" w:color="auto" w:fill="D1D3D4"/>
          </w:tcPr>
          <w:p>
            <w:pPr>
              <w:pStyle w:val="TableParagraph"/>
              <w:jc w:val="right"/>
              <w:rPr>
                <w:sz w:val="20"/>
              </w:rPr>
            </w:pPr>
            <w:r>
              <w:rPr>
                <w:color w:val="231F20"/>
                <w:sz w:val="20"/>
              </w:rPr>
              <w:t>4.50%</w:t>
            </w:r>
          </w:p>
        </w:tc>
        <w:tc>
          <w:tcPr>
            <w:tcW w:w="160" w:type="dxa"/>
            <w:shd w:val="clear" w:color="auto" w:fill="D1D3D4"/>
          </w:tcPr>
          <w:p>
            <w:pPr/>
          </w:p>
        </w:tc>
        <w:tc>
          <w:tcPr>
            <w:tcW w:w="1320" w:type="dxa"/>
            <w:tcBorders>
              <w:top w:val="single" w:sz="8" w:space="0" w:color="231F20"/>
            </w:tcBorders>
            <w:shd w:val="clear" w:color="auto" w:fill="D1D3D4"/>
          </w:tcPr>
          <w:p>
            <w:pPr>
              <w:pStyle w:val="TableParagraph"/>
              <w:jc w:val="right"/>
              <w:rPr>
                <w:sz w:val="20"/>
              </w:rPr>
            </w:pPr>
            <w:r>
              <w:rPr>
                <w:color w:val="231F20"/>
                <w:sz w:val="20"/>
              </w:rPr>
              <w:t>4.10%</w:t>
            </w:r>
          </w:p>
        </w:tc>
        <w:tc>
          <w:tcPr>
            <w:tcW w:w="1480" w:type="dxa"/>
            <w:tcBorders>
              <w:top w:val="single" w:sz="8" w:space="0" w:color="231F20"/>
            </w:tcBorders>
            <w:shd w:val="clear" w:color="auto" w:fill="D1D3D4"/>
          </w:tcPr>
          <w:p>
            <w:pPr>
              <w:pStyle w:val="TableParagraph"/>
              <w:spacing w:before="43"/>
              <w:jc w:val="right"/>
              <w:rPr>
                <w:sz w:val="20"/>
              </w:rPr>
            </w:pPr>
            <w:r>
              <w:rPr>
                <w:color w:val="231F20"/>
                <w:sz w:val="20"/>
              </w:rPr>
              <w:t>5.05%</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7.08%</w:t>
            </w:r>
          </w:p>
        </w:tc>
        <w:tc>
          <w:tcPr>
            <w:tcW w:w="160" w:type="dxa"/>
          </w:tcPr>
          <w:p>
            <w:pPr/>
          </w:p>
        </w:tc>
        <w:tc>
          <w:tcPr>
            <w:tcW w:w="1320" w:type="dxa"/>
          </w:tcPr>
          <w:p>
            <w:pPr>
              <w:pStyle w:val="TableParagraph"/>
              <w:jc w:val="right"/>
              <w:rPr>
                <w:sz w:val="20"/>
              </w:rPr>
            </w:pPr>
            <w:r>
              <w:rPr>
                <w:color w:val="231F20"/>
                <w:sz w:val="20"/>
              </w:rPr>
              <w:t>6.88%</w:t>
            </w:r>
          </w:p>
        </w:tc>
        <w:tc>
          <w:tcPr>
            <w:tcW w:w="1480" w:type="dxa"/>
          </w:tcPr>
          <w:p>
            <w:pPr>
              <w:pStyle w:val="TableParagraph"/>
              <w:jc w:val="right"/>
              <w:rPr>
                <w:sz w:val="20"/>
              </w:rPr>
            </w:pPr>
            <w:r>
              <w:rPr>
                <w:color w:val="231F20"/>
                <w:sz w:val="20"/>
              </w:rPr>
              <w:t>7.50%</w:t>
            </w:r>
          </w:p>
        </w:tc>
      </w:tr>
    </w:tbl>
    <w:p>
      <w:pPr>
        <w:pStyle w:val="ListParagraph"/>
        <w:numPr>
          <w:ilvl w:val="1"/>
          <w:numId w:val="14"/>
        </w:numPr>
        <w:tabs>
          <w:tab w:pos="920" w:val="left" w:leader="none"/>
        </w:tabs>
        <w:spacing w:line="249" w:lineRule="auto" w:before="189" w:after="0"/>
        <w:ind w:left="920" w:right="119" w:hanging="400"/>
        <w:jc w:val="left"/>
        <w:rPr>
          <w:sz w:val="20"/>
        </w:rPr>
      </w:pPr>
      <w:r>
        <w:rPr>
          <w:color w:val="231F20"/>
          <w:sz w:val="20"/>
        </w:rPr>
        <w:t>The assumed healthcare cost trend rate is assumed to remain at 7.08% for 2016, then decline gradually to 5.19% by 2026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2015,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D1D3D4"/>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D1D3D4"/>
          </w:tcPr>
          <w:p>
            <w:pPr>
              <w:pStyle w:val="TableParagraph"/>
              <w:tabs>
                <w:tab w:pos="1169" w:val="left" w:leader="none"/>
              </w:tabs>
              <w:ind w:right="47"/>
              <w:jc w:val="center"/>
              <w:rPr>
                <w:sz w:val="20"/>
              </w:rPr>
            </w:pPr>
            <w:r>
              <w:rPr>
                <w:color w:val="231F20"/>
                <w:sz w:val="20"/>
              </w:rPr>
              <w:t>$</w:t>
              <w:tab/>
              <w:t>3</w:t>
            </w:r>
          </w:p>
        </w:tc>
        <w:tc>
          <w:tcPr>
            <w:tcW w:w="1480" w:type="dxa"/>
            <w:tcBorders>
              <w:top w:val="single" w:sz="8" w:space="0" w:color="231F20"/>
            </w:tcBorders>
            <w:shd w:val="clear" w:color="auto" w:fill="D1D3D4"/>
          </w:tcPr>
          <w:p>
            <w:pPr>
              <w:pStyle w:val="TableParagraph"/>
              <w:tabs>
                <w:tab w:pos="1145" w:val="left" w:leader="none"/>
              </w:tabs>
              <w:ind w:left="109"/>
              <w:jc w:val="center"/>
              <w:rPr>
                <w:sz w:val="20"/>
              </w:rPr>
            </w:pPr>
            <w:r>
              <w:rPr>
                <w:color w:val="231F20"/>
                <w:sz w:val="20"/>
              </w:rPr>
              <w:t>$</w:t>
              <w:tab/>
              <w:t>(2)</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29</w:t>
            </w:r>
          </w:p>
        </w:tc>
        <w:tc>
          <w:tcPr>
            <w:tcW w:w="1480" w:type="dxa"/>
          </w:tcPr>
          <w:p>
            <w:pPr>
              <w:pStyle w:val="TableParagraph"/>
              <w:tabs>
                <w:tab w:pos="1045" w:val="left" w:leader="none"/>
              </w:tabs>
              <w:ind w:left="109"/>
              <w:jc w:val="center"/>
              <w:rPr>
                <w:sz w:val="20"/>
              </w:rPr>
            </w:pPr>
            <w:r>
              <w:rPr>
                <w:color w:val="231F20"/>
                <w:sz w:val="20"/>
              </w:rPr>
              <w:t>$</w:t>
              <w:tab/>
              <w:t>(24)</w:t>
            </w:r>
          </w:p>
        </w:tc>
      </w:tr>
    </w:tbl>
    <w:p>
      <w:pPr>
        <w:pStyle w:val="BodyText"/>
        <w:rPr>
          <w:sz w:val="27"/>
        </w:rPr>
      </w:pPr>
    </w:p>
    <w:p>
      <w:pPr>
        <w:pStyle w:val="BodyText"/>
        <w:spacing w:line="247" w:lineRule="auto"/>
        <w:ind w:left="120" w:right="117"/>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increased during 2015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4"/>
        </w:numPr>
        <w:tabs>
          <w:tab w:pos="450" w:val="left" w:leader="none"/>
        </w:tabs>
        <w:spacing w:line="240" w:lineRule="auto" w:before="74" w:after="0"/>
        <w:ind w:left="450" w:right="0" w:hanging="330"/>
        <w:jc w:val="both"/>
      </w:pPr>
      <w:r>
        <w:rPr/>
        <w:pict>
          <v:group style="position:absolute;margin-left:69pt;margin-top:539pt;width:456.25pt;height:16pt;mso-position-horizontal-relative:page;mso-position-vertical-relative:page;z-index:-387160" coordorigin="1380,10780" coordsize="9125,320">
            <v:rect style="position:absolute;left:1380;top:10780;width:9120;height:300" filled="true" fillcolor="#d1d3d4" stroked="false">
              <v:fill type="solid"/>
            </v:rect>
            <v:line style="position:absolute" from="9180,11095" to="10500,11095" stroked="true" strokeweight=".5pt" strokecolor="#231f20">
              <v:stroke dashstyle="solid"/>
            </v:line>
            <w10:wrap type="none"/>
          </v:group>
        </w:pict>
      </w:r>
      <w:r>
        <w:rPr/>
        <w:pict>
          <v:group style="position:absolute;margin-left:69pt;margin-top:570.5pt;width:456.25pt;height:16.5pt;mso-position-horizontal-relative:page;mso-position-vertical-relative:page;z-index:-387136" coordorigin="1380,11410" coordsize="9125,330">
            <v:rect style="position:absolute;left:1380;top:11420;width:9120;height:300" filled="true" fillcolor="#d1d3d4" stroked="false">
              <v:fill type="solid"/>
            </v:rect>
            <v:line style="position:absolute" from="9180,11415" to="10500,11415" stroked="true" strokeweight=".5pt" strokecolor="#231f20">
              <v:stroke dashstyle="solid"/>
            </v:line>
            <v:line style="position:absolute" from="6220,11735" to="7540,11735" stroked="true" strokeweight=".5pt" strokecolor="#231f20">
              <v:stroke dashstyle="solid"/>
            </v:line>
            <v:line style="position:absolute" from="7700,11735" to="9020,11735" stroked="true" strokeweight=".5pt" strokecolor="#231f20">
              <v:stroke dashstyle="solid"/>
            </v:line>
            <v:line style="position:absolute" from="9180,11735" to="10500,11735" stroked="true" strokeweight=".5pt" strokecolor="#231f20">
              <v:stroke dashstyle="solid"/>
            </v:line>
            <w10:wrap type="none"/>
          </v:group>
        </w:pict>
      </w:r>
      <w:r>
        <w:rPr>
          <w:color w:val="231F20"/>
        </w:rPr>
        <w:t>INCOME TAXES</w:t>
      </w:r>
    </w:p>
    <w:p>
      <w:pPr>
        <w:pStyle w:val="BodyText"/>
        <w:spacing w:before="4"/>
        <w:rPr>
          <w:b/>
          <w:sz w:val="21"/>
        </w:rPr>
      </w:pPr>
    </w:p>
    <w:p>
      <w:pPr>
        <w:pStyle w:val="BodyText"/>
        <w:spacing w:line="247" w:lineRule="auto" w:before="1"/>
        <w:ind w:left="120" w:right="117"/>
        <w:jc w:val="both"/>
      </w:pPr>
      <w:r>
        <w:rPr/>
        <w:pict>
          <v:line style="position:absolute;mso-position-horizontal-relative:page;mso-position-vertical-relative:paragraph;z-index:-387232" from="69pt,74.819839pt" to="365pt,74.819839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2015 and 2014,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0"/>
        <w:gridCol w:w="200"/>
        <w:gridCol w:w="1400"/>
        <w:gridCol w:w="200"/>
        <w:gridCol w:w="1400"/>
      </w:tblGrid>
      <w:tr>
        <w:trPr>
          <w:trHeight w:val="256" w:hRule="exact"/>
        </w:trPr>
        <w:tc>
          <w:tcPr>
            <w:tcW w:w="5920" w:type="dxa"/>
          </w:tcPr>
          <w:p>
            <w:pPr>
              <w:pStyle w:val="TableParagraph"/>
              <w:spacing w:line="229" w:lineRule="exact" w:before="0"/>
              <w:ind w:left="100"/>
              <w:rPr>
                <w:b/>
                <w:sz w:val="20"/>
              </w:rPr>
            </w:pPr>
            <w:r>
              <w:rPr>
                <w:b/>
                <w:color w:val="231F20"/>
                <w:sz w:val="20"/>
              </w:rPr>
              <w:t>(in millions)</w:t>
            </w:r>
          </w:p>
        </w:tc>
        <w:tc>
          <w:tcPr>
            <w:tcW w:w="200" w:type="dxa"/>
          </w:tcPr>
          <w:p>
            <w:pPr/>
          </w:p>
        </w:tc>
        <w:tc>
          <w:tcPr>
            <w:tcW w:w="1400" w:type="dxa"/>
            <w:tcBorders>
              <w:bottom w:val="single" w:sz="8" w:space="0" w:color="231F20"/>
            </w:tcBorders>
          </w:tcPr>
          <w:p>
            <w:pPr>
              <w:pStyle w:val="TableParagraph"/>
              <w:spacing w:line="229" w:lineRule="exact" w:before="0"/>
              <w:ind w:left="480" w:right="480"/>
              <w:jc w:val="center"/>
              <w:rPr>
                <w:b/>
                <w:sz w:val="20"/>
              </w:rPr>
            </w:pPr>
            <w:r>
              <w:rPr>
                <w:b/>
                <w:color w:val="231F20"/>
                <w:sz w:val="20"/>
              </w:rPr>
              <w:t>2015</w:t>
            </w:r>
          </w:p>
        </w:tc>
        <w:tc>
          <w:tcPr>
            <w:tcW w:w="200" w:type="dxa"/>
          </w:tcPr>
          <w:p>
            <w:pPr/>
          </w:p>
        </w:tc>
        <w:tc>
          <w:tcPr>
            <w:tcW w:w="1400" w:type="dxa"/>
            <w:tcBorders>
              <w:bottom w:val="single" w:sz="8" w:space="0" w:color="231F20"/>
            </w:tcBorders>
          </w:tcPr>
          <w:p>
            <w:pPr>
              <w:pStyle w:val="TableParagraph"/>
              <w:spacing w:line="229" w:lineRule="exact" w:before="0"/>
              <w:ind w:left="480" w:right="480"/>
              <w:jc w:val="center"/>
              <w:rPr>
                <w:b/>
                <w:sz w:val="20"/>
              </w:rPr>
            </w:pPr>
            <w:r>
              <w:rPr>
                <w:b/>
                <w:color w:val="231F20"/>
                <w:sz w:val="20"/>
              </w:rPr>
              <w:t>2014</w:t>
            </w:r>
          </w:p>
        </w:tc>
      </w:tr>
      <w:tr>
        <w:trPr>
          <w:trHeight w:val="310" w:hRule="exact"/>
        </w:trPr>
        <w:tc>
          <w:tcPr>
            <w:tcW w:w="5920" w:type="dxa"/>
            <w:shd w:val="clear" w:color="auto" w:fill="D1D3D4"/>
          </w:tcPr>
          <w:p>
            <w:pPr>
              <w:pStyle w:val="TableParagraph"/>
              <w:ind w:left="100"/>
              <w:rPr>
                <w:b/>
                <w:sz w:val="20"/>
              </w:rPr>
            </w:pPr>
            <w:r>
              <w:rPr>
                <w:b/>
                <w:color w:val="231F20"/>
                <w:sz w:val="20"/>
              </w:rPr>
              <w:t>DEFERRED TAX LIABILITIES:</w:t>
            </w:r>
          </w:p>
        </w:tc>
        <w:tc>
          <w:tcPr>
            <w:tcW w:w="200" w:type="dxa"/>
            <w:shd w:val="clear" w:color="auto" w:fill="D1D3D4"/>
          </w:tcPr>
          <w:p>
            <w:pPr/>
          </w:p>
        </w:tc>
        <w:tc>
          <w:tcPr>
            <w:tcW w:w="1400" w:type="dxa"/>
            <w:tcBorders>
              <w:top w:val="single" w:sz="8" w:space="0" w:color="231F20"/>
            </w:tcBorders>
            <w:shd w:val="clear" w:color="auto" w:fill="D1D3D4"/>
          </w:tcPr>
          <w:p>
            <w:pPr/>
          </w:p>
        </w:tc>
        <w:tc>
          <w:tcPr>
            <w:tcW w:w="200" w:type="dxa"/>
            <w:shd w:val="clear" w:color="auto" w:fill="D1D3D4"/>
          </w:tcPr>
          <w:p>
            <w:pPr/>
          </w:p>
        </w:tc>
        <w:tc>
          <w:tcPr>
            <w:tcW w:w="1400" w:type="dxa"/>
            <w:tcBorders>
              <w:top w:val="single" w:sz="8" w:space="0" w:color="231F20"/>
            </w:tcBorders>
            <w:shd w:val="clear" w:color="auto" w:fill="D1D3D4"/>
          </w:tcPr>
          <w:p>
            <w:pPr/>
          </w:p>
        </w:tc>
      </w:tr>
      <w:tr>
        <w:trPr>
          <w:trHeight w:val="300" w:hRule="exact"/>
        </w:trPr>
        <w:tc>
          <w:tcPr>
            <w:tcW w:w="5920" w:type="dxa"/>
          </w:tcPr>
          <w:p>
            <w:pPr>
              <w:pStyle w:val="TableParagraph"/>
              <w:ind w:left="300"/>
              <w:rPr>
                <w:sz w:val="20"/>
              </w:rPr>
            </w:pPr>
            <w:r>
              <w:rPr>
                <w:color w:val="231F20"/>
                <w:sz w:val="20"/>
              </w:rPr>
              <w:t>Accelerated depreciation</w:t>
            </w:r>
          </w:p>
        </w:tc>
        <w:tc>
          <w:tcPr>
            <w:tcW w:w="200" w:type="dxa"/>
          </w:tcPr>
          <w:p>
            <w:pPr/>
          </w:p>
        </w:tc>
        <w:tc>
          <w:tcPr>
            <w:tcW w:w="1400" w:type="dxa"/>
          </w:tcPr>
          <w:p>
            <w:pPr>
              <w:pStyle w:val="TableParagraph"/>
              <w:tabs>
                <w:tab w:pos="899" w:val="left" w:leader="none"/>
              </w:tabs>
              <w:ind w:right="47"/>
              <w:jc w:val="right"/>
              <w:rPr>
                <w:sz w:val="20"/>
              </w:rPr>
            </w:pPr>
            <w:r>
              <w:rPr>
                <w:color w:val="231F20"/>
                <w:sz w:val="20"/>
              </w:rPr>
              <w:t>$</w:t>
              <w:tab/>
              <w:t>4,429</w:t>
            </w:r>
          </w:p>
        </w:tc>
        <w:tc>
          <w:tcPr>
            <w:tcW w:w="200" w:type="dxa"/>
          </w:tcPr>
          <w:p>
            <w:pPr/>
          </w:p>
        </w:tc>
        <w:tc>
          <w:tcPr>
            <w:tcW w:w="1400" w:type="dxa"/>
          </w:tcPr>
          <w:p>
            <w:pPr>
              <w:pStyle w:val="TableParagraph"/>
              <w:tabs>
                <w:tab w:pos="949" w:val="left" w:leader="none"/>
              </w:tabs>
              <w:jc w:val="right"/>
              <w:rPr>
                <w:sz w:val="20"/>
              </w:rPr>
            </w:pPr>
            <w:r>
              <w:rPr>
                <w:color w:val="231F20"/>
                <w:sz w:val="20"/>
              </w:rPr>
              <w:t>$</w:t>
              <w:tab/>
              <w:t>4,277</w:t>
            </w:r>
          </w:p>
        </w:tc>
      </w:tr>
      <w:tr>
        <w:trPr>
          <w:trHeight w:val="315" w:hRule="exact"/>
        </w:trPr>
        <w:tc>
          <w:tcPr>
            <w:tcW w:w="592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9"/>
              <w:jc w:val="right"/>
              <w:rPr>
                <w:sz w:val="20"/>
              </w:rPr>
            </w:pPr>
            <w:r>
              <w:rPr>
                <w:color w:val="231F20"/>
                <w:sz w:val="20"/>
              </w:rPr>
              <w:t>62</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jc w:val="right"/>
              <w:rPr>
                <w:sz w:val="20"/>
              </w:rPr>
            </w:pPr>
            <w:r>
              <w:rPr>
                <w:color w:val="231F20"/>
                <w:sz w:val="20"/>
              </w:rPr>
              <w:t>51</w:t>
            </w:r>
          </w:p>
        </w:tc>
      </w:tr>
      <w:tr>
        <w:trPr>
          <w:trHeight w:val="305" w:hRule="exact"/>
        </w:trPr>
        <w:tc>
          <w:tcPr>
            <w:tcW w:w="5920" w:type="dxa"/>
          </w:tcPr>
          <w:p>
            <w:pPr>
              <w:pStyle w:val="TableParagraph"/>
              <w:spacing w:before="73"/>
              <w:ind w:left="500"/>
              <w:rPr>
                <w:sz w:val="20"/>
              </w:rPr>
            </w:pPr>
            <w:r>
              <w:rPr>
                <w:color w:val="231F20"/>
                <w:sz w:val="20"/>
              </w:rPr>
              <w:t>Total deferred tax liabilities</w:t>
            </w:r>
          </w:p>
        </w:tc>
        <w:tc>
          <w:tcPr>
            <w:tcW w:w="200" w:type="dxa"/>
          </w:tcPr>
          <w:p>
            <w:pPr/>
          </w:p>
        </w:tc>
        <w:tc>
          <w:tcPr>
            <w:tcW w:w="1400" w:type="dxa"/>
            <w:tcBorders>
              <w:top w:val="single" w:sz="4" w:space="0" w:color="231F20"/>
            </w:tcBorders>
          </w:tcPr>
          <w:p>
            <w:pPr>
              <w:pStyle w:val="TableParagraph"/>
              <w:ind w:right="49"/>
              <w:jc w:val="right"/>
              <w:rPr>
                <w:sz w:val="20"/>
              </w:rPr>
            </w:pPr>
            <w:r>
              <w:rPr>
                <w:color w:val="231F20"/>
                <w:sz w:val="20"/>
              </w:rPr>
              <w:t>4,491</w:t>
            </w:r>
          </w:p>
        </w:tc>
        <w:tc>
          <w:tcPr>
            <w:tcW w:w="200" w:type="dxa"/>
          </w:tcPr>
          <w:p>
            <w:pPr/>
          </w:p>
        </w:tc>
        <w:tc>
          <w:tcPr>
            <w:tcW w:w="1400" w:type="dxa"/>
            <w:tcBorders>
              <w:top w:val="single" w:sz="4" w:space="0" w:color="231F20"/>
            </w:tcBorders>
          </w:tcPr>
          <w:p>
            <w:pPr>
              <w:pStyle w:val="TableParagraph"/>
              <w:ind w:right="48"/>
              <w:jc w:val="right"/>
              <w:rPr>
                <w:sz w:val="20"/>
              </w:rPr>
            </w:pPr>
            <w:r>
              <w:rPr>
                <w:color w:val="231F20"/>
                <w:sz w:val="20"/>
              </w:rPr>
              <w:t>4,328</w:t>
            </w:r>
          </w:p>
        </w:tc>
      </w:tr>
      <w:tr>
        <w:trPr>
          <w:trHeight w:val="300" w:hRule="exact"/>
        </w:trPr>
        <w:tc>
          <w:tcPr>
            <w:tcW w:w="5920" w:type="dxa"/>
            <w:shd w:val="clear" w:color="auto" w:fill="D1D3D4"/>
          </w:tcPr>
          <w:p>
            <w:pPr>
              <w:pStyle w:val="TableParagraph"/>
              <w:ind w:left="100"/>
              <w:rPr>
                <w:b/>
                <w:sz w:val="20"/>
              </w:rPr>
            </w:pPr>
            <w:r>
              <w:rPr>
                <w:b/>
                <w:color w:val="231F20"/>
                <w:sz w:val="20"/>
              </w:rPr>
              <w:t>DEFERRED TAX ASSETS:</w:t>
            </w:r>
          </w:p>
        </w:tc>
        <w:tc>
          <w:tcPr>
            <w:tcW w:w="200" w:type="dxa"/>
            <w:shd w:val="clear" w:color="auto" w:fill="D1D3D4"/>
          </w:tcPr>
          <w:p>
            <w:pPr/>
          </w:p>
        </w:tc>
        <w:tc>
          <w:tcPr>
            <w:tcW w:w="1400" w:type="dxa"/>
            <w:shd w:val="clear" w:color="auto" w:fill="D1D3D4"/>
          </w:tcPr>
          <w:p>
            <w:pPr/>
          </w:p>
        </w:tc>
        <w:tc>
          <w:tcPr>
            <w:tcW w:w="200" w:type="dxa"/>
            <w:shd w:val="clear" w:color="auto" w:fill="D1D3D4"/>
          </w:tcPr>
          <w:p>
            <w:pPr/>
          </w:p>
        </w:tc>
        <w:tc>
          <w:tcPr>
            <w:tcW w:w="1400" w:type="dxa"/>
            <w:shd w:val="clear" w:color="auto" w:fill="D1D3D4"/>
          </w:tcPr>
          <w:p>
            <w:pPr/>
          </w:p>
        </w:tc>
      </w:tr>
      <w:tr>
        <w:trPr>
          <w:trHeight w:val="300" w:hRule="exact"/>
        </w:trPr>
        <w:tc>
          <w:tcPr>
            <w:tcW w:w="5920" w:type="dxa"/>
          </w:tcPr>
          <w:p>
            <w:pPr>
              <w:pStyle w:val="TableParagraph"/>
              <w:ind w:left="300"/>
              <w:rPr>
                <w:sz w:val="20"/>
              </w:rPr>
            </w:pPr>
            <w:r>
              <w:rPr>
                <w:color w:val="231F20"/>
                <w:sz w:val="20"/>
              </w:rPr>
              <w:t>Fuel derivative instruments</w:t>
            </w:r>
          </w:p>
        </w:tc>
        <w:tc>
          <w:tcPr>
            <w:tcW w:w="200" w:type="dxa"/>
          </w:tcPr>
          <w:p>
            <w:pPr/>
          </w:p>
        </w:tc>
        <w:tc>
          <w:tcPr>
            <w:tcW w:w="1400" w:type="dxa"/>
          </w:tcPr>
          <w:p>
            <w:pPr>
              <w:pStyle w:val="TableParagraph"/>
              <w:ind w:right="47"/>
              <w:jc w:val="right"/>
              <w:rPr>
                <w:sz w:val="20"/>
              </w:rPr>
            </w:pPr>
            <w:r>
              <w:rPr>
                <w:color w:val="231F20"/>
                <w:sz w:val="20"/>
              </w:rPr>
              <w:t>750</w:t>
            </w:r>
          </w:p>
        </w:tc>
        <w:tc>
          <w:tcPr>
            <w:tcW w:w="200" w:type="dxa"/>
          </w:tcPr>
          <w:p>
            <w:pPr/>
          </w:p>
        </w:tc>
        <w:tc>
          <w:tcPr>
            <w:tcW w:w="1400" w:type="dxa"/>
          </w:tcPr>
          <w:p>
            <w:pPr>
              <w:pStyle w:val="TableParagraph"/>
              <w:ind w:right="48"/>
              <w:jc w:val="right"/>
              <w:rPr>
                <w:sz w:val="20"/>
              </w:rPr>
            </w:pPr>
            <w:r>
              <w:rPr>
                <w:color w:val="231F20"/>
                <w:sz w:val="20"/>
              </w:rPr>
              <w:t>521</w:t>
            </w:r>
          </w:p>
        </w:tc>
      </w:tr>
      <w:tr>
        <w:trPr>
          <w:trHeight w:val="300" w:hRule="exact"/>
        </w:trPr>
        <w:tc>
          <w:tcPr>
            <w:tcW w:w="5920" w:type="dxa"/>
            <w:shd w:val="clear" w:color="auto" w:fill="D1D3D4"/>
          </w:tcPr>
          <w:p>
            <w:pPr>
              <w:pStyle w:val="TableParagraph"/>
              <w:ind w:left="300"/>
              <w:rPr>
                <w:sz w:val="20"/>
              </w:rPr>
            </w:pPr>
            <w:r>
              <w:rPr>
                <w:color w:val="231F20"/>
                <w:sz w:val="20"/>
              </w:rPr>
              <w:t>Capital and operating leases</w:t>
            </w:r>
          </w:p>
        </w:tc>
        <w:tc>
          <w:tcPr>
            <w:tcW w:w="200" w:type="dxa"/>
            <w:shd w:val="clear" w:color="auto" w:fill="D1D3D4"/>
          </w:tcPr>
          <w:p>
            <w:pPr/>
          </w:p>
        </w:tc>
        <w:tc>
          <w:tcPr>
            <w:tcW w:w="1400" w:type="dxa"/>
            <w:shd w:val="clear" w:color="auto" w:fill="D1D3D4"/>
          </w:tcPr>
          <w:p>
            <w:pPr>
              <w:pStyle w:val="TableParagraph"/>
              <w:ind w:right="47"/>
              <w:jc w:val="right"/>
              <w:rPr>
                <w:sz w:val="20"/>
              </w:rPr>
            </w:pPr>
            <w:r>
              <w:rPr>
                <w:color w:val="231F20"/>
                <w:sz w:val="20"/>
              </w:rPr>
              <w:t>81</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125</w:t>
            </w:r>
          </w:p>
        </w:tc>
      </w:tr>
      <w:tr>
        <w:trPr>
          <w:trHeight w:val="300" w:hRule="exact"/>
        </w:trPr>
        <w:tc>
          <w:tcPr>
            <w:tcW w:w="5920" w:type="dxa"/>
          </w:tcPr>
          <w:p>
            <w:pPr>
              <w:pStyle w:val="TableParagraph"/>
              <w:ind w:left="300"/>
              <w:rPr>
                <w:sz w:val="20"/>
              </w:rPr>
            </w:pPr>
            <w:r>
              <w:rPr>
                <w:color w:val="231F20"/>
                <w:sz w:val="20"/>
              </w:rPr>
              <w:t>Construction obligation</w:t>
            </w:r>
          </w:p>
        </w:tc>
        <w:tc>
          <w:tcPr>
            <w:tcW w:w="200" w:type="dxa"/>
          </w:tcPr>
          <w:p>
            <w:pPr/>
          </w:p>
        </w:tc>
        <w:tc>
          <w:tcPr>
            <w:tcW w:w="1400" w:type="dxa"/>
          </w:tcPr>
          <w:p>
            <w:pPr>
              <w:pStyle w:val="TableParagraph"/>
              <w:ind w:right="47"/>
              <w:jc w:val="right"/>
              <w:rPr>
                <w:sz w:val="20"/>
              </w:rPr>
            </w:pPr>
            <w:r>
              <w:rPr>
                <w:color w:val="231F20"/>
                <w:sz w:val="20"/>
              </w:rPr>
              <w:t>289</w:t>
            </w:r>
          </w:p>
        </w:tc>
        <w:tc>
          <w:tcPr>
            <w:tcW w:w="200" w:type="dxa"/>
          </w:tcPr>
          <w:p>
            <w:pPr/>
          </w:p>
        </w:tc>
        <w:tc>
          <w:tcPr>
            <w:tcW w:w="1400" w:type="dxa"/>
          </w:tcPr>
          <w:p>
            <w:pPr>
              <w:pStyle w:val="TableParagraph"/>
              <w:ind w:right="48"/>
              <w:jc w:val="right"/>
              <w:rPr>
                <w:sz w:val="20"/>
              </w:rPr>
            </w:pPr>
            <w:r>
              <w:rPr>
                <w:color w:val="231F20"/>
                <w:sz w:val="20"/>
              </w:rPr>
              <w:t>209</w:t>
            </w:r>
          </w:p>
        </w:tc>
      </w:tr>
      <w:tr>
        <w:trPr>
          <w:trHeight w:val="300" w:hRule="exact"/>
        </w:trPr>
        <w:tc>
          <w:tcPr>
            <w:tcW w:w="5920" w:type="dxa"/>
            <w:shd w:val="clear" w:color="auto" w:fill="D1D3D4"/>
          </w:tcPr>
          <w:p>
            <w:pPr>
              <w:pStyle w:val="TableParagraph"/>
              <w:ind w:left="300"/>
              <w:rPr>
                <w:sz w:val="20"/>
              </w:rPr>
            </w:pPr>
            <w:r>
              <w:rPr>
                <w:color w:val="231F20"/>
                <w:sz w:val="20"/>
              </w:rPr>
              <w:t>Accrued engine maintenance</w:t>
            </w:r>
          </w:p>
        </w:tc>
        <w:tc>
          <w:tcPr>
            <w:tcW w:w="200" w:type="dxa"/>
            <w:shd w:val="clear" w:color="auto" w:fill="D1D3D4"/>
          </w:tcPr>
          <w:p>
            <w:pPr/>
          </w:p>
        </w:tc>
        <w:tc>
          <w:tcPr>
            <w:tcW w:w="1400" w:type="dxa"/>
            <w:shd w:val="clear" w:color="auto" w:fill="D1D3D4"/>
          </w:tcPr>
          <w:p>
            <w:pPr>
              <w:pStyle w:val="TableParagraph"/>
              <w:ind w:right="47"/>
              <w:jc w:val="right"/>
              <w:rPr>
                <w:sz w:val="20"/>
              </w:rPr>
            </w:pPr>
            <w:r>
              <w:rPr>
                <w:color w:val="231F20"/>
                <w:sz w:val="20"/>
              </w:rPr>
              <w:t>74</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83</w:t>
            </w:r>
          </w:p>
        </w:tc>
      </w:tr>
      <w:tr>
        <w:trPr>
          <w:trHeight w:val="300" w:hRule="exact"/>
        </w:trPr>
        <w:tc>
          <w:tcPr>
            <w:tcW w:w="5920" w:type="dxa"/>
          </w:tcPr>
          <w:p>
            <w:pPr>
              <w:pStyle w:val="TableParagraph"/>
              <w:ind w:left="300"/>
              <w:rPr>
                <w:sz w:val="20"/>
              </w:rPr>
            </w:pPr>
            <w:r>
              <w:rPr>
                <w:color w:val="231F20"/>
                <w:sz w:val="20"/>
              </w:rPr>
              <w:t>Accrued employee benefits</w:t>
            </w:r>
          </w:p>
        </w:tc>
        <w:tc>
          <w:tcPr>
            <w:tcW w:w="200" w:type="dxa"/>
          </w:tcPr>
          <w:p>
            <w:pPr/>
          </w:p>
        </w:tc>
        <w:tc>
          <w:tcPr>
            <w:tcW w:w="1400" w:type="dxa"/>
          </w:tcPr>
          <w:p>
            <w:pPr>
              <w:pStyle w:val="TableParagraph"/>
              <w:ind w:right="47"/>
              <w:jc w:val="right"/>
              <w:rPr>
                <w:sz w:val="20"/>
              </w:rPr>
            </w:pPr>
            <w:r>
              <w:rPr>
                <w:color w:val="231F20"/>
                <w:sz w:val="20"/>
              </w:rPr>
              <w:t>541</w:t>
            </w:r>
          </w:p>
        </w:tc>
        <w:tc>
          <w:tcPr>
            <w:tcW w:w="200" w:type="dxa"/>
          </w:tcPr>
          <w:p>
            <w:pPr/>
          </w:p>
        </w:tc>
        <w:tc>
          <w:tcPr>
            <w:tcW w:w="1400" w:type="dxa"/>
          </w:tcPr>
          <w:p>
            <w:pPr>
              <w:pStyle w:val="TableParagraph"/>
              <w:ind w:right="48"/>
              <w:jc w:val="right"/>
              <w:rPr>
                <w:sz w:val="20"/>
              </w:rPr>
            </w:pPr>
            <w:r>
              <w:rPr>
                <w:color w:val="231F20"/>
                <w:sz w:val="20"/>
              </w:rPr>
              <w:t>334</w:t>
            </w:r>
          </w:p>
        </w:tc>
      </w:tr>
      <w:tr>
        <w:trPr>
          <w:trHeight w:val="300" w:hRule="exact"/>
        </w:trPr>
        <w:tc>
          <w:tcPr>
            <w:tcW w:w="5920" w:type="dxa"/>
            <w:shd w:val="clear" w:color="auto" w:fill="D1D3D4"/>
          </w:tcPr>
          <w:p>
            <w:pPr>
              <w:pStyle w:val="TableParagraph"/>
              <w:ind w:left="300"/>
              <w:rPr>
                <w:sz w:val="20"/>
              </w:rPr>
            </w:pPr>
            <w:r>
              <w:rPr>
                <w:color w:val="231F20"/>
                <w:sz w:val="20"/>
              </w:rPr>
              <w:t>State taxes</w:t>
            </w:r>
          </w:p>
        </w:tc>
        <w:tc>
          <w:tcPr>
            <w:tcW w:w="200" w:type="dxa"/>
            <w:shd w:val="clear" w:color="auto" w:fill="D1D3D4"/>
          </w:tcPr>
          <w:p>
            <w:pPr/>
          </w:p>
        </w:tc>
        <w:tc>
          <w:tcPr>
            <w:tcW w:w="1400" w:type="dxa"/>
            <w:shd w:val="clear" w:color="auto" w:fill="D1D3D4"/>
          </w:tcPr>
          <w:p>
            <w:pPr>
              <w:pStyle w:val="TableParagraph"/>
              <w:ind w:right="49"/>
              <w:jc w:val="right"/>
              <w:rPr>
                <w:sz w:val="20"/>
              </w:rPr>
            </w:pPr>
            <w:r>
              <w:rPr>
                <w:color w:val="231F20"/>
                <w:sz w:val="20"/>
              </w:rPr>
              <w:t>62</w:t>
            </w:r>
          </w:p>
        </w:tc>
        <w:tc>
          <w:tcPr>
            <w:tcW w:w="200" w:type="dxa"/>
            <w:shd w:val="clear" w:color="auto" w:fill="D1D3D4"/>
          </w:tcPr>
          <w:p>
            <w:pPr/>
          </w:p>
        </w:tc>
        <w:tc>
          <w:tcPr>
            <w:tcW w:w="1400" w:type="dxa"/>
            <w:shd w:val="clear" w:color="auto" w:fill="D1D3D4"/>
          </w:tcPr>
          <w:p>
            <w:pPr>
              <w:pStyle w:val="TableParagraph"/>
              <w:ind w:right="48"/>
              <w:jc w:val="right"/>
              <w:rPr>
                <w:sz w:val="20"/>
              </w:rPr>
            </w:pPr>
            <w:r>
              <w:rPr>
                <w:color w:val="231F20"/>
                <w:sz w:val="20"/>
              </w:rPr>
              <w:t>65</w:t>
            </w:r>
          </w:p>
        </w:tc>
      </w:tr>
      <w:tr>
        <w:trPr>
          <w:trHeight w:val="300" w:hRule="exact"/>
        </w:trPr>
        <w:tc>
          <w:tcPr>
            <w:tcW w:w="5920" w:type="dxa"/>
          </w:tcPr>
          <w:p>
            <w:pPr>
              <w:pStyle w:val="TableParagraph"/>
              <w:ind w:left="300"/>
              <w:rPr>
                <w:sz w:val="20"/>
              </w:rPr>
            </w:pPr>
            <w:r>
              <w:rPr>
                <w:color w:val="231F20"/>
                <w:sz w:val="20"/>
              </w:rPr>
              <w:t>Business partner income</w:t>
            </w:r>
          </w:p>
        </w:tc>
        <w:tc>
          <w:tcPr>
            <w:tcW w:w="200" w:type="dxa"/>
          </w:tcPr>
          <w:p>
            <w:pPr/>
          </w:p>
        </w:tc>
        <w:tc>
          <w:tcPr>
            <w:tcW w:w="1400" w:type="dxa"/>
          </w:tcPr>
          <w:p>
            <w:pPr>
              <w:pStyle w:val="TableParagraph"/>
              <w:ind w:right="49"/>
              <w:jc w:val="right"/>
              <w:rPr>
                <w:sz w:val="20"/>
              </w:rPr>
            </w:pPr>
            <w:r>
              <w:rPr>
                <w:color w:val="231F20"/>
                <w:sz w:val="20"/>
              </w:rPr>
              <w:t>107</w:t>
            </w:r>
          </w:p>
        </w:tc>
        <w:tc>
          <w:tcPr>
            <w:tcW w:w="200" w:type="dxa"/>
          </w:tcPr>
          <w:p>
            <w:pPr/>
          </w:p>
        </w:tc>
        <w:tc>
          <w:tcPr>
            <w:tcW w:w="1400" w:type="dxa"/>
          </w:tcPr>
          <w:p>
            <w:pPr>
              <w:pStyle w:val="TableParagraph"/>
              <w:ind w:right="48"/>
              <w:jc w:val="right"/>
              <w:rPr>
                <w:sz w:val="20"/>
              </w:rPr>
            </w:pPr>
            <w:r>
              <w:rPr>
                <w:color w:val="231F20"/>
                <w:sz w:val="20"/>
              </w:rPr>
              <w:t>90</w:t>
            </w:r>
          </w:p>
        </w:tc>
      </w:tr>
      <w:tr>
        <w:trPr>
          <w:trHeight w:val="315" w:hRule="exact"/>
        </w:trPr>
        <w:tc>
          <w:tcPr>
            <w:tcW w:w="592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9"/>
              <w:jc w:val="right"/>
              <w:rPr>
                <w:sz w:val="20"/>
              </w:rPr>
            </w:pPr>
            <w:r>
              <w:rPr>
                <w:color w:val="231F20"/>
                <w:sz w:val="20"/>
              </w:rPr>
              <w:t>97</w:t>
            </w:r>
          </w:p>
        </w:tc>
        <w:tc>
          <w:tcPr>
            <w:tcW w:w="200" w:type="dxa"/>
            <w:shd w:val="clear" w:color="auto" w:fill="D1D3D4"/>
          </w:tcPr>
          <w:p>
            <w:pPr/>
          </w:p>
        </w:tc>
        <w:tc>
          <w:tcPr>
            <w:tcW w:w="1400" w:type="dxa"/>
            <w:tcBorders>
              <w:bottom w:val="single" w:sz="4" w:space="0" w:color="231F20"/>
            </w:tcBorders>
            <w:shd w:val="clear" w:color="auto" w:fill="D1D3D4"/>
          </w:tcPr>
          <w:p>
            <w:pPr>
              <w:pStyle w:val="TableParagraph"/>
              <w:ind w:right="48"/>
              <w:jc w:val="right"/>
              <w:rPr>
                <w:sz w:val="20"/>
              </w:rPr>
            </w:pPr>
            <w:r>
              <w:rPr>
                <w:color w:val="231F20"/>
                <w:sz w:val="20"/>
              </w:rPr>
              <w:t>119</w:t>
            </w:r>
          </w:p>
        </w:tc>
      </w:tr>
      <w:tr>
        <w:trPr>
          <w:trHeight w:val="320" w:hRule="exact"/>
        </w:trPr>
        <w:tc>
          <w:tcPr>
            <w:tcW w:w="5920" w:type="dxa"/>
          </w:tcPr>
          <w:p>
            <w:pPr>
              <w:pStyle w:val="TableParagraph"/>
              <w:spacing w:before="73"/>
              <w:ind w:left="500"/>
              <w:rPr>
                <w:sz w:val="20"/>
              </w:rPr>
            </w:pPr>
            <w:r>
              <w:rPr>
                <w:color w:val="231F20"/>
                <w:sz w:val="20"/>
              </w:rPr>
              <w:t>Total deferred tax assets</w:t>
            </w:r>
          </w:p>
        </w:tc>
        <w:tc>
          <w:tcPr>
            <w:tcW w:w="200" w:type="dxa"/>
          </w:tcPr>
          <w:p>
            <w:pPr/>
          </w:p>
        </w:tc>
        <w:tc>
          <w:tcPr>
            <w:tcW w:w="1400" w:type="dxa"/>
            <w:tcBorders>
              <w:top w:val="single" w:sz="4" w:space="0" w:color="231F20"/>
              <w:bottom w:val="single" w:sz="4" w:space="0" w:color="231F20"/>
            </w:tcBorders>
          </w:tcPr>
          <w:p>
            <w:pPr>
              <w:pStyle w:val="TableParagraph"/>
              <w:ind w:right="49"/>
              <w:jc w:val="right"/>
              <w:rPr>
                <w:sz w:val="20"/>
              </w:rPr>
            </w:pPr>
            <w:r>
              <w:rPr>
                <w:color w:val="231F20"/>
                <w:sz w:val="20"/>
              </w:rPr>
              <w:t>2,001</w:t>
            </w:r>
          </w:p>
        </w:tc>
        <w:tc>
          <w:tcPr>
            <w:tcW w:w="200" w:type="dxa"/>
          </w:tcPr>
          <w:p>
            <w:pPr/>
          </w:p>
        </w:tc>
        <w:tc>
          <w:tcPr>
            <w:tcW w:w="1400" w:type="dxa"/>
            <w:tcBorders>
              <w:top w:val="single" w:sz="4" w:space="0" w:color="231F20"/>
              <w:bottom w:val="single" w:sz="4" w:space="0" w:color="231F20"/>
            </w:tcBorders>
          </w:tcPr>
          <w:p>
            <w:pPr>
              <w:pStyle w:val="TableParagraph"/>
              <w:ind w:right="48"/>
              <w:jc w:val="right"/>
              <w:rPr>
                <w:sz w:val="20"/>
              </w:rPr>
            </w:pPr>
            <w:r>
              <w:rPr>
                <w:color w:val="231F20"/>
                <w:sz w:val="20"/>
              </w:rPr>
              <w:t>1,546</w:t>
            </w:r>
          </w:p>
        </w:tc>
      </w:tr>
      <w:tr>
        <w:trPr>
          <w:trHeight w:val="360" w:hRule="exact"/>
        </w:trPr>
        <w:tc>
          <w:tcPr>
            <w:tcW w:w="5920" w:type="dxa"/>
            <w:shd w:val="clear" w:color="auto" w:fill="D1D3D4"/>
          </w:tcPr>
          <w:p>
            <w:pPr>
              <w:pStyle w:val="TableParagraph"/>
              <w:ind w:left="500"/>
              <w:rPr>
                <w:sz w:val="20"/>
              </w:rPr>
            </w:pPr>
            <w:r>
              <w:rPr>
                <w:color w:val="231F20"/>
                <w:sz w:val="20"/>
              </w:rPr>
              <w:t>Net deferred tax liability</w:t>
            </w:r>
          </w:p>
        </w:tc>
        <w:tc>
          <w:tcPr>
            <w:tcW w:w="200" w:type="dxa"/>
            <w:shd w:val="clear" w:color="auto" w:fill="D1D3D4"/>
          </w:tcPr>
          <w:p>
            <w:pPr/>
          </w:p>
        </w:tc>
        <w:tc>
          <w:tcPr>
            <w:tcW w:w="1400" w:type="dxa"/>
            <w:tcBorders>
              <w:top w:val="single" w:sz="4" w:space="0" w:color="231F20"/>
              <w:bottom w:val="single" w:sz="4" w:space="0" w:color="231F20"/>
            </w:tcBorders>
            <w:shd w:val="clear" w:color="auto" w:fill="D1D3D4"/>
          </w:tcPr>
          <w:p>
            <w:pPr>
              <w:pStyle w:val="TableParagraph"/>
              <w:tabs>
                <w:tab w:pos="899" w:val="left" w:leader="none"/>
              </w:tabs>
              <w:ind w:right="49"/>
              <w:jc w:val="right"/>
              <w:rPr>
                <w:sz w:val="20"/>
              </w:rPr>
            </w:pPr>
            <w:r>
              <w:rPr>
                <w:color w:val="231F20"/>
                <w:sz w:val="20"/>
              </w:rPr>
              <w:t>$</w:t>
              <w:tab/>
              <w:t>2,490</w:t>
            </w:r>
          </w:p>
        </w:tc>
        <w:tc>
          <w:tcPr>
            <w:tcW w:w="200" w:type="dxa"/>
            <w:shd w:val="clear" w:color="auto" w:fill="D1D3D4"/>
          </w:tcPr>
          <w:p>
            <w:pPr/>
          </w:p>
        </w:tc>
        <w:tc>
          <w:tcPr>
            <w:tcW w:w="1400" w:type="dxa"/>
            <w:tcBorders>
              <w:top w:val="single" w:sz="4" w:space="0" w:color="231F20"/>
              <w:bottom w:val="single" w:sz="4" w:space="0" w:color="231F20"/>
            </w:tcBorders>
            <w:shd w:val="clear" w:color="auto" w:fill="D1D3D4"/>
          </w:tcPr>
          <w:p>
            <w:pPr>
              <w:pStyle w:val="TableParagraph"/>
              <w:tabs>
                <w:tab w:pos="899" w:val="left" w:leader="none"/>
              </w:tabs>
              <w:ind w:right="48"/>
              <w:jc w:val="right"/>
              <w:rPr>
                <w:sz w:val="20"/>
              </w:rPr>
            </w:pPr>
            <w:r>
              <w:rPr>
                <w:color w:val="231F20"/>
                <w:sz w:val="20"/>
              </w:rPr>
              <w:t>$</w:t>
              <w:tab/>
              <w:t>2,782</w:t>
            </w:r>
          </w:p>
        </w:tc>
      </w:tr>
    </w:tbl>
    <w:p>
      <w:pPr>
        <w:pStyle w:val="BodyText"/>
        <w:spacing w:before="2"/>
        <w:rPr>
          <w:sz w:val="25"/>
        </w:rPr>
      </w:pPr>
    </w:p>
    <w:p>
      <w:pPr>
        <w:pStyle w:val="BodyText"/>
        <w:ind w:left="120"/>
        <w:jc w:val="both"/>
      </w:pPr>
      <w:r>
        <w:rPr/>
        <w:pict>
          <v:line style="position:absolute;mso-position-horizontal-relative:page;mso-position-vertical-relative:paragraph;z-index:-387208" from="375pt,-16.980469pt" to="445pt,-16.980469pt" stroked="true" strokeweight=".5pt" strokecolor="#231f20">
            <v:stroke dashstyle="solid"/>
            <w10:wrap type="none"/>
          </v:line>
        </w:pict>
      </w:r>
      <w:r>
        <w:rPr/>
        <w:pict>
          <v:line style="position:absolute;mso-position-horizontal-relative:page;mso-position-vertical-relative:paragraph;z-index:-387184" from="455pt,-16.980469pt" to="525pt,-16.980469pt" stroked="true" strokeweight=".5pt" strokecolor="#231f20">
            <v:stroke dashstyle="solid"/>
            <w10:wrap type="none"/>
          </v:line>
        </w:pict>
      </w:r>
      <w:r>
        <w:rPr/>
        <w:pict>
          <v:line style="position:absolute;mso-position-horizontal-relative:page;mso-position-vertical-relative:paragraph;z-index:-387112" from="69pt,35.769531pt" to="303pt,35.769531pt" stroked="true" strokeweight="1pt" strokecolor="#231f20">
            <v:stroke dashstyle="solid"/>
            <w10:wrap type="none"/>
          </v:line>
        </w:pict>
      </w:r>
      <w:r>
        <w:rPr>
          <w:color w:val="231F20"/>
        </w:rPr>
        <w:t>The provision for income taxes is composed of the following:</w:t>
      </w:r>
    </w:p>
    <w:p>
      <w:pPr>
        <w:pStyle w:val="BodyText"/>
        <w:spacing w:before="10"/>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1320"/>
        <w:gridCol w:w="160"/>
        <w:gridCol w:w="1320"/>
        <w:gridCol w:w="160"/>
        <w:gridCol w:w="1320"/>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310" w:hRule="exact"/>
        </w:trPr>
        <w:tc>
          <w:tcPr>
            <w:tcW w:w="4680" w:type="dxa"/>
            <w:shd w:val="clear" w:color="auto" w:fill="D1D3D4"/>
          </w:tcPr>
          <w:p>
            <w:pPr>
              <w:pStyle w:val="TableParagraph"/>
              <w:ind w:left="100"/>
              <w:rPr>
                <w:b/>
                <w:sz w:val="20"/>
              </w:rPr>
            </w:pPr>
            <w:r>
              <w:rPr>
                <w:b/>
                <w:color w:val="231F20"/>
                <w:sz w:val="20"/>
              </w:rPr>
              <w:t>CURRENT:</w:t>
            </w: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r>
      <w:tr>
        <w:trPr>
          <w:trHeight w:val="300" w:hRule="exact"/>
        </w:trPr>
        <w:tc>
          <w:tcPr>
            <w:tcW w:w="4680" w:type="dxa"/>
          </w:tcPr>
          <w:p>
            <w:pPr>
              <w:pStyle w:val="TableParagraph"/>
              <w:ind w:left="300"/>
              <w:rPr>
                <w:sz w:val="20"/>
              </w:rPr>
            </w:pPr>
            <w:r>
              <w:rPr>
                <w:color w:val="231F20"/>
                <w:sz w:val="20"/>
              </w:rPr>
              <w:t>Federal</w:t>
            </w:r>
          </w:p>
        </w:tc>
        <w:tc>
          <w:tcPr>
            <w:tcW w:w="160" w:type="dxa"/>
          </w:tcPr>
          <w:p>
            <w:pPr/>
          </w:p>
        </w:tc>
        <w:tc>
          <w:tcPr>
            <w:tcW w:w="1320" w:type="dxa"/>
          </w:tcPr>
          <w:p>
            <w:pPr>
              <w:pStyle w:val="TableParagraph"/>
              <w:tabs>
                <w:tab w:pos="819" w:val="left" w:leader="none"/>
              </w:tabs>
              <w:ind w:right="49"/>
              <w:jc w:val="right"/>
              <w:rPr>
                <w:sz w:val="20"/>
              </w:rPr>
            </w:pPr>
            <w:r>
              <w:rPr>
                <w:color w:val="231F20"/>
                <w:sz w:val="20"/>
              </w:rPr>
              <w:t>$</w:t>
              <w:tab/>
              <w:t>1,292</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203</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355</w:t>
            </w:r>
          </w:p>
        </w:tc>
      </w:tr>
      <w:tr>
        <w:trPr>
          <w:trHeight w:val="315" w:hRule="exact"/>
        </w:trPr>
        <w:tc>
          <w:tcPr>
            <w:tcW w:w="4680" w:type="dxa"/>
            <w:shd w:val="clear" w:color="auto" w:fill="D1D3D4"/>
          </w:tcPr>
          <w:p>
            <w:pPr>
              <w:pStyle w:val="TableParagraph"/>
              <w:ind w:left="300"/>
              <w:rPr>
                <w:sz w:val="20"/>
              </w:rPr>
            </w:pPr>
            <w:r>
              <w:rPr>
                <w:color w:val="231F20"/>
                <w:sz w:val="20"/>
              </w:rPr>
              <w:t>State</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114</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29</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44</w:t>
            </w:r>
          </w:p>
        </w:tc>
      </w:tr>
      <w:tr>
        <w:trPr>
          <w:trHeight w:val="289" w:hRule="exact"/>
        </w:trPr>
        <w:tc>
          <w:tcPr>
            <w:tcW w:w="4680" w:type="dxa"/>
          </w:tcPr>
          <w:p>
            <w:pPr>
              <w:pStyle w:val="TableParagraph"/>
              <w:spacing w:before="73"/>
              <w:ind w:left="500"/>
              <w:rPr>
                <w:sz w:val="20"/>
              </w:rPr>
            </w:pPr>
            <w:r>
              <w:rPr>
                <w:color w:val="231F20"/>
                <w:sz w:val="20"/>
              </w:rPr>
              <w:t>Total current</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1,406</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232</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399</w:t>
            </w:r>
          </w:p>
        </w:tc>
      </w:tr>
      <w:tr>
        <w:trPr>
          <w:trHeight w:val="316" w:hRule="exact"/>
        </w:trPr>
        <w:tc>
          <w:tcPr>
            <w:tcW w:w="9120" w:type="dxa"/>
            <w:gridSpan w:val="7"/>
            <w:shd w:val="clear" w:color="auto" w:fill="D1D3D4"/>
          </w:tcPr>
          <w:p>
            <w:pPr>
              <w:pStyle w:val="TableParagraph"/>
              <w:ind w:left="100"/>
              <w:rPr>
                <w:b/>
                <w:sz w:val="20"/>
              </w:rPr>
            </w:pPr>
            <w:r>
              <w:rPr>
                <w:b/>
                <w:color w:val="231F20"/>
                <w:sz w:val="20"/>
              </w:rPr>
              <w:t>DEFERRED:</w:t>
            </w:r>
          </w:p>
        </w:tc>
      </w:tr>
      <w:tr>
        <w:trPr>
          <w:trHeight w:val="300" w:hRule="exact"/>
        </w:trPr>
        <w:tc>
          <w:tcPr>
            <w:tcW w:w="4840" w:type="dxa"/>
            <w:gridSpan w:val="2"/>
          </w:tcPr>
          <w:p>
            <w:pPr>
              <w:pStyle w:val="TableParagraph"/>
              <w:ind w:left="300"/>
              <w:rPr>
                <w:sz w:val="20"/>
              </w:rPr>
            </w:pPr>
            <w:r>
              <w:rPr>
                <w:color w:val="231F20"/>
                <w:sz w:val="20"/>
              </w:rPr>
              <w:t>Federal</w:t>
            </w:r>
          </w:p>
        </w:tc>
        <w:tc>
          <w:tcPr>
            <w:tcW w:w="1320" w:type="dxa"/>
          </w:tcPr>
          <w:p>
            <w:pPr>
              <w:pStyle w:val="TableParagraph"/>
              <w:ind w:right="48"/>
              <w:jc w:val="right"/>
              <w:rPr>
                <w:sz w:val="20"/>
              </w:rPr>
            </w:pPr>
            <w:r>
              <w:rPr>
                <w:color w:val="231F20"/>
                <w:sz w:val="20"/>
              </w:rPr>
              <w:t>(97)</w:t>
            </w:r>
          </w:p>
        </w:tc>
        <w:tc>
          <w:tcPr>
            <w:tcW w:w="160" w:type="dxa"/>
          </w:tcPr>
          <w:p>
            <w:pPr/>
          </w:p>
        </w:tc>
        <w:tc>
          <w:tcPr>
            <w:tcW w:w="1320" w:type="dxa"/>
          </w:tcPr>
          <w:p>
            <w:pPr>
              <w:pStyle w:val="TableParagraph"/>
              <w:ind w:right="49"/>
              <w:jc w:val="right"/>
              <w:rPr>
                <w:sz w:val="20"/>
              </w:rPr>
            </w:pPr>
            <w:r>
              <w:rPr>
                <w:color w:val="231F20"/>
                <w:sz w:val="20"/>
              </w:rPr>
              <w:t>421</w:t>
            </w:r>
          </w:p>
        </w:tc>
        <w:tc>
          <w:tcPr>
            <w:tcW w:w="160" w:type="dxa"/>
          </w:tcPr>
          <w:p>
            <w:pPr/>
          </w:p>
        </w:tc>
        <w:tc>
          <w:tcPr>
            <w:tcW w:w="1320" w:type="dxa"/>
          </w:tcPr>
          <w:p>
            <w:pPr>
              <w:pStyle w:val="TableParagraph"/>
              <w:ind w:right="49"/>
              <w:jc w:val="right"/>
              <w:rPr>
                <w:sz w:val="20"/>
              </w:rPr>
            </w:pPr>
            <w:r>
              <w:rPr>
                <w:color w:val="231F20"/>
                <w:sz w:val="20"/>
              </w:rPr>
              <w:t>62</w:t>
            </w:r>
          </w:p>
        </w:tc>
      </w:tr>
      <w:tr>
        <w:trPr>
          <w:trHeight w:val="315" w:hRule="exact"/>
        </w:trPr>
        <w:tc>
          <w:tcPr>
            <w:tcW w:w="4840" w:type="dxa"/>
            <w:gridSpan w:val="2"/>
            <w:shd w:val="clear" w:color="auto" w:fill="D1D3D4"/>
          </w:tcPr>
          <w:p>
            <w:pPr>
              <w:pStyle w:val="TableParagraph"/>
              <w:ind w:left="300"/>
              <w:rPr>
                <w:sz w:val="20"/>
              </w:rPr>
            </w:pPr>
            <w:r>
              <w:rPr>
                <w:color w:val="231F20"/>
                <w:sz w:val="20"/>
              </w:rPr>
              <w:t>State</w:t>
            </w:r>
          </w:p>
        </w:tc>
        <w:tc>
          <w:tcPr>
            <w:tcW w:w="1320" w:type="dxa"/>
            <w:tcBorders>
              <w:bottom w:val="single" w:sz="4" w:space="0" w:color="231F20"/>
            </w:tcBorders>
            <w:shd w:val="clear" w:color="auto" w:fill="D1D3D4"/>
          </w:tcPr>
          <w:p>
            <w:pPr>
              <w:pStyle w:val="TableParagraph"/>
              <w:ind w:right="48"/>
              <w:jc w:val="right"/>
              <w:rPr>
                <w:sz w:val="20"/>
              </w:rPr>
            </w:pPr>
            <w:r>
              <w:rPr>
                <w:color w:val="231F20"/>
                <w:sz w:val="20"/>
              </w:rPr>
              <w:t>(11)</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27</w:t>
            </w:r>
          </w:p>
        </w:tc>
        <w:tc>
          <w:tcPr>
            <w:tcW w:w="160" w:type="dxa"/>
            <w:shd w:val="clear" w:color="auto" w:fill="D1D3D4"/>
          </w:tcPr>
          <w:p>
            <w:pPr/>
          </w:p>
        </w:tc>
        <w:tc>
          <w:tcPr>
            <w:tcW w:w="1320" w:type="dxa"/>
            <w:shd w:val="clear" w:color="auto" w:fill="D1D3D4"/>
          </w:tcPr>
          <w:p>
            <w:pPr>
              <w:pStyle w:val="TableParagraph"/>
              <w:ind w:right="48"/>
              <w:jc w:val="right"/>
              <w:rPr>
                <w:sz w:val="20"/>
              </w:rPr>
            </w:pPr>
            <w:r>
              <w:rPr>
                <w:color w:val="231F20"/>
                <w:sz w:val="20"/>
              </w:rPr>
              <w:t>(6)</w:t>
            </w:r>
          </w:p>
        </w:tc>
      </w:tr>
      <w:tr>
        <w:trPr>
          <w:trHeight w:val="320" w:hRule="exact"/>
        </w:trPr>
        <w:tc>
          <w:tcPr>
            <w:tcW w:w="4840" w:type="dxa"/>
            <w:gridSpan w:val="2"/>
          </w:tcPr>
          <w:p>
            <w:pPr>
              <w:pStyle w:val="TableParagraph"/>
              <w:spacing w:before="58"/>
              <w:ind w:left="500"/>
              <w:rPr>
                <w:sz w:val="20"/>
              </w:rPr>
            </w:pPr>
            <w:r>
              <w:rPr>
                <w:color w:val="231F20"/>
                <w:sz w:val="20"/>
              </w:rPr>
              <w:t>Total deferred</w:t>
            </w:r>
          </w:p>
        </w:tc>
        <w:tc>
          <w:tcPr>
            <w:tcW w:w="1320" w:type="dxa"/>
            <w:tcBorders>
              <w:top w:val="single" w:sz="4" w:space="0" w:color="231F20"/>
              <w:bottom w:val="single" w:sz="4" w:space="0" w:color="231F20"/>
            </w:tcBorders>
          </w:tcPr>
          <w:p>
            <w:pPr>
              <w:pStyle w:val="TableParagraph"/>
              <w:ind w:right="48"/>
              <w:jc w:val="right"/>
              <w:rPr>
                <w:sz w:val="20"/>
              </w:rPr>
            </w:pPr>
            <w:r>
              <w:rPr>
                <w:color w:val="231F20"/>
                <w:sz w:val="20"/>
              </w:rPr>
              <w:t>(108)</w:t>
            </w:r>
          </w:p>
        </w:tc>
        <w:tc>
          <w:tcPr>
            <w:tcW w:w="160" w:type="dxa"/>
          </w:tcPr>
          <w:p>
            <w:pPr/>
          </w:p>
        </w:tc>
        <w:tc>
          <w:tcPr>
            <w:tcW w:w="1320" w:type="dxa"/>
            <w:tcBorders>
              <w:top w:val="single" w:sz="4" w:space="0" w:color="231F20"/>
              <w:bottom w:val="single" w:sz="4" w:space="0" w:color="231F20"/>
            </w:tcBorders>
          </w:tcPr>
          <w:p>
            <w:pPr>
              <w:pStyle w:val="TableParagraph"/>
              <w:ind w:right="49"/>
              <w:jc w:val="right"/>
              <w:rPr>
                <w:sz w:val="20"/>
              </w:rPr>
            </w:pPr>
            <w:r>
              <w:rPr>
                <w:color w:val="231F20"/>
                <w:sz w:val="20"/>
              </w:rPr>
              <w:t>448</w:t>
            </w:r>
          </w:p>
        </w:tc>
        <w:tc>
          <w:tcPr>
            <w:tcW w:w="160" w:type="dxa"/>
          </w:tcPr>
          <w:p>
            <w:pPr/>
          </w:p>
        </w:tc>
        <w:tc>
          <w:tcPr>
            <w:tcW w:w="1320" w:type="dxa"/>
          </w:tcPr>
          <w:p>
            <w:pPr>
              <w:pStyle w:val="TableParagraph"/>
              <w:spacing w:before="58"/>
              <w:ind w:right="49"/>
              <w:jc w:val="right"/>
              <w:rPr>
                <w:sz w:val="20"/>
              </w:rPr>
            </w:pPr>
            <w:r>
              <w:rPr>
                <w:color w:val="231F20"/>
                <w:sz w:val="20"/>
              </w:rPr>
              <w:t>56</w:t>
            </w:r>
          </w:p>
        </w:tc>
      </w:tr>
      <w:tr>
        <w:trPr>
          <w:trHeight w:val="360" w:hRule="exact"/>
        </w:trPr>
        <w:tc>
          <w:tcPr>
            <w:tcW w:w="4840" w:type="dxa"/>
            <w:gridSpan w:val="2"/>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819" w:val="left" w:leader="none"/>
              </w:tabs>
              <w:ind w:right="49"/>
              <w:jc w:val="right"/>
              <w:rPr>
                <w:sz w:val="20"/>
              </w:rPr>
            </w:pPr>
            <w:r>
              <w:rPr>
                <w:color w:val="231F20"/>
                <w:sz w:val="20"/>
              </w:rPr>
              <w:t>$</w:t>
              <w:tab/>
              <w:t>1,298</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969" w:val="left" w:leader="none"/>
              </w:tabs>
              <w:ind w:right="49"/>
              <w:jc w:val="right"/>
              <w:rPr>
                <w:sz w:val="20"/>
              </w:rPr>
            </w:pPr>
            <w:r>
              <w:rPr>
                <w:color w:val="231F20"/>
                <w:sz w:val="20"/>
              </w:rPr>
              <w:t>$</w:t>
              <w:tab/>
              <w:t>680</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tabs>
                <w:tab w:pos="969" w:val="left" w:leader="none"/>
              </w:tabs>
              <w:spacing w:before="58"/>
              <w:ind w:right="49"/>
              <w:jc w:val="right"/>
              <w:rPr>
                <w:sz w:val="20"/>
              </w:rPr>
            </w:pPr>
            <w:r>
              <w:rPr>
                <w:color w:val="231F20"/>
                <w:sz w:val="20"/>
              </w:rPr>
              <w:t>$</w:t>
              <w:tab/>
              <w:t>455</w:t>
            </w:r>
          </w:p>
        </w:tc>
      </w:tr>
    </w:tbl>
    <w:p>
      <w:pPr>
        <w:spacing w:after="0"/>
        <w:jc w:val="right"/>
        <w:rPr>
          <w:sz w:val="20"/>
        </w:rPr>
        <w:sectPr>
          <w:pgSz w:w="11880" w:h="15480"/>
          <w:pgMar w:header="0" w:footer="1240" w:top="1240" w:bottom="1420" w:left="1260" w:right="1260"/>
        </w:sectPr>
      </w:pPr>
    </w:p>
    <w:p>
      <w:pPr>
        <w:pStyle w:val="BodyText"/>
        <w:spacing w:line="247" w:lineRule="auto" w:before="74"/>
        <w:ind w:left="100" w:right="322"/>
      </w:pPr>
      <w:r>
        <w:rPr>
          <w:color w:val="231F20"/>
        </w:rPr>
        <w:t>The effective tax rate on income before income taxes differed from the federal income tax statutory  rate for the following</w:t>
      </w:r>
      <w:r>
        <w:rPr>
          <w:color w:val="231F20"/>
          <w:spacing w:val="-2"/>
        </w:rPr>
        <w:t> </w:t>
      </w:r>
      <w:r>
        <w:rPr>
          <w:color w:val="231F20"/>
        </w:rPr>
        <w:t>reasons:</w:t>
      </w:r>
    </w:p>
    <w:p>
      <w:pPr>
        <w:pStyle w:val="BodyText"/>
        <w:spacing w:before="3"/>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200"/>
        <w:gridCol w:w="1280"/>
        <w:gridCol w:w="200"/>
        <w:gridCol w:w="1280"/>
        <w:gridCol w:w="200"/>
        <w:gridCol w:w="1280"/>
      </w:tblGrid>
      <w:tr>
        <w:trPr>
          <w:trHeight w:val="256" w:hRule="exact"/>
        </w:trPr>
        <w:tc>
          <w:tcPr>
            <w:tcW w:w="46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2014</w:t>
            </w:r>
          </w:p>
        </w:tc>
        <w:tc>
          <w:tcPr>
            <w:tcW w:w="200" w:type="dxa"/>
          </w:tcPr>
          <w:p>
            <w:pPr/>
          </w:p>
        </w:tc>
        <w:tc>
          <w:tcPr>
            <w:tcW w:w="1280" w:type="dxa"/>
            <w:tcBorders>
              <w:bottom w:val="single" w:sz="8" w:space="0" w:color="231F20"/>
            </w:tcBorders>
          </w:tcPr>
          <w:p>
            <w:pPr>
              <w:pStyle w:val="TableParagraph"/>
              <w:spacing w:line="229" w:lineRule="exact" w:before="0"/>
              <w:jc w:val="center"/>
              <w:rPr>
                <w:b/>
                <w:sz w:val="20"/>
              </w:rPr>
            </w:pPr>
            <w:r>
              <w:rPr>
                <w:b/>
                <w:color w:val="231F20"/>
                <w:sz w:val="20"/>
              </w:rPr>
              <w:t>2013</w:t>
            </w:r>
          </w:p>
        </w:tc>
      </w:tr>
      <w:tr>
        <w:trPr>
          <w:trHeight w:val="310" w:hRule="exact"/>
        </w:trPr>
        <w:tc>
          <w:tcPr>
            <w:tcW w:w="4680" w:type="dxa"/>
            <w:tcBorders>
              <w:top w:val="single" w:sz="8" w:space="0" w:color="231F20"/>
            </w:tcBorders>
          </w:tcPr>
          <w:p>
            <w:pPr>
              <w:pStyle w:val="TableParagraph"/>
              <w:ind w:left="100"/>
              <w:rPr>
                <w:sz w:val="20"/>
              </w:rPr>
            </w:pPr>
            <w:r>
              <w:rPr>
                <w:color w:val="231F20"/>
                <w:sz w:val="20"/>
              </w:rPr>
              <w:t>Tax at statutory U.S. tax rates</w:t>
            </w:r>
          </w:p>
        </w:tc>
        <w:tc>
          <w:tcPr>
            <w:tcW w:w="200" w:type="dxa"/>
          </w:tcPr>
          <w:p>
            <w:pPr/>
          </w:p>
        </w:tc>
        <w:tc>
          <w:tcPr>
            <w:tcW w:w="1280" w:type="dxa"/>
            <w:tcBorders>
              <w:top w:val="single" w:sz="8" w:space="0" w:color="231F20"/>
            </w:tcBorders>
          </w:tcPr>
          <w:p>
            <w:pPr>
              <w:pStyle w:val="TableParagraph"/>
              <w:tabs>
                <w:tab w:pos="779" w:val="left" w:leader="none"/>
              </w:tabs>
              <w:ind w:right="49"/>
              <w:jc w:val="right"/>
              <w:rPr>
                <w:sz w:val="20"/>
              </w:rPr>
            </w:pPr>
            <w:r>
              <w:rPr>
                <w:color w:val="231F20"/>
                <w:sz w:val="20"/>
              </w:rPr>
              <w:t>$</w:t>
              <w:tab/>
              <w:t>1,218</w:t>
            </w:r>
          </w:p>
        </w:tc>
        <w:tc>
          <w:tcPr>
            <w:tcW w:w="200" w:type="dxa"/>
          </w:tcPr>
          <w:p>
            <w:pPr/>
          </w:p>
        </w:tc>
        <w:tc>
          <w:tcPr>
            <w:tcW w:w="1280" w:type="dxa"/>
            <w:tcBorders>
              <w:top w:val="single" w:sz="8" w:space="0" w:color="231F20"/>
            </w:tcBorders>
          </w:tcPr>
          <w:p>
            <w:pPr>
              <w:pStyle w:val="TableParagraph"/>
              <w:tabs>
                <w:tab w:pos="929" w:val="left" w:leader="none"/>
              </w:tabs>
              <w:ind w:right="49"/>
              <w:jc w:val="right"/>
              <w:rPr>
                <w:sz w:val="20"/>
              </w:rPr>
            </w:pPr>
            <w:r>
              <w:rPr>
                <w:color w:val="231F20"/>
                <w:sz w:val="20"/>
              </w:rPr>
              <w:t>$</w:t>
              <w:tab/>
              <w:t>636</w:t>
            </w:r>
          </w:p>
        </w:tc>
        <w:tc>
          <w:tcPr>
            <w:tcW w:w="200" w:type="dxa"/>
          </w:tcPr>
          <w:p>
            <w:pPr/>
          </w:p>
        </w:tc>
        <w:tc>
          <w:tcPr>
            <w:tcW w:w="1280" w:type="dxa"/>
            <w:tcBorders>
              <w:top w:val="single" w:sz="8" w:space="0" w:color="231F20"/>
            </w:tcBorders>
          </w:tcPr>
          <w:p>
            <w:pPr>
              <w:pStyle w:val="TableParagraph"/>
              <w:tabs>
                <w:tab w:pos="929" w:val="left" w:leader="none"/>
              </w:tabs>
              <w:ind w:right="49"/>
              <w:jc w:val="right"/>
              <w:rPr>
                <w:sz w:val="20"/>
              </w:rPr>
            </w:pPr>
            <w:r>
              <w:rPr>
                <w:color w:val="231F20"/>
                <w:sz w:val="20"/>
              </w:rPr>
              <w:t>$</w:t>
              <w:tab/>
              <w:t>423</w:t>
            </w:r>
          </w:p>
        </w:tc>
      </w:tr>
      <w:tr>
        <w:trPr>
          <w:trHeight w:val="300" w:hRule="exact"/>
        </w:trPr>
        <w:tc>
          <w:tcPr>
            <w:tcW w:w="4680" w:type="dxa"/>
            <w:shd w:val="clear" w:color="auto" w:fill="D1D3D4"/>
          </w:tcPr>
          <w:p>
            <w:pPr>
              <w:pStyle w:val="TableParagraph"/>
              <w:ind w:left="100"/>
              <w:rPr>
                <w:sz w:val="20"/>
              </w:rPr>
            </w:pPr>
            <w:r>
              <w:rPr>
                <w:color w:val="231F20"/>
                <w:sz w:val="20"/>
              </w:rPr>
              <w:t>Nondeductible items</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15</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9</w:t>
            </w:r>
          </w:p>
        </w:tc>
        <w:tc>
          <w:tcPr>
            <w:tcW w:w="200" w:type="dxa"/>
            <w:shd w:val="clear" w:color="auto" w:fill="D1D3D4"/>
          </w:tcPr>
          <w:p>
            <w:pPr/>
          </w:p>
        </w:tc>
        <w:tc>
          <w:tcPr>
            <w:tcW w:w="1280" w:type="dxa"/>
            <w:shd w:val="clear" w:color="auto" w:fill="D1D3D4"/>
          </w:tcPr>
          <w:p>
            <w:pPr>
              <w:pStyle w:val="TableParagraph"/>
              <w:ind w:right="47"/>
              <w:jc w:val="right"/>
              <w:rPr>
                <w:sz w:val="20"/>
              </w:rPr>
            </w:pPr>
            <w:r>
              <w:rPr>
                <w:color w:val="231F20"/>
                <w:sz w:val="20"/>
              </w:rPr>
              <w:t>10</w:t>
            </w:r>
          </w:p>
        </w:tc>
      </w:tr>
      <w:tr>
        <w:trPr>
          <w:trHeight w:val="300" w:hRule="exact"/>
        </w:trPr>
        <w:tc>
          <w:tcPr>
            <w:tcW w:w="4680" w:type="dxa"/>
          </w:tcPr>
          <w:p>
            <w:pPr>
              <w:pStyle w:val="TableParagraph"/>
              <w:ind w:left="100"/>
              <w:rPr>
                <w:sz w:val="20"/>
              </w:rPr>
            </w:pPr>
            <w:r>
              <w:rPr>
                <w:color w:val="231F20"/>
                <w:sz w:val="20"/>
              </w:rPr>
              <w:t>State income taxes, net of federal benefit</w:t>
            </w:r>
          </w:p>
        </w:tc>
        <w:tc>
          <w:tcPr>
            <w:tcW w:w="200" w:type="dxa"/>
          </w:tcPr>
          <w:p>
            <w:pPr/>
          </w:p>
        </w:tc>
        <w:tc>
          <w:tcPr>
            <w:tcW w:w="1280" w:type="dxa"/>
          </w:tcPr>
          <w:p>
            <w:pPr>
              <w:pStyle w:val="TableParagraph"/>
              <w:ind w:right="49"/>
              <w:jc w:val="right"/>
              <w:rPr>
                <w:sz w:val="20"/>
              </w:rPr>
            </w:pPr>
            <w:r>
              <w:rPr>
                <w:color w:val="231F20"/>
                <w:sz w:val="20"/>
              </w:rPr>
              <w:t>66</w:t>
            </w:r>
          </w:p>
        </w:tc>
        <w:tc>
          <w:tcPr>
            <w:tcW w:w="200" w:type="dxa"/>
          </w:tcPr>
          <w:p>
            <w:pPr/>
          </w:p>
        </w:tc>
        <w:tc>
          <w:tcPr>
            <w:tcW w:w="1280" w:type="dxa"/>
          </w:tcPr>
          <w:p>
            <w:pPr>
              <w:pStyle w:val="TableParagraph"/>
              <w:ind w:right="49"/>
              <w:jc w:val="right"/>
              <w:rPr>
                <w:sz w:val="20"/>
              </w:rPr>
            </w:pPr>
            <w:r>
              <w:rPr>
                <w:color w:val="231F20"/>
                <w:sz w:val="20"/>
              </w:rPr>
              <w:t>37</w:t>
            </w:r>
          </w:p>
        </w:tc>
        <w:tc>
          <w:tcPr>
            <w:tcW w:w="200" w:type="dxa"/>
          </w:tcPr>
          <w:p>
            <w:pPr/>
          </w:p>
        </w:tc>
        <w:tc>
          <w:tcPr>
            <w:tcW w:w="1280" w:type="dxa"/>
          </w:tcPr>
          <w:p>
            <w:pPr>
              <w:pStyle w:val="TableParagraph"/>
              <w:ind w:right="49"/>
              <w:jc w:val="right"/>
              <w:rPr>
                <w:sz w:val="20"/>
              </w:rPr>
            </w:pPr>
            <w:r>
              <w:rPr>
                <w:color w:val="231F20"/>
                <w:sz w:val="20"/>
              </w:rPr>
              <w:t>25</w:t>
            </w:r>
          </w:p>
        </w:tc>
      </w:tr>
      <w:tr>
        <w:trPr>
          <w:trHeight w:val="315" w:hRule="exact"/>
        </w:trPr>
        <w:tc>
          <w:tcPr>
            <w:tcW w:w="4680" w:type="dxa"/>
            <w:shd w:val="clear" w:color="auto" w:fill="D1D3D4"/>
          </w:tcPr>
          <w:p>
            <w:pPr>
              <w:pStyle w:val="TableParagraph"/>
              <w:ind w:left="100"/>
              <w:rPr>
                <w:sz w:val="20"/>
              </w:rPr>
            </w:pPr>
            <w:r>
              <w:rPr>
                <w:color w:val="231F20"/>
                <w:sz w:val="20"/>
              </w:rPr>
              <w:t>Other, net</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(2)</w:t>
            </w:r>
          </w:p>
        </w:tc>
        <w:tc>
          <w:tcPr>
            <w:tcW w:w="200" w:type="dxa"/>
            <w:shd w:val="clear" w:color="auto" w:fill="D1D3D4"/>
          </w:tcPr>
          <w:p>
            <w:pPr/>
          </w:p>
        </w:tc>
        <w:tc>
          <w:tcPr>
            <w:tcW w:w="1280" w:type="dxa"/>
            <w:tcBorders>
              <w:bottom w:val="single" w:sz="4" w:space="0" w:color="231F20"/>
            </w:tcBorders>
            <w:shd w:val="clear" w:color="auto" w:fill="D1D3D4"/>
          </w:tcPr>
          <w:p>
            <w:pPr>
              <w:pStyle w:val="TableParagraph"/>
              <w:ind w:right="48"/>
              <w:jc w:val="right"/>
              <w:rPr>
                <w:sz w:val="20"/>
              </w:rPr>
            </w:pPr>
            <w:r>
              <w:rPr>
                <w:color w:val="231F20"/>
                <w:sz w:val="20"/>
              </w:rPr>
              <w:t>(3)</w:t>
            </w:r>
          </w:p>
        </w:tc>
      </w:tr>
      <w:tr>
        <w:trPr>
          <w:trHeight w:val="360" w:hRule="exact"/>
        </w:trPr>
        <w:tc>
          <w:tcPr>
            <w:tcW w:w="4680" w:type="dxa"/>
          </w:tcPr>
          <w:p>
            <w:pPr>
              <w:pStyle w:val="TableParagraph"/>
              <w:spacing w:before="73"/>
              <w:ind w:left="400"/>
              <w:rPr>
                <w:sz w:val="20"/>
              </w:rPr>
            </w:pPr>
            <w:r>
              <w:rPr>
                <w:color w:val="231F20"/>
                <w:sz w:val="20"/>
              </w:rPr>
              <w:t>Total income tax provision</w:t>
            </w:r>
          </w:p>
        </w:tc>
        <w:tc>
          <w:tcPr>
            <w:tcW w:w="200" w:type="dxa"/>
          </w:tcPr>
          <w:p>
            <w:pPr/>
          </w:p>
        </w:tc>
        <w:tc>
          <w:tcPr>
            <w:tcW w:w="1280" w:type="dxa"/>
            <w:tcBorders>
              <w:top w:val="single" w:sz="4" w:space="0" w:color="231F20"/>
              <w:bottom w:val="single" w:sz="4" w:space="0" w:color="231F20"/>
            </w:tcBorders>
          </w:tcPr>
          <w:p>
            <w:pPr>
              <w:pStyle w:val="TableParagraph"/>
              <w:tabs>
                <w:tab w:pos="779" w:val="left" w:leader="none"/>
              </w:tabs>
              <w:ind w:right="47"/>
              <w:jc w:val="right"/>
              <w:rPr>
                <w:sz w:val="20"/>
              </w:rPr>
            </w:pPr>
            <w:r>
              <w:rPr>
                <w:color w:val="231F20"/>
                <w:sz w:val="20"/>
              </w:rPr>
              <w:t>$</w:t>
              <w:tab/>
              <w:t>1,298</w:t>
            </w:r>
          </w:p>
        </w:tc>
        <w:tc>
          <w:tcPr>
            <w:tcW w:w="200" w:type="dxa"/>
          </w:tcPr>
          <w:p>
            <w:pPr/>
          </w:p>
        </w:tc>
        <w:tc>
          <w:tcPr>
            <w:tcW w:w="1280" w:type="dxa"/>
            <w:tcBorders>
              <w:top w:val="single" w:sz="4" w:space="0" w:color="231F20"/>
              <w:bottom w:val="single" w:sz="4" w:space="0" w:color="231F20"/>
            </w:tcBorders>
          </w:tcPr>
          <w:p>
            <w:pPr>
              <w:pStyle w:val="TableParagraph"/>
              <w:tabs>
                <w:tab w:pos="929" w:val="left" w:leader="none"/>
              </w:tabs>
              <w:ind w:right="47"/>
              <w:jc w:val="right"/>
              <w:rPr>
                <w:sz w:val="20"/>
              </w:rPr>
            </w:pPr>
            <w:r>
              <w:rPr>
                <w:color w:val="231F20"/>
                <w:sz w:val="20"/>
              </w:rPr>
              <w:t>$</w:t>
              <w:tab/>
              <w:t>680</w:t>
            </w:r>
          </w:p>
        </w:tc>
        <w:tc>
          <w:tcPr>
            <w:tcW w:w="200" w:type="dxa"/>
          </w:tcPr>
          <w:p>
            <w:pPr/>
          </w:p>
        </w:tc>
        <w:tc>
          <w:tcPr>
            <w:tcW w:w="1280" w:type="dxa"/>
            <w:tcBorders>
              <w:top w:val="single" w:sz="4" w:space="0" w:color="231F20"/>
              <w:bottom w:val="single" w:sz="4" w:space="0" w:color="231F20"/>
            </w:tcBorders>
          </w:tcPr>
          <w:p>
            <w:pPr>
              <w:pStyle w:val="TableParagraph"/>
              <w:tabs>
                <w:tab w:pos="929" w:val="left" w:leader="none"/>
              </w:tabs>
              <w:spacing w:before="68"/>
              <w:ind w:right="47"/>
              <w:jc w:val="right"/>
              <w:rPr>
                <w:sz w:val="20"/>
              </w:rPr>
            </w:pPr>
            <w:r>
              <w:rPr>
                <w:color w:val="231F20"/>
                <w:sz w:val="20"/>
              </w:rPr>
              <w:t>$</w:t>
              <w:tab/>
              <w:t>455</w:t>
            </w:r>
          </w:p>
        </w:tc>
      </w:tr>
    </w:tbl>
    <w:p>
      <w:pPr>
        <w:pStyle w:val="BodyText"/>
        <w:spacing w:before="2"/>
        <w:rPr>
          <w:sz w:val="25"/>
        </w:rPr>
      </w:pPr>
    </w:p>
    <w:p>
      <w:pPr>
        <w:pStyle w:val="BodyText"/>
        <w:spacing w:line="247" w:lineRule="auto"/>
        <w:ind w:left="100" w:right="322"/>
      </w:pPr>
      <w:r>
        <w:rPr/>
        <w:pict>
          <v:line style="position:absolute;mso-position-horizontal-relative:page;mso-position-vertical-relative:paragraph;z-index:-387088" from="313pt,-16.980469pt" to="377pt,-16.980469pt" stroked="true" strokeweight=".5pt" strokecolor="#231f20">
            <v:stroke dashstyle="solid"/>
            <w10:wrap type="none"/>
          </v:line>
        </w:pict>
      </w:r>
      <w:r>
        <w:rPr/>
        <w:pict>
          <v:line style="position:absolute;mso-position-horizontal-relative:page;mso-position-vertical-relative:paragraph;z-index:-387064" from="387pt,-16.980469pt" to="451pt,-16.980469pt" stroked="true" strokeweight=".5pt" strokecolor="#231f20">
            <v:stroke dashstyle="solid"/>
            <w10:wrap type="none"/>
          </v:line>
        </w:pict>
      </w:r>
      <w:r>
        <w:rPr/>
        <w:pict>
          <v:line style="position:absolute;mso-position-horizontal-relative:page;mso-position-vertical-relative:paragraph;z-index:-387040" from="461pt,-16.980469pt" to="525pt,-16.980469pt" stroked="true" strokeweight=".5pt" strokecolor="#231f20">
            <v:stroke dashstyle="solid"/>
            <w10:wrap type="none"/>
          </v:line>
        </w:pict>
      </w:r>
      <w:r>
        <w:rPr>
          <w:color w:val="231F20"/>
        </w:rPr>
        <w:t>The only periods subject to examination for the Company’s federal tax return are the 2014 and 2015  tax years.</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jc w:val="both"/>
      </w:pPr>
      <w:r>
        <w:rPr>
          <w:color w:val="231F20"/>
        </w:rPr>
        <w:t>We have audited the accompanying consolidated balance sheet of Southwest Airlines Co. as of December 31, 2015 and 2014, and the related consolidated statements of income, comprehensive income, stockholders’ equity, and cash flows for each of the three years in the  period  ended  December 31, 2015.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jc w:val="both"/>
      </w:pPr>
      <w:r>
        <w:rPr>
          <w:color w:val="231F20"/>
        </w:rPr>
        <w:t>In our opinion, the financial statements referred to above present fairly, in all material respects, the consolidated financial position of Southwest Airlines Co. at December 31, 2015 and 2014, and the consolidated results of its operations and its cash flows for each of the three years in the period ended December 31, 2015, in conformity with U.S. generally accepted accounting principles.</w:t>
      </w:r>
    </w:p>
    <w:p>
      <w:pPr>
        <w:pStyle w:val="BodyText"/>
        <w:spacing w:before="9"/>
        <w:rPr>
          <w:sz w:val="20"/>
        </w:rPr>
      </w:pPr>
    </w:p>
    <w:p>
      <w:pPr>
        <w:pStyle w:val="BodyText"/>
        <w:spacing w:line="247" w:lineRule="auto" w:before="1"/>
        <w:ind w:left="100" w:right="119"/>
        <w:jc w:val="both"/>
      </w:pPr>
      <w:r>
        <w:rPr>
          <w:color w:val="231F20"/>
        </w:rPr>
        <w:t>As discussed in Note 1 to the consolidated financial statements, the Company has changed its method of accounting for its co-brand credit card agreement to apply the amendments to the FASB Accounting Standards Codification resulting from Accounting Standards Update No. 2009-13, Multiple  Deliverable Revenue Arrangements, effective July 1,</w:t>
      </w:r>
      <w:r>
        <w:rPr>
          <w:color w:val="231F20"/>
          <w:spacing w:val="1"/>
        </w:rPr>
        <w:t> </w:t>
      </w:r>
      <w:r>
        <w:rPr>
          <w:color w:val="231F20"/>
        </w:rPr>
        <w:t>2015.</w:t>
      </w:r>
    </w:p>
    <w:p>
      <w:pPr>
        <w:pStyle w:val="BodyText"/>
        <w:spacing w:before="9"/>
        <w:rPr>
          <w:sz w:val="20"/>
        </w:rPr>
      </w:pPr>
    </w:p>
    <w:p>
      <w:pPr>
        <w:pStyle w:val="BodyText"/>
        <w:spacing w:line="247" w:lineRule="auto" w:before="1"/>
        <w:ind w:left="100" w:right="117"/>
        <w:jc w:val="both"/>
      </w:pPr>
      <w:r>
        <w:rPr>
          <w:color w:val="231F20"/>
        </w:rPr>
        <w:t>As discussed in Note 1 to the consolidated financial statements, the Company has adopted ASU 2015- 17 Income Taxes (Topic 740): Balance Sheet Classification of Deferred Taxes.</w:t>
      </w:r>
    </w:p>
    <w:p>
      <w:pPr>
        <w:pStyle w:val="BodyText"/>
        <w:spacing w:before="9"/>
        <w:rPr>
          <w:sz w:val="20"/>
        </w:rPr>
      </w:pPr>
    </w:p>
    <w:p>
      <w:pPr>
        <w:pStyle w:val="BodyText"/>
        <w:spacing w:line="247" w:lineRule="auto" w:before="1"/>
        <w:ind w:left="100" w:right="117"/>
        <w:jc w:val="both"/>
      </w:pPr>
      <w:r>
        <w:rPr>
          <w:color w:val="231F20"/>
        </w:rPr>
        <w:t>We also have audited, in accordance with the standards of the Public Company Accounting Oversight Board (United States), Southwest Airlines Co.’s internal control over financial reporting as of December 31, 2015, based on criteria established in Internal Control-Integrated Framework issued by the Committee of Sponsoring Organizations of the Treadway Commission (2013 Framework) and our report dated February 2, 2016 expressed an unqualified opinion thereon.</w:t>
      </w:r>
    </w:p>
    <w:p>
      <w:pPr>
        <w:pStyle w:val="BodyText"/>
        <w:spacing w:before="9"/>
        <w:rPr>
          <w:sz w:val="20"/>
        </w:rPr>
      </w:pPr>
    </w:p>
    <w:p>
      <w:pPr>
        <w:pStyle w:val="BodyText"/>
        <w:spacing w:before="1"/>
        <w:ind w:left="7168"/>
      </w:pPr>
      <w:r>
        <w:rPr>
          <w:color w:val="231F20"/>
        </w:rPr>
        <w:t>/s/ Ernst &amp; Young LLP</w:t>
      </w:r>
    </w:p>
    <w:p>
      <w:pPr>
        <w:pStyle w:val="BodyText"/>
        <w:rPr>
          <w:sz w:val="24"/>
        </w:rPr>
      </w:pPr>
    </w:p>
    <w:p>
      <w:pPr>
        <w:pStyle w:val="BodyText"/>
        <w:rPr>
          <w:sz w:val="24"/>
        </w:rPr>
      </w:pPr>
    </w:p>
    <w:p>
      <w:pPr>
        <w:pStyle w:val="BodyText"/>
        <w:spacing w:line="247" w:lineRule="auto" w:before="175"/>
        <w:ind w:left="100" w:right="7710"/>
      </w:pPr>
      <w:r>
        <w:rPr>
          <w:color w:val="231F20"/>
        </w:rPr>
        <w:t>Dallas, Texas February 2, 2016</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spacing w:line="247" w:lineRule="auto" w:before="167"/>
        <w:ind w:left="100" w:right="5327" w:firstLine="0"/>
        <w:jc w:val="left"/>
        <w:rPr>
          <w:b/>
          <w:sz w:val="22"/>
        </w:rPr>
      </w:pPr>
      <w:r>
        <w:rPr>
          <w:b/>
          <w:color w:val="231F20"/>
          <w:sz w:val="22"/>
        </w:rPr>
        <w:t>The Board of Directors and Shareholders Southwest Airlines Co.</w:t>
      </w:r>
    </w:p>
    <w:p>
      <w:pPr>
        <w:pStyle w:val="BodyText"/>
        <w:spacing w:line="250" w:lineRule="exact" w:before="155"/>
        <w:ind w:left="100" w:right="117"/>
        <w:jc w:val="both"/>
      </w:pPr>
      <w:r>
        <w:rPr>
          <w:color w:val="231F20"/>
        </w:rPr>
        <w:t>We have audited Southwest Airlines Co.’s internal control over financial reporting as of December 31, 2015,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1"/>
        </w:rPr>
        <w:t> </w:t>
      </w:r>
      <w:r>
        <w:rPr>
          <w:color w:val="231F20"/>
        </w:rPr>
        <w:t>audit.</w:t>
      </w:r>
    </w:p>
    <w:p>
      <w:pPr>
        <w:pStyle w:val="BodyText"/>
        <w:spacing w:line="250" w:lineRule="exact" w:before="160"/>
        <w:ind w:left="100" w:right="117"/>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50" w:lineRule="exact" w:before="160"/>
        <w:ind w:left="100" w:right="117"/>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50" w:lineRule="exact" w:before="160"/>
        <w:ind w:left="100" w:right="117"/>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50" w:lineRule="exact" w:before="160"/>
        <w:ind w:left="100" w:right="117"/>
        <w:jc w:val="both"/>
      </w:pPr>
      <w:r>
        <w:rPr>
          <w:color w:val="231F20"/>
        </w:rPr>
        <w:t>In our opinion, Southwest Airlines Co. maintained, in all material respects, effective internal control over financial reporting as of December 31, 2015, based on the COSO criteria.</w:t>
      </w:r>
    </w:p>
    <w:p>
      <w:pPr>
        <w:pStyle w:val="BodyText"/>
        <w:spacing w:line="250" w:lineRule="exact" w:before="160"/>
        <w:ind w:left="100" w:right="119"/>
        <w:jc w:val="both"/>
      </w:pPr>
      <w:r>
        <w:rPr>
          <w:color w:val="231F20"/>
        </w:rPr>
        <w:t>We also have audited, in accordance with the standards of the Public Company Accounting Oversight Board (United States), the consolidated balance sheet of Southwest Airlines Co. as of December 31, 2015 and 2014, and the related consolidated statements of income, comprehensive income, stockholders’ equity, and cash flows for each of the three years in the period ended December 31, 2015 and our report dated February 2, 2016 expressed an unqualified opinion thereon.</w:t>
      </w:r>
    </w:p>
    <w:p>
      <w:pPr>
        <w:pStyle w:val="BodyText"/>
        <w:spacing w:before="155"/>
        <w:ind w:right="116"/>
        <w:jc w:val="right"/>
      </w:pPr>
      <w:r>
        <w:rPr>
          <w:color w:val="231F20"/>
        </w:rPr>
        <w:t>/s/ Ernst &amp; Young LLP</w:t>
      </w:r>
    </w:p>
    <w:p>
      <w:pPr>
        <w:pStyle w:val="BodyText"/>
        <w:spacing w:line="250" w:lineRule="exact" w:before="163"/>
        <w:ind w:left="100" w:right="7710"/>
      </w:pPr>
      <w:r>
        <w:rPr>
          <w:color w:val="231F20"/>
        </w:rPr>
        <w:t>Dallas, Texas February 2, 2016</w:t>
      </w:r>
    </w:p>
    <w:p>
      <w:pPr>
        <w:spacing w:after="0" w:line="250" w:lineRule="exact"/>
        <w:sectPr>
          <w:pgSz w:w="11880" w:h="15480"/>
          <w:pgMar w:header="0" w:footer="1240" w:top="1240" w:bottom="1420" w:left="1280" w:right="1260"/>
        </w:sectPr>
      </w:pPr>
    </w:p>
    <w:p>
      <w:pPr>
        <w:pStyle w:val="Heading1"/>
        <w:spacing w:before="74"/>
        <w:ind w:left="94" w:right="95"/>
        <w:jc w:val="center"/>
      </w:pPr>
      <w:r>
        <w:rPr>
          <w:color w:val="231F20"/>
        </w:rPr>
        <w:t>QUARTERLY FINANCIAL DATA</w:t>
      </w:r>
    </w:p>
    <w:p>
      <w:pPr>
        <w:spacing w:before="59"/>
        <w:ind w:left="97" w:right="95" w:firstLine="0"/>
        <w:jc w:val="center"/>
        <w:rPr>
          <w:b/>
          <w:sz w:val="22"/>
        </w:rPr>
      </w:pPr>
      <w:r>
        <w:rPr>
          <w:b/>
          <w:color w:val="231F20"/>
          <w:sz w:val="22"/>
        </w:rPr>
        <w:t>(unaudited)</w:t>
      </w:r>
    </w:p>
    <w:p>
      <w:pPr>
        <w:spacing w:before="178" w:after="26"/>
        <w:ind w:left="4295" w:right="95" w:firstLine="0"/>
        <w:jc w:val="center"/>
        <w:rPr>
          <w:b/>
          <w:sz w:val="20"/>
        </w:rPr>
      </w:pPr>
      <w:r>
        <w:rPr/>
        <w:pict>
          <v:line style="position:absolute;mso-position-horizontal-relative:page;mso-position-vertical-relative:paragraph;z-index:-386992" from="69pt,33.736012pt" to="269pt,33.736012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right="290"/>
              <w:jc w:val="right"/>
              <w:rPr>
                <w:b/>
                <w:sz w:val="16"/>
              </w:rPr>
            </w:pPr>
            <w:r>
              <w:rPr>
                <w:b/>
                <w:color w:val="231F20"/>
                <w:sz w:val="16"/>
              </w:rPr>
              <w:t>Dec. 31</w:t>
            </w:r>
          </w:p>
        </w:tc>
      </w:tr>
      <w:tr>
        <w:trPr>
          <w:trHeight w:val="310" w:hRule="exact"/>
        </w:trPr>
        <w:tc>
          <w:tcPr>
            <w:tcW w:w="4000" w:type="dxa"/>
            <w:shd w:val="clear" w:color="auto" w:fill="D1D3D4"/>
          </w:tcPr>
          <w:p>
            <w:pPr>
              <w:pStyle w:val="TableParagraph"/>
              <w:rPr>
                <w:b/>
                <w:sz w:val="20"/>
              </w:rPr>
            </w:pPr>
            <w:r>
              <w:rPr>
                <w:b/>
                <w:color w:val="231F20"/>
                <w:sz w:val="20"/>
              </w:rPr>
              <w:t>2015</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4000" w:type="dxa"/>
          </w:tcPr>
          <w:p>
            <w:pPr>
              <w:pStyle w:val="TableParagraph"/>
              <w:ind w:left="400"/>
              <w:rPr>
                <w:sz w:val="20"/>
              </w:rPr>
            </w:pPr>
            <w:r>
              <w:rPr>
                <w:color w:val="231F20"/>
                <w:sz w:val="20"/>
              </w:rPr>
              <w:t>Operating revenues (a)(b)</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4,414</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5,111</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5,318</w:t>
            </w:r>
          </w:p>
        </w:tc>
        <w:tc>
          <w:tcPr>
            <w:tcW w:w="200" w:type="dxa"/>
          </w:tcPr>
          <w:p>
            <w:pPr/>
          </w:p>
        </w:tc>
        <w:tc>
          <w:tcPr>
            <w:tcW w:w="1080" w:type="dxa"/>
          </w:tcPr>
          <w:p>
            <w:pPr>
              <w:pStyle w:val="TableParagraph"/>
              <w:tabs>
                <w:tab w:pos="379" w:val="left" w:leader="none"/>
              </w:tabs>
              <w:ind w:right="247"/>
              <w:jc w:val="right"/>
              <w:rPr>
                <w:sz w:val="20"/>
              </w:rPr>
            </w:pPr>
            <w:r>
              <w:rPr>
                <w:color w:val="231F20"/>
                <w:sz w:val="20"/>
              </w:rPr>
              <w:t>$</w:t>
              <w:tab/>
            </w:r>
            <w:r>
              <w:rPr>
                <w:color w:val="231F20"/>
                <w:spacing w:val="-1"/>
                <w:sz w:val="20"/>
              </w:rPr>
              <w:t>4,977</w:t>
            </w:r>
          </w:p>
        </w:tc>
      </w:tr>
      <w:tr>
        <w:trPr>
          <w:trHeight w:val="300" w:hRule="exact"/>
        </w:trPr>
        <w:tc>
          <w:tcPr>
            <w:tcW w:w="4000" w:type="dxa"/>
            <w:shd w:val="clear" w:color="auto" w:fill="D1D3D4"/>
          </w:tcPr>
          <w:p>
            <w:pPr>
              <w:pStyle w:val="TableParagraph"/>
              <w:ind w:left="40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780</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1,085</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1,225</w:t>
            </w:r>
          </w:p>
        </w:tc>
        <w:tc>
          <w:tcPr>
            <w:tcW w:w="200" w:type="dxa"/>
            <w:shd w:val="clear" w:color="auto" w:fill="D1D3D4"/>
          </w:tcPr>
          <w:p>
            <w:pPr/>
          </w:p>
        </w:tc>
        <w:tc>
          <w:tcPr>
            <w:tcW w:w="1080" w:type="dxa"/>
            <w:shd w:val="clear" w:color="auto" w:fill="D1D3D4"/>
          </w:tcPr>
          <w:p>
            <w:pPr>
              <w:pStyle w:val="TableParagraph"/>
              <w:ind w:right="247"/>
              <w:jc w:val="right"/>
              <w:rPr>
                <w:sz w:val="20"/>
              </w:rPr>
            </w:pPr>
            <w:r>
              <w:rPr>
                <w:color w:val="231F20"/>
                <w:sz w:val="20"/>
              </w:rPr>
              <w:t>1,026</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723</w:t>
            </w:r>
          </w:p>
        </w:tc>
        <w:tc>
          <w:tcPr>
            <w:tcW w:w="200" w:type="dxa"/>
          </w:tcPr>
          <w:p>
            <w:pPr/>
          </w:p>
        </w:tc>
        <w:tc>
          <w:tcPr>
            <w:tcW w:w="1080" w:type="dxa"/>
          </w:tcPr>
          <w:p>
            <w:pPr>
              <w:pStyle w:val="TableParagraph"/>
              <w:ind w:right="66"/>
              <w:jc w:val="right"/>
              <w:rPr>
                <w:sz w:val="20"/>
              </w:rPr>
            </w:pPr>
            <w:r>
              <w:rPr>
                <w:color w:val="231F20"/>
                <w:sz w:val="20"/>
              </w:rPr>
              <w:t>977</w:t>
            </w:r>
          </w:p>
        </w:tc>
        <w:tc>
          <w:tcPr>
            <w:tcW w:w="200" w:type="dxa"/>
          </w:tcPr>
          <w:p>
            <w:pPr/>
          </w:p>
        </w:tc>
        <w:tc>
          <w:tcPr>
            <w:tcW w:w="1080" w:type="dxa"/>
          </w:tcPr>
          <w:p>
            <w:pPr>
              <w:pStyle w:val="TableParagraph"/>
              <w:ind w:right="66"/>
              <w:jc w:val="right"/>
              <w:rPr>
                <w:sz w:val="20"/>
              </w:rPr>
            </w:pPr>
            <w:r>
              <w:rPr>
                <w:color w:val="231F20"/>
                <w:sz w:val="20"/>
              </w:rPr>
              <w:t>933</w:t>
            </w:r>
          </w:p>
        </w:tc>
        <w:tc>
          <w:tcPr>
            <w:tcW w:w="200" w:type="dxa"/>
          </w:tcPr>
          <w:p>
            <w:pPr/>
          </w:p>
        </w:tc>
        <w:tc>
          <w:tcPr>
            <w:tcW w:w="1080" w:type="dxa"/>
          </w:tcPr>
          <w:p>
            <w:pPr>
              <w:pStyle w:val="TableParagraph"/>
              <w:ind w:right="249"/>
              <w:jc w:val="right"/>
              <w:rPr>
                <w:sz w:val="20"/>
              </w:rPr>
            </w:pPr>
            <w:r>
              <w:rPr>
                <w:color w:val="231F20"/>
                <w:sz w:val="20"/>
              </w:rPr>
              <w:t>847</w:t>
            </w:r>
          </w:p>
        </w:tc>
      </w:tr>
      <w:tr>
        <w:trPr>
          <w:trHeight w:val="300" w:hRule="exact"/>
        </w:trPr>
        <w:tc>
          <w:tcPr>
            <w:tcW w:w="4000" w:type="dxa"/>
            <w:shd w:val="clear" w:color="auto" w:fill="D1D3D4"/>
          </w:tcPr>
          <w:p>
            <w:pPr>
              <w:pStyle w:val="TableParagraph"/>
              <w:ind w:left="400"/>
              <w:rPr>
                <w:sz w:val="20"/>
              </w:rPr>
            </w:pPr>
            <w:r>
              <w:rPr>
                <w:color w:val="231F20"/>
                <w:sz w:val="20"/>
              </w:rPr>
              <w:t>Net income</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453</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608</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584</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536</w:t>
            </w:r>
          </w:p>
        </w:tc>
      </w:tr>
      <w:tr>
        <w:trPr>
          <w:trHeight w:val="300" w:hRule="exact"/>
        </w:trPr>
        <w:tc>
          <w:tcPr>
            <w:tcW w:w="4000" w:type="dxa"/>
          </w:tcPr>
          <w:p>
            <w:pPr>
              <w:pStyle w:val="TableParagraph"/>
              <w:ind w:left="400"/>
              <w:rPr>
                <w:sz w:val="20"/>
              </w:rPr>
            </w:pPr>
            <w:r>
              <w:rPr>
                <w:color w:val="231F20"/>
                <w:sz w:val="20"/>
              </w:rPr>
              <w:t>Net income per share, basic (a)(b)</w:t>
            </w:r>
          </w:p>
        </w:tc>
        <w:tc>
          <w:tcPr>
            <w:tcW w:w="200" w:type="dxa"/>
          </w:tcPr>
          <w:p>
            <w:pPr/>
          </w:p>
        </w:tc>
        <w:tc>
          <w:tcPr>
            <w:tcW w:w="1080" w:type="dxa"/>
          </w:tcPr>
          <w:p>
            <w:pPr>
              <w:pStyle w:val="TableParagraph"/>
              <w:ind w:right="66"/>
              <w:jc w:val="right"/>
              <w:rPr>
                <w:sz w:val="20"/>
              </w:rPr>
            </w:pPr>
            <w:r>
              <w:rPr>
                <w:color w:val="231F20"/>
                <w:sz w:val="20"/>
              </w:rPr>
              <w:t>0.67</w:t>
            </w:r>
          </w:p>
        </w:tc>
        <w:tc>
          <w:tcPr>
            <w:tcW w:w="200" w:type="dxa"/>
          </w:tcPr>
          <w:p>
            <w:pPr/>
          </w:p>
        </w:tc>
        <w:tc>
          <w:tcPr>
            <w:tcW w:w="1080" w:type="dxa"/>
          </w:tcPr>
          <w:p>
            <w:pPr>
              <w:pStyle w:val="TableParagraph"/>
              <w:ind w:right="66"/>
              <w:jc w:val="right"/>
              <w:rPr>
                <w:sz w:val="20"/>
              </w:rPr>
            </w:pPr>
            <w:r>
              <w:rPr>
                <w:color w:val="231F20"/>
                <w:sz w:val="20"/>
              </w:rPr>
              <w:t>0.91</w:t>
            </w:r>
          </w:p>
        </w:tc>
        <w:tc>
          <w:tcPr>
            <w:tcW w:w="200" w:type="dxa"/>
          </w:tcPr>
          <w:p>
            <w:pPr/>
          </w:p>
        </w:tc>
        <w:tc>
          <w:tcPr>
            <w:tcW w:w="1080" w:type="dxa"/>
          </w:tcPr>
          <w:p>
            <w:pPr>
              <w:pStyle w:val="TableParagraph"/>
              <w:ind w:right="66"/>
              <w:jc w:val="right"/>
              <w:rPr>
                <w:sz w:val="20"/>
              </w:rPr>
            </w:pPr>
            <w:r>
              <w:rPr>
                <w:color w:val="231F20"/>
                <w:sz w:val="20"/>
              </w:rPr>
              <w:t>0.89</w:t>
            </w:r>
          </w:p>
        </w:tc>
        <w:tc>
          <w:tcPr>
            <w:tcW w:w="200" w:type="dxa"/>
          </w:tcPr>
          <w:p>
            <w:pPr/>
          </w:p>
        </w:tc>
        <w:tc>
          <w:tcPr>
            <w:tcW w:w="1080" w:type="dxa"/>
          </w:tcPr>
          <w:p>
            <w:pPr>
              <w:pStyle w:val="TableParagraph"/>
              <w:ind w:right="249"/>
              <w:jc w:val="right"/>
              <w:rPr>
                <w:sz w:val="20"/>
              </w:rPr>
            </w:pPr>
            <w:r>
              <w:rPr>
                <w:color w:val="231F20"/>
                <w:sz w:val="20"/>
              </w:rPr>
              <w:t>0.83</w:t>
            </w:r>
          </w:p>
        </w:tc>
      </w:tr>
      <w:tr>
        <w:trPr>
          <w:trHeight w:val="300" w:hRule="exact"/>
        </w:trPr>
        <w:tc>
          <w:tcPr>
            <w:tcW w:w="4000" w:type="dxa"/>
            <w:shd w:val="clear" w:color="auto" w:fill="D1D3D4"/>
          </w:tcPr>
          <w:p>
            <w:pPr>
              <w:pStyle w:val="TableParagraph"/>
              <w:ind w:left="400"/>
              <w:rPr>
                <w:sz w:val="20"/>
              </w:rPr>
            </w:pPr>
            <w:r>
              <w:rPr>
                <w:color w:val="231F20"/>
                <w:sz w:val="20"/>
              </w:rPr>
              <w:t>Net income per share, diluted (a)(b)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0.66</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0.90</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0.88</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0.82</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62pt;width:456pt;height:15pt;mso-position-horizontal-relative:page;mso-position-vertical-relative:paragraph;z-index:8440;mso-wrap-distance-left:0;mso-wrap-distance-right:0" type="#_x0000_t202" filled="true" fillcolor="#d1d3d4" stroked="false">
            <v:textbox inset="0,0,0,0">
              <w:txbxContent>
                <w:p>
                  <w:pPr>
                    <w:spacing w:before="53"/>
                    <w:ind w:left="0" w:right="0" w:firstLine="0"/>
                    <w:jc w:val="left"/>
                    <w:rPr>
                      <w:b/>
                      <w:sz w:val="20"/>
                    </w:rPr>
                  </w:pPr>
                  <w:r>
                    <w:rPr>
                      <w:b/>
                      <w:color w:val="231F20"/>
                      <w:sz w:val="20"/>
                    </w:rPr>
                    <w:t>2014</w:t>
                  </w:r>
                </w:p>
              </w:txbxContent>
            </v:textbox>
            <v:fill type="solid"/>
            <w10:wrap type="topAndBottom"/>
          </v:shape>
        </w:pict>
      </w:r>
      <w:r>
        <w:rPr/>
        <w:pict>
          <v:line style="position:absolute;mso-position-horizontal-relative:page;mso-position-vertical-relative:paragraph;z-index:8488" from="279pt,10.968762pt" to="333pt,10.968762pt" stroked="true" strokeweight="1pt" strokecolor="#231f20">
            <v:stroke dashstyle="solid"/>
            <w10:wrap type="none"/>
          </v:line>
        </w:pict>
      </w:r>
      <w:r>
        <w:rPr/>
        <w:pict>
          <v:line style="position:absolute;mso-position-horizontal-relative:page;mso-position-vertical-relative:paragraph;z-index:8512" from="343pt,10.968762pt" to="397pt,10.968762pt" stroked="true" strokeweight="1pt" strokecolor="#231f20">
            <v:stroke dashstyle="solid"/>
            <w10:wrap type="none"/>
          </v:line>
        </w:pict>
      </w:r>
      <w:r>
        <w:rPr/>
        <w:pict>
          <v:line style="position:absolute;mso-position-horizontal-relative:page;mso-position-vertical-relative:paragraph;z-index:8536" from="407pt,10.968762pt" to="461pt,10.968762pt" stroked="true" strokeweight="1pt" strokecolor="#231f20">
            <v:stroke dashstyle="solid"/>
            <w10:wrap type="none"/>
          </v:line>
        </w:pict>
      </w:r>
      <w:r>
        <w:rPr/>
        <w:pict>
          <v:line style="position:absolute;mso-position-horizontal-relative:page;mso-position-vertical-relative:paragraph;z-index:8560" from="471pt,10.968762pt" to="525pt,10.968762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9"/>
        <w:gridCol w:w="1728"/>
        <w:gridCol w:w="1280"/>
        <w:gridCol w:w="1280"/>
        <w:gridCol w:w="1213"/>
      </w:tblGrid>
      <w:tr>
        <w:trPr>
          <w:trHeight w:val="240" w:hRule="exact"/>
        </w:trPr>
        <w:tc>
          <w:tcPr>
            <w:tcW w:w="3619" w:type="dxa"/>
          </w:tcPr>
          <w:p>
            <w:pPr>
              <w:pStyle w:val="TableParagraph"/>
              <w:spacing w:line="223" w:lineRule="exact" w:before="0"/>
              <w:ind w:left="400"/>
              <w:rPr>
                <w:sz w:val="20"/>
              </w:rPr>
            </w:pPr>
            <w:r>
              <w:rPr>
                <w:color w:val="231F20"/>
                <w:sz w:val="20"/>
              </w:rPr>
              <w:t>Operating revenues (a)</w:t>
            </w:r>
          </w:p>
        </w:tc>
        <w:tc>
          <w:tcPr>
            <w:tcW w:w="1728" w:type="dxa"/>
          </w:tcPr>
          <w:p>
            <w:pPr>
              <w:pStyle w:val="TableParagraph"/>
              <w:tabs>
                <w:tab w:pos="562" w:val="left" w:leader="none"/>
              </w:tabs>
              <w:spacing w:line="223" w:lineRule="exact" w:before="0"/>
              <w:ind w:right="131"/>
              <w:jc w:val="right"/>
              <w:rPr>
                <w:sz w:val="20"/>
              </w:rPr>
            </w:pPr>
            <w:r>
              <w:rPr>
                <w:color w:val="231F20"/>
                <w:sz w:val="20"/>
              </w:rPr>
              <w:t>$</w:t>
              <w:tab/>
              <w:t>4,166</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5,011</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4,800</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4,628</w:t>
            </w:r>
          </w:p>
        </w:tc>
      </w:tr>
      <w:tr>
        <w:trPr>
          <w:trHeight w:val="300" w:hRule="exact"/>
        </w:trPr>
        <w:tc>
          <w:tcPr>
            <w:tcW w:w="3619" w:type="dxa"/>
            <w:shd w:val="clear" w:color="auto" w:fill="D1D3D4"/>
          </w:tcPr>
          <w:p>
            <w:pPr>
              <w:pStyle w:val="TableParagraph"/>
              <w:ind w:left="400"/>
              <w:rPr>
                <w:sz w:val="20"/>
              </w:rPr>
            </w:pPr>
            <w:r>
              <w:rPr>
                <w:color w:val="231F20"/>
                <w:sz w:val="20"/>
              </w:rPr>
              <w:t>Operating income</w:t>
            </w:r>
          </w:p>
        </w:tc>
        <w:tc>
          <w:tcPr>
            <w:tcW w:w="1728" w:type="dxa"/>
            <w:shd w:val="clear" w:color="auto" w:fill="D1D3D4"/>
          </w:tcPr>
          <w:p>
            <w:pPr>
              <w:pStyle w:val="TableParagraph"/>
              <w:ind w:right="131"/>
              <w:jc w:val="right"/>
              <w:rPr>
                <w:sz w:val="20"/>
              </w:rPr>
            </w:pPr>
            <w:r>
              <w:rPr>
                <w:color w:val="231F20"/>
                <w:sz w:val="20"/>
              </w:rPr>
              <w:t>215</w:t>
            </w:r>
          </w:p>
        </w:tc>
        <w:tc>
          <w:tcPr>
            <w:tcW w:w="1280" w:type="dxa"/>
            <w:shd w:val="clear" w:color="auto" w:fill="D1D3D4"/>
          </w:tcPr>
          <w:p>
            <w:pPr>
              <w:pStyle w:val="TableParagraph"/>
              <w:ind w:right="131"/>
              <w:jc w:val="right"/>
              <w:rPr>
                <w:sz w:val="20"/>
              </w:rPr>
            </w:pPr>
            <w:r>
              <w:rPr>
                <w:color w:val="231F20"/>
                <w:sz w:val="20"/>
              </w:rPr>
              <w:t>775</w:t>
            </w:r>
          </w:p>
        </w:tc>
        <w:tc>
          <w:tcPr>
            <w:tcW w:w="1280" w:type="dxa"/>
            <w:shd w:val="clear" w:color="auto" w:fill="D1D3D4"/>
          </w:tcPr>
          <w:p>
            <w:pPr>
              <w:pStyle w:val="TableParagraph"/>
              <w:ind w:right="131"/>
              <w:jc w:val="right"/>
              <w:rPr>
                <w:sz w:val="20"/>
              </w:rPr>
            </w:pPr>
            <w:r>
              <w:rPr>
                <w:color w:val="231F20"/>
                <w:sz w:val="20"/>
              </w:rPr>
              <w:t>614</w:t>
            </w:r>
          </w:p>
        </w:tc>
        <w:tc>
          <w:tcPr>
            <w:tcW w:w="1213" w:type="dxa"/>
            <w:shd w:val="clear" w:color="auto" w:fill="D1D3D4"/>
          </w:tcPr>
          <w:p>
            <w:pPr>
              <w:pStyle w:val="TableParagraph"/>
              <w:ind w:right="247"/>
              <w:jc w:val="right"/>
              <w:rPr>
                <w:sz w:val="20"/>
              </w:rPr>
            </w:pPr>
            <w:r>
              <w:rPr>
                <w:color w:val="231F20"/>
                <w:sz w:val="20"/>
              </w:rPr>
              <w:t>621</w:t>
            </w:r>
          </w:p>
        </w:tc>
      </w:tr>
      <w:tr>
        <w:trPr>
          <w:trHeight w:val="300" w:hRule="exact"/>
        </w:trPr>
        <w:tc>
          <w:tcPr>
            <w:tcW w:w="3619" w:type="dxa"/>
          </w:tcPr>
          <w:p>
            <w:pPr>
              <w:pStyle w:val="TableParagraph"/>
              <w:ind w:left="400"/>
              <w:rPr>
                <w:sz w:val="20"/>
              </w:rPr>
            </w:pPr>
            <w:r>
              <w:rPr>
                <w:color w:val="231F20"/>
                <w:sz w:val="20"/>
              </w:rPr>
              <w:t>Income before income taxes</w:t>
            </w:r>
          </w:p>
        </w:tc>
        <w:tc>
          <w:tcPr>
            <w:tcW w:w="1728" w:type="dxa"/>
          </w:tcPr>
          <w:p>
            <w:pPr>
              <w:pStyle w:val="TableParagraph"/>
              <w:ind w:right="131"/>
              <w:jc w:val="right"/>
              <w:rPr>
                <w:sz w:val="20"/>
              </w:rPr>
            </w:pPr>
            <w:r>
              <w:rPr>
                <w:color w:val="231F20"/>
                <w:sz w:val="20"/>
              </w:rPr>
              <w:t>244</w:t>
            </w:r>
          </w:p>
        </w:tc>
        <w:tc>
          <w:tcPr>
            <w:tcW w:w="1280" w:type="dxa"/>
          </w:tcPr>
          <w:p>
            <w:pPr>
              <w:pStyle w:val="TableParagraph"/>
              <w:ind w:right="131"/>
              <w:jc w:val="right"/>
              <w:rPr>
                <w:sz w:val="20"/>
              </w:rPr>
            </w:pPr>
            <w:r>
              <w:rPr>
                <w:color w:val="231F20"/>
                <w:sz w:val="20"/>
              </w:rPr>
              <w:t>746</w:t>
            </w:r>
          </w:p>
        </w:tc>
        <w:tc>
          <w:tcPr>
            <w:tcW w:w="1280" w:type="dxa"/>
          </w:tcPr>
          <w:p>
            <w:pPr>
              <w:pStyle w:val="TableParagraph"/>
              <w:ind w:right="131"/>
              <w:jc w:val="right"/>
              <w:rPr>
                <w:sz w:val="20"/>
              </w:rPr>
            </w:pPr>
            <w:r>
              <w:rPr>
                <w:color w:val="231F20"/>
                <w:sz w:val="20"/>
              </w:rPr>
              <w:t>525</w:t>
            </w:r>
          </w:p>
        </w:tc>
        <w:tc>
          <w:tcPr>
            <w:tcW w:w="1213" w:type="dxa"/>
          </w:tcPr>
          <w:p>
            <w:pPr>
              <w:pStyle w:val="TableParagraph"/>
              <w:ind w:right="249"/>
              <w:jc w:val="right"/>
              <w:rPr>
                <w:sz w:val="20"/>
              </w:rPr>
            </w:pPr>
            <w:r>
              <w:rPr>
                <w:color w:val="231F20"/>
                <w:sz w:val="20"/>
              </w:rPr>
              <w:t>302</w:t>
            </w:r>
          </w:p>
        </w:tc>
      </w:tr>
      <w:tr>
        <w:trPr>
          <w:trHeight w:val="300" w:hRule="exact"/>
        </w:trPr>
        <w:tc>
          <w:tcPr>
            <w:tcW w:w="3619" w:type="dxa"/>
            <w:shd w:val="clear" w:color="auto" w:fill="D1D3D4"/>
          </w:tcPr>
          <w:p>
            <w:pPr>
              <w:pStyle w:val="TableParagraph"/>
              <w:ind w:left="400"/>
              <w:rPr>
                <w:sz w:val="20"/>
              </w:rPr>
            </w:pPr>
            <w:r>
              <w:rPr>
                <w:color w:val="231F20"/>
                <w:sz w:val="20"/>
              </w:rPr>
              <w:t>Net income</w:t>
            </w:r>
          </w:p>
        </w:tc>
        <w:tc>
          <w:tcPr>
            <w:tcW w:w="1728" w:type="dxa"/>
            <w:shd w:val="clear" w:color="auto" w:fill="D1D3D4"/>
          </w:tcPr>
          <w:p>
            <w:pPr>
              <w:pStyle w:val="TableParagraph"/>
              <w:ind w:right="131"/>
              <w:jc w:val="right"/>
              <w:rPr>
                <w:sz w:val="20"/>
              </w:rPr>
            </w:pPr>
            <w:r>
              <w:rPr>
                <w:color w:val="231F20"/>
                <w:sz w:val="20"/>
              </w:rPr>
              <w:t>152</w:t>
            </w:r>
          </w:p>
        </w:tc>
        <w:tc>
          <w:tcPr>
            <w:tcW w:w="1280" w:type="dxa"/>
            <w:shd w:val="clear" w:color="auto" w:fill="D1D3D4"/>
          </w:tcPr>
          <w:p>
            <w:pPr>
              <w:pStyle w:val="TableParagraph"/>
              <w:ind w:right="131"/>
              <w:jc w:val="right"/>
              <w:rPr>
                <w:sz w:val="20"/>
              </w:rPr>
            </w:pPr>
            <w:r>
              <w:rPr>
                <w:color w:val="231F20"/>
                <w:sz w:val="20"/>
              </w:rPr>
              <w:t>465</w:t>
            </w:r>
          </w:p>
        </w:tc>
        <w:tc>
          <w:tcPr>
            <w:tcW w:w="1280" w:type="dxa"/>
            <w:shd w:val="clear" w:color="auto" w:fill="D1D3D4"/>
          </w:tcPr>
          <w:p>
            <w:pPr>
              <w:pStyle w:val="TableParagraph"/>
              <w:ind w:right="131"/>
              <w:jc w:val="right"/>
              <w:rPr>
                <w:sz w:val="20"/>
              </w:rPr>
            </w:pPr>
            <w:r>
              <w:rPr>
                <w:color w:val="231F20"/>
                <w:sz w:val="20"/>
              </w:rPr>
              <w:t>329</w:t>
            </w:r>
          </w:p>
        </w:tc>
        <w:tc>
          <w:tcPr>
            <w:tcW w:w="1213" w:type="dxa"/>
            <w:shd w:val="clear" w:color="auto" w:fill="D1D3D4"/>
          </w:tcPr>
          <w:p>
            <w:pPr>
              <w:pStyle w:val="TableParagraph"/>
              <w:ind w:right="249"/>
              <w:jc w:val="right"/>
              <w:rPr>
                <w:sz w:val="20"/>
              </w:rPr>
            </w:pPr>
            <w:r>
              <w:rPr>
                <w:color w:val="231F20"/>
                <w:sz w:val="20"/>
              </w:rPr>
              <w:t>190</w:t>
            </w:r>
          </w:p>
        </w:tc>
      </w:tr>
      <w:tr>
        <w:trPr>
          <w:trHeight w:val="300" w:hRule="exact"/>
        </w:trPr>
        <w:tc>
          <w:tcPr>
            <w:tcW w:w="3619" w:type="dxa"/>
          </w:tcPr>
          <w:p>
            <w:pPr>
              <w:pStyle w:val="TableParagraph"/>
              <w:ind w:left="400"/>
              <w:rPr>
                <w:sz w:val="20"/>
              </w:rPr>
            </w:pPr>
            <w:r>
              <w:rPr>
                <w:color w:val="231F20"/>
                <w:sz w:val="20"/>
              </w:rPr>
              <w:t>Net income per share, basic (a)</w:t>
            </w:r>
          </w:p>
        </w:tc>
        <w:tc>
          <w:tcPr>
            <w:tcW w:w="1728" w:type="dxa"/>
          </w:tcPr>
          <w:p>
            <w:pPr>
              <w:pStyle w:val="TableParagraph"/>
              <w:ind w:right="131"/>
              <w:jc w:val="right"/>
              <w:rPr>
                <w:sz w:val="20"/>
              </w:rPr>
            </w:pPr>
            <w:r>
              <w:rPr>
                <w:color w:val="231F20"/>
                <w:sz w:val="20"/>
              </w:rPr>
              <w:t>0.22</w:t>
            </w:r>
          </w:p>
        </w:tc>
        <w:tc>
          <w:tcPr>
            <w:tcW w:w="1280" w:type="dxa"/>
          </w:tcPr>
          <w:p>
            <w:pPr>
              <w:pStyle w:val="TableParagraph"/>
              <w:ind w:right="131"/>
              <w:jc w:val="right"/>
              <w:rPr>
                <w:sz w:val="20"/>
              </w:rPr>
            </w:pPr>
            <w:r>
              <w:rPr>
                <w:color w:val="231F20"/>
                <w:sz w:val="20"/>
              </w:rPr>
              <w:t>0.67</w:t>
            </w:r>
          </w:p>
        </w:tc>
        <w:tc>
          <w:tcPr>
            <w:tcW w:w="1280" w:type="dxa"/>
          </w:tcPr>
          <w:p>
            <w:pPr>
              <w:pStyle w:val="TableParagraph"/>
              <w:ind w:right="131"/>
              <w:jc w:val="right"/>
              <w:rPr>
                <w:sz w:val="20"/>
              </w:rPr>
            </w:pPr>
            <w:r>
              <w:rPr>
                <w:color w:val="231F20"/>
                <w:sz w:val="20"/>
              </w:rPr>
              <w:t>0.48</w:t>
            </w:r>
          </w:p>
        </w:tc>
        <w:tc>
          <w:tcPr>
            <w:tcW w:w="1213" w:type="dxa"/>
          </w:tcPr>
          <w:p>
            <w:pPr>
              <w:pStyle w:val="TableParagraph"/>
              <w:ind w:right="249"/>
              <w:jc w:val="right"/>
              <w:rPr>
                <w:sz w:val="20"/>
              </w:rPr>
            </w:pPr>
            <w:r>
              <w:rPr>
                <w:color w:val="231F20"/>
                <w:sz w:val="20"/>
              </w:rPr>
              <w:t>0.28</w:t>
            </w:r>
          </w:p>
        </w:tc>
      </w:tr>
      <w:tr>
        <w:trPr>
          <w:trHeight w:val="300" w:hRule="exact"/>
        </w:trPr>
        <w:tc>
          <w:tcPr>
            <w:tcW w:w="3619" w:type="dxa"/>
            <w:shd w:val="clear" w:color="auto" w:fill="D1D3D4"/>
          </w:tcPr>
          <w:p>
            <w:pPr>
              <w:pStyle w:val="TableParagraph"/>
              <w:ind w:left="400"/>
              <w:rPr>
                <w:sz w:val="20"/>
              </w:rPr>
            </w:pPr>
            <w:r>
              <w:rPr>
                <w:color w:val="231F20"/>
                <w:sz w:val="20"/>
              </w:rPr>
              <w:t>Net income per share, diluted (a)</w:t>
            </w:r>
          </w:p>
        </w:tc>
        <w:tc>
          <w:tcPr>
            <w:tcW w:w="1728" w:type="dxa"/>
            <w:shd w:val="clear" w:color="auto" w:fill="D1D3D4"/>
          </w:tcPr>
          <w:p>
            <w:pPr>
              <w:pStyle w:val="TableParagraph"/>
              <w:ind w:right="131"/>
              <w:jc w:val="right"/>
              <w:rPr>
                <w:sz w:val="20"/>
              </w:rPr>
            </w:pPr>
            <w:r>
              <w:rPr>
                <w:color w:val="231F20"/>
                <w:sz w:val="20"/>
              </w:rPr>
              <w:t>0.22</w:t>
            </w:r>
          </w:p>
        </w:tc>
        <w:tc>
          <w:tcPr>
            <w:tcW w:w="1280" w:type="dxa"/>
            <w:shd w:val="clear" w:color="auto" w:fill="D1D3D4"/>
          </w:tcPr>
          <w:p>
            <w:pPr>
              <w:pStyle w:val="TableParagraph"/>
              <w:ind w:right="131"/>
              <w:jc w:val="right"/>
              <w:rPr>
                <w:sz w:val="20"/>
              </w:rPr>
            </w:pPr>
            <w:r>
              <w:rPr>
                <w:color w:val="231F20"/>
                <w:sz w:val="20"/>
              </w:rPr>
              <w:t>0.67</w:t>
            </w:r>
          </w:p>
        </w:tc>
        <w:tc>
          <w:tcPr>
            <w:tcW w:w="1280" w:type="dxa"/>
            <w:shd w:val="clear" w:color="auto" w:fill="D1D3D4"/>
          </w:tcPr>
          <w:p>
            <w:pPr>
              <w:pStyle w:val="TableParagraph"/>
              <w:ind w:right="131"/>
              <w:jc w:val="right"/>
              <w:rPr>
                <w:sz w:val="20"/>
              </w:rPr>
            </w:pPr>
            <w:r>
              <w:rPr>
                <w:color w:val="231F20"/>
                <w:sz w:val="20"/>
              </w:rPr>
              <w:t>0.48</w:t>
            </w:r>
          </w:p>
        </w:tc>
        <w:tc>
          <w:tcPr>
            <w:tcW w:w="1213" w:type="dxa"/>
            <w:shd w:val="clear" w:color="auto" w:fill="D1D3D4"/>
          </w:tcPr>
          <w:p>
            <w:pPr>
              <w:pStyle w:val="TableParagraph"/>
              <w:ind w:right="249"/>
              <w:jc w:val="right"/>
              <w:rPr>
                <w:sz w:val="20"/>
              </w:rPr>
            </w:pPr>
            <w:r>
              <w:rPr>
                <w:color w:val="231F20"/>
                <w:sz w:val="20"/>
              </w:rPr>
              <w:t>0.28</w:t>
            </w:r>
          </w:p>
        </w:tc>
      </w:tr>
    </w:tbl>
    <w:p>
      <w:pPr>
        <w:pStyle w:val="BodyText"/>
        <w:rPr>
          <w:b/>
          <w:sz w:val="20"/>
        </w:rPr>
      </w:pPr>
    </w:p>
    <w:p>
      <w:pPr>
        <w:pStyle w:val="BodyText"/>
        <w:spacing w:before="8"/>
        <w:rPr>
          <w:b/>
          <w:sz w:val="21"/>
        </w:rPr>
      </w:pPr>
    </w:p>
    <w:p>
      <w:pPr>
        <w:pStyle w:val="ListParagraph"/>
        <w:numPr>
          <w:ilvl w:val="0"/>
          <w:numId w:val="20"/>
        </w:numPr>
        <w:tabs>
          <w:tab w:pos="393" w:val="left" w:leader="none"/>
        </w:tabs>
        <w:spacing w:line="249" w:lineRule="auto" w:before="0" w:after="0"/>
        <w:ind w:left="120" w:right="280" w:firstLine="0"/>
        <w:jc w:val="left"/>
        <w:rPr>
          <w:sz w:val="20"/>
        </w:rPr>
      </w:pPr>
      <w:r>
        <w:rPr>
          <w:color w:val="231F20"/>
          <w:sz w:val="20"/>
        </w:rPr>
        <w:t>Includes a change in estimate, recorded on a prospective basis, effective October 1, 2014, which increased Passenger revenues by approximately $43 million, $41 million, and $30 million, and increased both Basic and Diluted net income per share by approximately $.03, $.03, and $.02 for first, second, and third quarters of 2015, respectively. Also, as a result, fourth quarter 2014 Passenger revenues increased by approximately</w:t>
      </w:r>
      <w:r>
        <w:rPr>
          <w:color w:val="231F20"/>
          <w:spacing w:val="10"/>
          <w:sz w:val="20"/>
        </w:rPr>
        <w:t> </w:t>
      </w:r>
      <w:r>
        <w:rPr>
          <w:color w:val="231F20"/>
          <w:sz w:val="20"/>
        </w:rPr>
        <w:t>$55</w:t>
      </w:r>
    </w:p>
    <w:p>
      <w:pPr>
        <w:spacing w:line="249" w:lineRule="auto" w:before="0"/>
        <w:ind w:left="120" w:right="256" w:firstLine="0"/>
        <w:jc w:val="left"/>
        <w:rPr>
          <w:sz w:val="20"/>
        </w:rPr>
      </w:pPr>
      <w:r>
        <w:rPr>
          <w:color w:val="231F20"/>
          <w:sz w:val="20"/>
        </w:rPr>
        <w:t>million and both Basic and Diluted net income per share for the period increased by $.04. See Note 1 for further detail.</w:t>
      </w:r>
    </w:p>
    <w:p>
      <w:pPr>
        <w:pStyle w:val="BodyText"/>
        <w:spacing w:before="6"/>
        <w:rPr>
          <w:sz w:val="18"/>
        </w:rPr>
      </w:pPr>
    </w:p>
    <w:p>
      <w:pPr>
        <w:pStyle w:val="ListParagraph"/>
        <w:numPr>
          <w:ilvl w:val="0"/>
          <w:numId w:val="20"/>
        </w:numPr>
        <w:tabs>
          <w:tab w:pos="404" w:val="left" w:leader="none"/>
        </w:tabs>
        <w:spacing w:line="249" w:lineRule="auto" w:before="0" w:after="0"/>
        <w:ind w:left="120" w:right="243" w:firstLine="0"/>
        <w:jc w:val="left"/>
        <w:rPr>
          <w:sz w:val="20"/>
        </w:rPr>
      </w:pPr>
      <w:r>
        <w:rPr>
          <w:color w:val="231F20"/>
          <w:sz w:val="20"/>
        </w:rPr>
        <w:t>Includes the impact of the July 2015 amended Agreement with Chase and the resulting change in accounting methodology. The impact of this change during third quarter and fourth quarter 2015 resulted in increases to Operating revenue of approximately $303 million and $124 million, and increased both Basic and Diluted net income per share by approximately $.24 and $.10, respectively. See Note 1 for further</w:t>
      </w:r>
      <w:r>
        <w:rPr>
          <w:color w:val="231F20"/>
          <w:spacing w:val="7"/>
          <w:sz w:val="20"/>
        </w:rPr>
        <w:t> </w:t>
      </w:r>
      <w:r>
        <w:rPr>
          <w:color w:val="231F20"/>
          <w:sz w:val="20"/>
        </w:rPr>
        <w:t>detail.</w:t>
      </w:r>
    </w:p>
    <w:p>
      <w:pPr>
        <w:pStyle w:val="BodyText"/>
        <w:spacing w:before="7"/>
        <w:rPr>
          <w:sz w:val="18"/>
        </w:rPr>
      </w:pPr>
    </w:p>
    <w:p>
      <w:pPr>
        <w:pStyle w:val="Heading2"/>
        <w:tabs>
          <w:tab w:pos="1377" w:val="left" w:leader="none"/>
        </w:tabs>
        <w:spacing w:line="247" w:lineRule="auto" w:before="1"/>
        <w:ind w:left="1378" w:right="724" w:hanging="1258"/>
      </w:pPr>
      <w:bookmarkStart w:name="Item 9. Changes in and Disagreements Wit" w:id="23"/>
      <w:bookmarkEnd w:id="23"/>
      <w:r>
        <w:rPr>
          <w:b w:val="0"/>
          <w:i w:val="0"/>
        </w:rPr>
      </w: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105"/>
        <w:ind w:left="839"/>
      </w:pPr>
      <w:r>
        <w:rPr>
          <w:color w:val="231F20"/>
        </w:rPr>
        <w:t>None.</w:t>
      </w:r>
    </w:p>
    <w:p>
      <w:pPr>
        <w:pStyle w:val="BodyText"/>
        <w:spacing w:before="3"/>
        <w:rPr>
          <w:sz w:val="28"/>
        </w:rPr>
      </w:pPr>
    </w:p>
    <w:p>
      <w:pPr>
        <w:spacing w:before="0"/>
        <w:ind w:left="120" w:right="0" w:firstLine="0"/>
        <w:jc w:val="both"/>
        <w:rPr>
          <w:b/>
          <w:i/>
          <w:sz w:val="22"/>
        </w:rPr>
      </w:pPr>
      <w:bookmarkStart w:name="Item 9A. Controls and Procedures " w:id="24"/>
      <w:bookmarkEnd w:id="24"/>
      <w:r>
        <w:rPr/>
      </w:r>
      <w:r>
        <w:rPr>
          <w:b/>
          <w:color w:val="231F20"/>
          <w:sz w:val="22"/>
        </w:rPr>
        <w:t>Item 9A.        </w:t>
      </w:r>
      <w:r>
        <w:rPr>
          <w:b/>
          <w:i/>
          <w:color w:val="231F20"/>
          <w:sz w:val="22"/>
        </w:rPr>
        <w:t>Controls and Procedures</w:t>
      </w:r>
    </w:p>
    <w:p>
      <w:pPr>
        <w:pStyle w:val="BodyText"/>
        <w:spacing w:before="1"/>
        <w:rPr>
          <w:b/>
          <w:i/>
          <w:sz w:val="19"/>
        </w:rPr>
      </w:pPr>
    </w:p>
    <w:p>
      <w:pPr>
        <w:pStyle w:val="BodyText"/>
        <w:spacing w:line="247" w:lineRule="auto"/>
        <w:ind w:left="119" w:right="118"/>
        <w:jc w:val="both"/>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2015. Based on this evaluation, the Company’s Chief Executive Officer and Chief Financial Officer have concluded that the Company’s disclosure controls and procedures were effective as of December 31, 2015, at the reasonable assurance</w:t>
      </w:r>
      <w:r>
        <w:rPr>
          <w:color w:val="231F20"/>
          <w:spacing w:val="2"/>
        </w:rPr>
        <w:t> </w:t>
      </w:r>
      <w:r>
        <w:rPr>
          <w:color w:val="231F20"/>
        </w:rPr>
        <w:t>level.</w:t>
      </w:r>
    </w:p>
    <w:p>
      <w:pPr>
        <w:pStyle w:val="BodyText"/>
        <w:spacing w:before="9"/>
        <w:rPr>
          <w:sz w:val="20"/>
        </w:rPr>
      </w:pPr>
    </w:p>
    <w:p>
      <w:pPr>
        <w:pStyle w:val="BodyText"/>
        <w:spacing w:line="247" w:lineRule="auto"/>
        <w:ind w:left="100" w:right="117"/>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before="9"/>
        <w:rPr>
          <w:sz w:val="20"/>
        </w:rPr>
      </w:pPr>
    </w:p>
    <w:p>
      <w:pPr>
        <w:pStyle w:val="BodyText"/>
        <w:spacing w:line="247" w:lineRule="auto"/>
        <w:ind w:left="100" w:right="118"/>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9"/>
        <w:rPr>
          <w:sz w:val="20"/>
        </w:rPr>
      </w:pPr>
    </w:p>
    <w:p>
      <w:pPr>
        <w:pStyle w:val="BodyText"/>
        <w:spacing w:line="247" w:lineRule="auto"/>
        <w:ind w:left="100" w:right="117"/>
        <w:jc w:val="both"/>
      </w:pPr>
      <w:r>
        <w:rPr>
          <w:color w:val="231F20"/>
        </w:rPr>
        <w:t>Management, with the participation of the Company’s Chief Executive Officer and Chief Financial Officer, evaluated the effectiveness of the Company’s internal control over financial reporting as of December 31, 2015. In making this assessment, management used the criteria set forth by the Committee of Sponsoring Organizations of the Treadway Commission (COSO) in Internal Control - Integrated Framework (2013 Framework). Based on this evaluation, management, with the participation of the Company’s Chief Executive Officer and Chief Financial Officer, concluded that, as of December 31, 2015, the Company’s internal control over financial reporting was</w:t>
      </w:r>
      <w:r>
        <w:rPr>
          <w:color w:val="231F20"/>
          <w:spacing w:val="-3"/>
        </w:rPr>
        <w:t> </w:t>
      </w:r>
      <w:r>
        <w:rPr>
          <w:color w:val="231F20"/>
        </w:rPr>
        <w:t>effective.</w:t>
      </w:r>
    </w:p>
    <w:p>
      <w:pPr>
        <w:pStyle w:val="BodyText"/>
        <w:spacing w:before="9"/>
        <w:rPr>
          <w:sz w:val="20"/>
        </w:rPr>
      </w:pPr>
    </w:p>
    <w:p>
      <w:pPr>
        <w:pStyle w:val="BodyText"/>
        <w:spacing w:line="247" w:lineRule="auto"/>
        <w:ind w:left="100" w:right="118"/>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9"/>
        <w:rPr>
          <w:sz w:val="20"/>
        </w:rPr>
      </w:pPr>
    </w:p>
    <w:p>
      <w:pPr>
        <w:pStyle w:val="BodyText"/>
        <w:spacing w:line="247" w:lineRule="auto"/>
        <w:ind w:left="100" w:right="117"/>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2015, that have materially affected, or are reasonably likely to materially affect, the Company’s internal control over financial reporting.</w:t>
      </w:r>
    </w:p>
    <w:p>
      <w:pPr>
        <w:pStyle w:val="BodyText"/>
        <w:spacing w:before="3"/>
        <w:rPr>
          <w:sz w:val="31"/>
        </w:rPr>
      </w:pPr>
    </w:p>
    <w:p>
      <w:pPr>
        <w:spacing w:before="0"/>
        <w:ind w:left="100" w:right="0" w:firstLine="0"/>
        <w:jc w:val="both"/>
        <w:rPr>
          <w:b/>
          <w:i/>
          <w:sz w:val="22"/>
        </w:rPr>
      </w:pPr>
      <w:bookmarkStart w:name="Item 9B. Other Information " w:id="25"/>
      <w:bookmarkEnd w:id="25"/>
      <w:r>
        <w:rPr/>
      </w:r>
      <w:r>
        <w:rPr>
          <w:b/>
          <w:color w:val="231F20"/>
          <w:sz w:val="22"/>
        </w:rPr>
        <w:t>Item 9B.          </w:t>
      </w:r>
      <w:r>
        <w:rPr>
          <w:b/>
          <w:i/>
          <w:color w:val="231F20"/>
          <w:sz w:val="22"/>
        </w:rPr>
        <w:t>Other Information</w:t>
      </w:r>
    </w:p>
    <w:p>
      <w:pPr>
        <w:pStyle w:val="BodyText"/>
        <w:spacing w:before="127"/>
        <w:ind w:left="819"/>
      </w:pPr>
      <w:r>
        <w:rPr>
          <w:color w:val="231F20"/>
        </w:rPr>
        <w:t>None.</w:t>
      </w:r>
    </w:p>
    <w:p>
      <w:pPr>
        <w:spacing w:after="0"/>
        <w:sectPr>
          <w:pgSz w:w="11880" w:h="15480"/>
          <w:pgMar w:header="0" w:footer="1240" w:top="1240" w:bottom="1420" w:left="1280" w:right="1260"/>
        </w:sectPr>
      </w:pPr>
    </w:p>
    <w:p>
      <w:pPr>
        <w:pStyle w:val="Heading1"/>
        <w:spacing w:before="74"/>
        <w:ind w:left="160" w:right="179"/>
        <w:jc w:val="center"/>
      </w:pPr>
      <w:bookmarkStart w:name="PART III " w:id="26"/>
      <w:bookmarkEnd w:id="26"/>
      <w:r>
        <w:rPr>
          <w:b w:val="0"/>
        </w:rPr>
      </w:r>
      <w:r>
        <w:rPr>
          <w:color w:val="231F20"/>
        </w:rPr>
        <w:t>PART III</w:t>
      </w:r>
    </w:p>
    <w:p>
      <w:pPr>
        <w:pStyle w:val="BodyText"/>
        <w:spacing w:before="10"/>
        <w:rPr>
          <w:b/>
          <w:sz w:val="18"/>
        </w:rPr>
      </w:pPr>
    </w:p>
    <w:p>
      <w:pPr>
        <w:pStyle w:val="Heading2"/>
        <w:tabs>
          <w:tab w:pos="1529" w:val="left" w:leader="none"/>
        </w:tabs>
        <w:ind w:left="100"/>
        <w:jc w:val="both"/>
        <w:rPr>
          <w:i/>
        </w:rPr>
      </w:pPr>
      <w:bookmarkStart w:name="Item 10. Directors, Executive Officers, " w:id="27"/>
      <w:bookmarkEnd w:id="27"/>
      <w:r>
        <w:rPr>
          <w:b w:val="0"/>
          <w:i w:val="0"/>
        </w:rPr>
      </w: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1"/>
        <w:rPr>
          <w:b/>
          <w:i/>
          <w:sz w:val="28"/>
        </w:rPr>
      </w:pPr>
    </w:p>
    <w:p>
      <w:pPr>
        <w:spacing w:before="0"/>
        <w:ind w:left="100" w:right="0" w:firstLine="0"/>
        <w:jc w:val="both"/>
        <w:rPr>
          <w:b/>
          <w:sz w:val="22"/>
        </w:rPr>
      </w:pPr>
      <w:r>
        <w:rPr>
          <w:b/>
          <w:color w:val="231F20"/>
          <w:sz w:val="22"/>
        </w:rPr>
        <w:t>Directors and Executive Officers</w:t>
      </w:r>
    </w:p>
    <w:p>
      <w:pPr>
        <w:pStyle w:val="BodyText"/>
        <w:spacing w:before="10"/>
        <w:rPr>
          <w:b/>
          <w:sz w:val="18"/>
        </w:rPr>
      </w:pPr>
    </w:p>
    <w:p>
      <w:pPr>
        <w:pStyle w:val="BodyText"/>
        <w:spacing w:line="247" w:lineRule="auto"/>
        <w:ind w:left="100" w:right="118"/>
        <w:jc w:val="both"/>
      </w:pPr>
      <w:r>
        <w:rPr>
          <w:color w:val="231F20"/>
        </w:rPr>
        <w:t>The information required by this Item 10 regarding the Company’s directors will be set forth under the heading “Proposal 1 — Election of Directors” in the Proxy Statement for the Company’s 2016 Annual Meeting of Shareholders and is incorporated herein by reference. The information required by this  Item 10 regarding the Company’s executive officers is set forth under the heading “Executive Officers of the Registrant” in Part I of this Form 10-K and is incorporated herein by</w:t>
      </w:r>
      <w:r>
        <w:rPr>
          <w:color w:val="231F20"/>
          <w:spacing w:val="-7"/>
        </w:rPr>
        <w:t> </w:t>
      </w:r>
      <w:r>
        <w:rPr>
          <w:color w:val="231F20"/>
        </w:rPr>
        <w:t>reference.</w:t>
      </w:r>
    </w:p>
    <w:p>
      <w:pPr>
        <w:pStyle w:val="BodyText"/>
        <w:spacing w:before="5"/>
        <w:rPr>
          <w:sz w:val="27"/>
        </w:rPr>
      </w:pPr>
    </w:p>
    <w:p>
      <w:pPr>
        <w:pStyle w:val="Heading1"/>
        <w:spacing w:before="1"/>
      </w:pPr>
      <w:r>
        <w:rPr>
          <w:color w:val="231F20"/>
        </w:rPr>
        <w:t>Section 16(a) Compliance</w:t>
      </w:r>
    </w:p>
    <w:p>
      <w:pPr>
        <w:pStyle w:val="BodyText"/>
        <w:spacing w:before="11"/>
        <w:rPr>
          <w:b/>
          <w:sz w:val="18"/>
        </w:rPr>
      </w:pPr>
    </w:p>
    <w:p>
      <w:pPr>
        <w:pStyle w:val="BodyText"/>
        <w:spacing w:line="247" w:lineRule="auto"/>
        <w:ind w:left="100" w:right="118"/>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2016 Annual Meeting of Shareholders and is incorporated herein by reference.</w:t>
      </w:r>
    </w:p>
    <w:p>
      <w:pPr>
        <w:pStyle w:val="BodyText"/>
        <w:spacing w:before="6"/>
        <w:rPr>
          <w:sz w:val="27"/>
        </w:rPr>
      </w:pPr>
    </w:p>
    <w:p>
      <w:pPr>
        <w:pStyle w:val="Heading1"/>
      </w:pPr>
      <w:r>
        <w:rPr>
          <w:color w:val="231F20"/>
        </w:rPr>
        <w:t>Corporate Governance</w:t>
      </w:r>
    </w:p>
    <w:p>
      <w:pPr>
        <w:pStyle w:val="BodyText"/>
        <w:spacing w:before="11"/>
        <w:rPr>
          <w:b/>
          <w:sz w:val="18"/>
        </w:rPr>
      </w:pPr>
    </w:p>
    <w:p>
      <w:pPr>
        <w:pStyle w:val="BodyText"/>
        <w:spacing w:line="247" w:lineRule="auto"/>
        <w:ind w:left="100" w:right="117"/>
        <w:jc w:val="both"/>
      </w:pPr>
      <w:r>
        <w:rPr>
          <w:color w:val="231F20"/>
        </w:rPr>
        <w:t>Except as set forth in the following paragraph, the remaining information required by this Item 10 will be set forth under the heading “Corporate Governance” in the Proxy Statement for the Company’s  2016 Annual Meeting of Shareholders and is incorporated herein by</w:t>
      </w:r>
      <w:r>
        <w:rPr>
          <w:color w:val="231F20"/>
          <w:spacing w:val="-1"/>
        </w:rPr>
        <w:t> </w:t>
      </w:r>
      <w:r>
        <w:rPr>
          <w:color w:val="231F20"/>
        </w:rPr>
        <w:t>reference.</w:t>
      </w:r>
    </w:p>
    <w:p>
      <w:pPr>
        <w:pStyle w:val="BodyText"/>
        <w:spacing w:line="247" w:lineRule="auto" w:before="210"/>
        <w:ind w:left="100" w:right="117"/>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1584" w:val="left" w:leader="none"/>
        </w:tabs>
        <w:spacing w:before="210"/>
        <w:ind w:left="100" w:right="0" w:firstLine="0"/>
        <w:jc w:val="both"/>
        <w:rPr>
          <w:b/>
          <w:i/>
          <w:sz w:val="22"/>
        </w:rPr>
      </w:pPr>
      <w:bookmarkStart w:name="Item 11. Executive Compensation " w:id="28"/>
      <w:bookmarkEnd w:id="28"/>
      <w:r>
        <w:rPr/>
      </w:r>
      <w:r>
        <w:rPr>
          <w:b/>
          <w:color w:val="231F20"/>
          <w:sz w:val="22"/>
        </w:rPr>
        <w:t>Item 11.</w:t>
        <w:tab/>
      </w:r>
      <w:r>
        <w:rPr>
          <w:b/>
          <w:i/>
          <w:color w:val="231F20"/>
          <w:sz w:val="22"/>
        </w:rPr>
        <w:t>Executive Compensation</w:t>
      </w:r>
    </w:p>
    <w:p>
      <w:pPr>
        <w:pStyle w:val="BodyText"/>
        <w:spacing w:before="11"/>
        <w:rPr>
          <w:b/>
          <w:i/>
          <w:sz w:val="18"/>
        </w:rPr>
      </w:pPr>
    </w:p>
    <w:p>
      <w:pPr>
        <w:pStyle w:val="BodyText"/>
        <w:spacing w:line="247" w:lineRule="auto"/>
        <w:ind w:left="100" w:right="117"/>
        <w:jc w:val="both"/>
      </w:pPr>
      <w:r>
        <w:rPr>
          <w:color w:val="231F20"/>
        </w:rPr>
        <w:t>The information required by this Item 11 will be set forth under the headings “Compensation of Executive Officers” and “Compensation of Directors” in the Proxy Statement for the Company’s 2016 Annual Meeting of Shareholders and is incorporated herein by reference.</w:t>
      </w:r>
    </w:p>
    <w:p>
      <w:pPr>
        <w:pStyle w:val="Heading2"/>
        <w:tabs>
          <w:tab w:pos="1529" w:val="left" w:leader="none"/>
        </w:tabs>
        <w:spacing w:line="247" w:lineRule="auto" w:before="210"/>
        <w:ind w:left="100" w:right="514"/>
      </w:pPr>
      <w:bookmarkStart w:name="Item 12. Security Ownership of Certain B" w:id="29"/>
      <w:bookmarkEnd w:id="29"/>
      <w:r>
        <w:rPr>
          <w:b w:val="0"/>
          <w:i w:val="0"/>
        </w:rPr>
      </w:r>
      <w:r>
        <w:rPr>
          <w:i w:val="0"/>
          <w:color w:val="231F20"/>
        </w:rPr>
        <w:t>Item 12.</w:t>
        <w:tab/>
      </w:r>
      <w:r>
        <w:rPr>
          <w:i/>
          <w:color w:val="231F20"/>
        </w:rPr>
        <w:t>Security Ownership of Certain Beneficial Owners and Management</w:t>
      </w:r>
      <w:r>
        <w:rPr>
          <w:i/>
          <w:color w:val="231F20"/>
          <w:spacing w:val="-1"/>
        </w:rPr>
        <w:t> </w:t>
      </w:r>
      <w:r>
        <w:rPr>
          <w:i/>
          <w:color w:val="231F20"/>
        </w:rPr>
        <w:t>and</w:t>
      </w:r>
      <w:r>
        <w:rPr>
          <w:i/>
          <w:color w:val="231F20"/>
          <w:spacing w:val="-1"/>
        </w:rPr>
        <w:t> </w:t>
      </w:r>
      <w:r>
        <w:rPr>
          <w:i/>
          <w:color w:val="231F20"/>
        </w:rPr>
        <w:t>Related</w:t>
      </w:r>
      <w:r>
        <w:rPr>
          <w:color w:val="231F20"/>
          <w:w w:val="100"/>
        </w:rPr>
        <w:t> </w:t>
      </w:r>
      <w:r>
        <w:rPr>
          <w:color w:val="231F20"/>
        </w:rPr>
        <w:t>Stockholder Matters</w:t>
      </w:r>
    </w:p>
    <w:p>
      <w:pPr>
        <w:pStyle w:val="BodyText"/>
        <w:spacing w:line="247" w:lineRule="auto" w:before="210"/>
        <w:ind w:left="100" w:right="117"/>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2016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spacing w:before="88"/>
        <w:ind w:left="120"/>
      </w:pPr>
      <w:r>
        <w:rPr>
          <w:color w:val="231F20"/>
        </w:rPr>
        <w:t>Securities Authorized for Issuance under Equity Compensation Plans</w:t>
      </w:r>
    </w:p>
    <w:p>
      <w:pPr>
        <w:pStyle w:val="BodyText"/>
        <w:spacing w:before="185"/>
        <w:ind w:left="120" w:right="118"/>
        <w:jc w:val="both"/>
      </w:pPr>
      <w:r>
        <w:rPr>
          <w:color w:val="231F20"/>
        </w:rPr>
        <w:t>The following table provides information as of December 31, 2015, regarding compensation plans (including individual compensation arrangements) under which equity securities of the Company are authorized for issuance.</w:t>
      </w:r>
    </w:p>
    <w:p>
      <w:pPr>
        <w:pStyle w:val="Heading1"/>
        <w:spacing w:before="185"/>
        <w:ind w:left="2814"/>
        <w:jc w:val="left"/>
      </w:pPr>
      <w:r>
        <w:rPr>
          <w:color w:val="231F20"/>
        </w:rPr>
        <w:t>Equity Compensation Plan Information</w:t>
      </w:r>
    </w:p>
    <w:p>
      <w:pPr>
        <w:pStyle w:val="BodyText"/>
        <w:spacing w:before="9"/>
        <w:rPr>
          <w:b/>
          <w:sz w:val="23"/>
        </w:rPr>
      </w:pPr>
    </w:p>
    <w:p>
      <w:pPr>
        <w:spacing w:after="0"/>
        <w:rPr>
          <w:sz w:val="23"/>
        </w:rPr>
        <w:sectPr>
          <w:footerReference w:type="default" r:id="rId25"/>
          <w:pgSz w:w="11880" w:h="15480"/>
          <w:pgMar w:footer="1693" w:header="0" w:top="1220" w:bottom="1880" w:left="126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5"/>
        <w:rPr>
          <w:b/>
        </w:rPr>
      </w:pPr>
    </w:p>
    <w:p>
      <w:pPr>
        <w:spacing w:before="0"/>
        <w:ind w:left="200" w:right="0" w:firstLine="0"/>
        <w:jc w:val="left"/>
        <w:rPr>
          <w:b/>
          <w:sz w:val="16"/>
        </w:rPr>
      </w:pPr>
      <w:r>
        <w:rPr/>
        <w:pict>
          <v:group style="position:absolute;margin-left:68.5pt;margin-top:10.468762pt;width:456.5pt;height:26.2pt;mso-position-horizontal-relative:page;mso-position-vertical-relative:paragraph;z-index:-386872" coordorigin="1370,209" coordsize="9130,524">
            <v:rect style="position:absolute;left:1380;top:229;width:9120;height:504" filled="true" fillcolor="#d1d3d4" stroked="false">
              <v:fill type="solid"/>
            </v:rect>
            <v:line style="position:absolute" from="1380,219" to="4122,219" stroked="true" strokeweight="1pt" strokecolor="#231f20">
              <v:stroke dashstyle="solid"/>
            </v:line>
            <v:line style="position:absolute" from="4322,219" to="5929,219" stroked="true" strokeweight="1pt" strokecolor="#231f20">
              <v:stroke dashstyle="solid"/>
            </v:line>
            <v:line style="position:absolute" from="6209,219" to="7842,219" stroked="true" strokeweight="1pt" strokecolor="#231f20">
              <v:stroke dashstyle="solid"/>
            </v:line>
            <v:line style="position:absolute" from="8042,219" to="10200,219" stroked="true" strokeweight="1pt" strokecolor="#231f20">
              <v:stroke dashstyle="solid"/>
            </v:line>
            <w10:wrap type="none"/>
          </v:group>
        </w:pict>
      </w:r>
      <w:r>
        <w:rPr>
          <w:b/>
          <w:color w:val="231F20"/>
          <w:sz w:val="16"/>
        </w:rPr>
        <w:t>Plan Category</w:t>
      </w:r>
    </w:p>
    <w:p>
      <w:pPr>
        <w:spacing w:line="229" w:lineRule="exact" w:before="80"/>
        <w:ind w:left="220" w:right="0" w:firstLine="0"/>
        <w:jc w:val="left"/>
        <w:rPr>
          <w:sz w:val="20"/>
        </w:rPr>
      </w:pPr>
      <w:r>
        <w:rPr>
          <w:color w:val="231F20"/>
          <w:sz w:val="20"/>
        </w:rPr>
        <w:t>Equity Compensation Plans</w:t>
      </w:r>
    </w:p>
    <w:p>
      <w:pPr>
        <w:spacing w:line="261" w:lineRule="auto" w:before="100"/>
        <w:ind w:left="200" w:right="0" w:firstLine="0"/>
        <w:jc w:val="center"/>
        <w:rPr>
          <w:b/>
          <w:sz w:val="16"/>
        </w:rPr>
      </w:pPr>
      <w:r>
        <w:rPr/>
        <w:br w:type="column"/>
      </w: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261" w:lineRule="auto" w:before="0"/>
        <w:ind w:left="420" w:right="221" w:firstLine="0"/>
        <w:jc w:val="center"/>
        <w:rPr>
          <w:b/>
          <w:sz w:val="16"/>
        </w:rPr>
      </w:pPr>
      <w:r>
        <w:rPr>
          <w:b/>
          <w:color w:val="231F20"/>
          <w:sz w:val="16"/>
        </w:rPr>
        <w:t>Warrants, and Rights</w:t>
      </w:r>
    </w:p>
    <w:p>
      <w:pPr>
        <w:spacing w:before="0"/>
        <w:ind w:left="418" w:right="221" w:firstLine="0"/>
        <w:jc w:val="center"/>
        <w:rPr>
          <w:b/>
          <w:sz w:val="16"/>
        </w:rPr>
      </w:pPr>
      <w:r>
        <w:rPr>
          <w:b/>
          <w:color w:val="231F20"/>
          <w:sz w:val="16"/>
        </w:rPr>
        <w:t>(a)</w:t>
      </w:r>
    </w:p>
    <w:p>
      <w:pPr>
        <w:pStyle w:val="BodyText"/>
        <w:rPr>
          <w:b/>
          <w:sz w:val="18"/>
        </w:rPr>
      </w:pPr>
      <w:r>
        <w:rPr/>
        <w:br w:type="column"/>
      </w:r>
      <w:r>
        <w:rPr>
          <w:b/>
          <w:sz w:val="18"/>
        </w:rPr>
      </w:r>
    </w:p>
    <w:p>
      <w:pPr>
        <w:pStyle w:val="BodyText"/>
        <w:spacing w:before="5"/>
        <w:rPr>
          <w:b/>
          <w:sz w:val="25"/>
        </w:rPr>
      </w:pPr>
    </w:p>
    <w:p>
      <w:pPr>
        <w:spacing w:line="261" w:lineRule="auto" w:before="0"/>
        <w:ind w:left="20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before="0"/>
        <w:ind w:left="819" w:right="620" w:firstLine="0"/>
        <w:jc w:val="center"/>
        <w:rPr>
          <w:b/>
          <w:sz w:val="16"/>
        </w:rPr>
      </w:pPr>
      <w:r>
        <w:rPr>
          <w:b/>
          <w:color w:val="231F20"/>
          <w:sz w:val="16"/>
        </w:rPr>
        <w:t>(b)</w:t>
      </w:r>
    </w:p>
    <w:p>
      <w:pPr>
        <w:spacing w:line="261" w:lineRule="auto" w:before="100"/>
        <w:ind w:left="199" w:right="737" w:firstLine="0"/>
        <w:jc w:val="center"/>
        <w:rPr>
          <w:b/>
          <w:sz w:val="16"/>
        </w:rPr>
      </w:pPr>
      <w:r>
        <w:rPr/>
        <w:br w:type="column"/>
      </w:r>
      <w:r>
        <w:rPr>
          <w:b/>
          <w:color w:val="231F20"/>
          <w:sz w:val="16"/>
        </w:rPr>
        <w:t>Number of Securities Remaining Available for Future Issuance Under Equity Compensation Plans (Excluding Securities Reflected</w:t>
      </w:r>
    </w:p>
    <w:p>
      <w:pPr>
        <w:spacing w:line="261" w:lineRule="auto" w:before="0"/>
        <w:ind w:left="536" w:right="1075" w:firstLine="0"/>
        <w:jc w:val="center"/>
        <w:rPr>
          <w:b/>
          <w:sz w:val="16"/>
        </w:rPr>
      </w:pPr>
      <w:r>
        <w:rPr>
          <w:b/>
          <w:color w:val="231F20"/>
          <w:sz w:val="16"/>
        </w:rPr>
        <w:t>in Column (a)) (c)</w:t>
      </w:r>
    </w:p>
    <w:p>
      <w:pPr>
        <w:spacing w:after="0" w:line="261" w:lineRule="auto"/>
        <w:jc w:val="center"/>
        <w:rPr>
          <w:sz w:val="16"/>
        </w:rPr>
        <w:sectPr>
          <w:type w:val="continuous"/>
          <w:pgSz w:w="11880" w:h="15480"/>
          <w:pgMar w:top="1260" w:bottom="280" w:left="1260" w:right="1260"/>
          <w:cols w:num="4" w:equalWidth="0">
            <w:col w:w="2445" w:space="497"/>
            <w:col w:w="1649" w:space="238"/>
            <w:col w:w="1675" w:space="238"/>
            <w:col w:w="2618"/>
          </w:cols>
        </w:sectPr>
      </w:pPr>
    </w:p>
    <w:p>
      <w:pPr>
        <w:tabs>
          <w:tab w:pos="3768" w:val="left" w:leader="none"/>
          <w:tab w:pos="6031" w:val="left" w:leader="none"/>
          <w:tab w:pos="7799" w:val="left" w:leader="none"/>
        </w:tabs>
        <w:spacing w:line="222" w:lineRule="exact" w:before="0"/>
        <w:ind w:left="120" w:right="0" w:firstLine="0"/>
        <w:jc w:val="both"/>
        <w:rPr>
          <w:sz w:val="20"/>
        </w:rPr>
      </w:pPr>
      <w:r>
        <w:rPr>
          <w:color w:val="231F20"/>
          <w:sz w:val="20"/>
        </w:rPr>
        <w:t>Approved by Security</w:t>
      </w:r>
      <w:r>
        <w:rPr>
          <w:color w:val="231F20"/>
          <w:spacing w:val="1"/>
          <w:sz w:val="20"/>
        </w:rPr>
        <w:t> </w:t>
      </w:r>
      <w:r>
        <w:rPr>
          <w:color w:val="231F20"/>
          <w:sz w:val="20"/>
        </w:rPr>
        <w:t>Holders</w:t>
        <w:tab/>
        <w:t>2,294,804  (1)</w:t>
      </w:r>
      <w:r>
        <w:rPr>
          <w:color w:val="231F20"/>
          <w:spacing w:val="-4"/>
          <w:sz w:val="20"/>
        </w:rPr>
        <w:t> </w:t>
      </w:r>
      <w:r>
        <w:rPr>
          <w:color w:val="231F20"/>
          <w:sz w:val="20"/>
        </w:rPr>
        <w:t>$</w:t>
        <w:tab/>
        <w:t>13.44  (2)</w:t>
        <w:tab/>
        <w:t>32,761,701     </w:t>
      </w:r>
      <w:r>
        <w:rPr>
          <w:color w:val="231F20"/>
          <w:spacing w:val="6"/>
          <w:sz w:val="20"/>
        </w:rPr>
        <w:t> </w:t>
      </w:r>
      <w:r>
        <w:rPr>
          <w:color w:val="231F20"/>
          <w:sz w:val="20"/>
        </w:rPr>
        <w:t>(3)</w:t>
      </w:r>
    </w:p>
    <w:p>
      <w:pPr>
        <w:spacing w:before="52"/>
        <w:ind w:left="220" w:right="0" w:firstLine="0"/>
        <w:jc w:val="left"/>
        <w:rPr>
          <w:sz w:val="20"/>
        </w:rPr>
      </w:pPr>
      <w:r>
        <w:rPr>
          <w:color w:val="231F20"/>
          <w:sz w:val="20"/>
        </w:rPr>
        <w:t>Equity Compensation Plans not</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50"/>
        <w:gridCol w:w="1589"/>
        <w:gridCol w:w="1773"/>
        <w:gridCol w:w="776"/>
        <w:gridCol w:w="1932"/>
      </w:tblGrid>
      <w:tr>
        <w:trPr>
          <w:trHeight w:val="240" w:hRule="exact"/>
        </w:trPr>
        <w:tc>
          <w:tcPr>
            <w:tcW w:w="3050" w:type="dxa"/>
          </w:tcPr>
          <w:p>
            <w:pPr>
              <w:pStyle w:val="TableParagraph"/>
              <w:spacing w:line="223" w:lineRule="exact" w:before="0"/>
              <w:rPr>
                <w:sz w:val="20"/>
              </w:rPr>
            </w:pPr>
            <w:r>
              <w:rPr>
                <w:color w:val="231F20"/>
                <w:sz w:val="20"/>
              </w:rPr>
              <w:t>Approved by Security Holders</w:t>
            </w:r>
          </w:p>
        </w:tc>
        <w:tc>
          <w:tcPr>
            <w:tcW w:w="1589" w:type="dxa"/>
          </w:tcPr>
          <w:p>
            <w:pPr>
              <w:pStyle w:val="TableParagraph"/>
              <w:spacing w:line="223" w:lineRule="exact" w:before="0"/>
              <w:ind w:right="189"/>
              <w:jc w:val="right"/>
              <w:rPr>
                <w:sz w:val="20"/>
              </w:rPr>
            </w:pPr>
            <w:r>
              <w:rPr>
                <w:color w:val="231F20"/>
                <w:sz w:val="20"/>
              </w:rPr>
              <w:t>12,548</w:t>
            </w:r>
          </w:p>
        </w:tc>
        <w:tc>
          <w:tcPr>
            <w:tcW w:w="1773" w:type="dxa"/>
          </w:tcPr>
          <w:p>
            <w:pPr>
              <w:pStyle w:val="TableParagraph"/>
              <w:tabs>
                <w:tab w:pos="1082" w:val="left" w:leader="none"/>
              </w:tabs>
              <w:spacing w:line="223" w:lineRule="exact" w:before="0"/>
              <w:ind w:right="49"/>
              <w:jc w:val="right"/>
              <w:rPr>
                <w:sz w:val="20"/>
              </w:rPr>
            </w:pPr>
            <w:r>
              <w:rPr>
                <w:color w:val="231F20"/>
                <w:sz w:val="20"/>
              </w:rPr>
              <w:t>$</w:t>
              <w:tab/>
              <w:t>13.25</w:t>
            </w:r>
          </w:p>
        </w:tc>
        <w:tc>
          <w:tcPr>
            <w:tcW w:w="776" w:type="dxa"/>
          </w:tcPr>
          <w:p>
            <w:pPr/>
          </w:p>
        </w:tc>
        <w:tc>
          <w:tcPr>
            <w:tcW w:w="1932" w:type="dxa"/>
          </w:tcPr>
          <w:p>
            <w:pPr>
              <w:pStyle w:val="TableParagraph"/>
              <w:spacing w:line="223" w:lineRule="exact" w:before="0"/>
              <w:ind w:right="537"/>
              <w:jc w:val="right"/>
              <w:rPr>
                <w:sz w:val="20"/>
              </w:rPr>
            </w:pPr>
            <w:r>
              <w:rPr>
                <w:color w:val="231F20"/>
                <w:sz w:val="20"/>
              </w:rPr>
              <w:t>—</w:t>
            </w:r>
          </w:p>
        </w:tc>
      </w:tr>
      <w:tr>
        <w:trPr>
          <w:trHeight w:val="288" w:hRule="exact"/>
        </w:trPr>
        <w:tc>
          <w:tcPr>
            <w:tcW w:w="3050" w:type="dxa"/>
            <w:shd w:val="clear" w:color="auto" w:fill="D1D3D4"/>
          </w:tcPr>
          <w:p>
            <w:pPr>
              <w:pStyle w:val="TableParagraph"/>
              <w:spacing w:before="35"/>
              <w:ind w:left="200"/>
              <w:rPr>
                <w:sz w:val="20"/>
              </w:rPr>
            </w:pPr>
            <w:r>
              <w:rPr>
                <w:color w:val="231F20"/>
                <w:sz w:val="20"/>
              </w:rPr>
              <w:t>Total</w:t>
            </w:r>
          </w:p>
        </w:tc>
        <w:tc>
          <w:tcPr>
            <w:tcW w:w="1589" w:type="dxa"/>
            <w:shd w:val="clear" w:color="auto" w:fill="D1D3D4"/>
          </w:tcPr>
          <w:p>
            <w:pPr>
              <w:pStyle w:val="TableParagraph"/>
              <w:spacing w:before="41"/>
              <w:ind w:right="188"/>
              <w:jc w:val="right"/>
              <w:rPr>
                <w:sz w:val="20"/>
              </w:rPr>
            </w:pPr>
            <w:r>
              <w:rPr>
                <w:color w:val="231F20"/>
                <w:sz w:val="20"/>
              </w:rPr>
              <w:t>2,307,352</w:t>
            </w:r>
          </w:p>
        </w:tc>
        <w:tc>
          <w:tcPr>
            <w:tcW w:w="1773" w:type="dxa"/>
            <w:shd w:val="clear" w:color="auto" w:fill="D1D3D4"/>
          </w:tcPr>
          <w:p>
            <w:pPr>
              <w:pStyle w:val="TableParagraph"/>
              <w:tabs>
                <w:tab w:pos="1082" w:val="left" w:leader="none"/>
              </w:tabs>
              <w:spacing w:before="41"/>
              <w:ind w:right="48"/>
              <w:jc w:val="right"/>
              <w:rPr>
                <w:sz w:val="20"/>
              </w:rPr>
            </w:pPr>
            <w:r>
              <w:rPr>
                <w:color w:val="231F20"/>
                <w:sz w:val="20"/>
              </w:rPr>
              <w:t>$</w:t>
              <w:tab/>
              <w:t>13.44</w:t>
            </w:r>
          </w:p>
        </w:tc>
        <w:tc>
          <w:tcPr>
            <w:tcW w:w="776" w:type="dxa"/>
            <w:shd w:val="clear" w:color="auto" w:fill="D1D3D4"/>
          </w:tcPr>
          <w:p>
            <w:pPr>
              <w:pStyle w:val="TableParagraph"/>
              <w:spacing w:before="41"/>
              <w:ind w:left="49"/>
              <w:rPr>
                <w:sz w:val="20"/>
              </w:rPr>
            </w:pPr>
            <w:r>
              <w:rPr>
                <w:color w:val="231F20"/>
                <w:sz w:val="20"/>
              </w:rPr>
              <w:t>(2)</w:t>
            </w:r>
          </w:p>
        </w:tc>
        <w:tc>
          <w:tcPr>
            <w:tcW w:w="1932" w:type="dxa"/>
            <w:shd w:val="clear" w:color="auto" w:fill="D1D3D4"/>
          </w:tcPr>
          <w:p>
            <w:pPr>
              <w:pStyle w:val="TableParagraph"/>
              <w:spacing w:before="41"/>
              <w:ind w:right="537"/>
              <w:jc w:val="right"/>
              <w:rPr>
                <w:sz w:val="20"/>
              </w:rPr>
            </w:pPr>
            <w:r>
              <w:rPr>
                <w:color w:val="231F20"/>
                <w:sz w:val="20"/>
              </w:rPr>
              <w:t>32,761,701</w:t>
            </w:r>
          </w:p>
        </w:tc>
      </w:tr>
    </w:tbl>
    <w:p>
      <w:pPr>
        <w:pStyle w:val="BodyText"/>
        <w:spacing w:before="1"/>
        <w:rPr>
          <w:sz w:val="20"/>
        </w:rPr>
      </w:pPr>
    </w:p>
    <w:p>
      <w:pPr>
        <w:pStyle w:val="ListParagraph"/>
        <w:numPr>
          <w:ilvl w:val="1"/>
          <w:numId w:val="20"/>
        </w:numPr>
        <w:tabs>
          <w:tab w:pos="920" w:val="left" w:leader="none"/>
        </w:tabs>
        <w:spacing w:line="244" w:lineRule="auto" w:before="0" w:after="0"/>
        <w:ind w:left="920" w:right="560" w:hanging="400"/>
        <w:jc w:val="left"/>
        <w:rPr>
          <w:sz w:val="20"/>
        </w:rPr>
      </w:pPr>
      <w:r>
        <w:rPr>
          <w:color w:val="231F20"/>
          <w:sz w:val="20"/>
        </w:rPr>
        <w:t>Includes 809,727 shares of common stock issuable upon exercise of outstanding stock options and 1,485,077 restricted share units settleable in shares of the Company’s common</w:t>
      </w:r>
      <w:r>
        <w:rPr>
          <w:color w:val="231F20"/>
          <w:spacing w:val="8"/>
          <w:sz w:val="20"/>
        </w:rPr>
        <w:t> </w:t>
      </w:r>
      <w:r>
        <w:rPr>
          <w:color w:val="231F20"/>
          <w:sz w:val="20"/>
        </w:rPr>
        <w:t>stock.</w:t>
      </w:r>
    </w:p>
    <w:p>
      <w:pPr>
        <w:pStyle w:val="ListParagraph"/>
        <w:numPr>
          <w:ilvl w:val="1"/>
          <w:numId w:val="20"/>
        </w:numPr>
        <w:tabs>
          <w:tab w:pos="920" w:val="left" w:leader="none"/>
        </w:tabs>
        <w:spacing w:line="244" w:lineRule="auto" w:before="0" w:after="0"/>
        <w:ind w:left="920" w:right="324" w:hanging="40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0"/>
        </w:numPr>
        <w:tabs>
          <w:tab w:pos="920" w:val="left" w:leader="none"/>
        </w:tabs>
        <w:spacing w:line="244" w:lineRule="auto" w:before="0" w:after="0"/>
        <w:ind w:left="920" w:right="200" w:hanging="400"/>
        <w:jc w:val="left"/>
        <w:rPr>
          <w:sz w:val="20"/>
        </w:rPr>
      </w:pPr>
      <w:r>
        <w:rPr>
          <w:color w:val="231F20"/>
          <w:sz w:val="20"/>
        </w:rPr>
        <w:t>Of</w:t>
      </w:r>
      <w:r>
        <w:rPr>
          <w:color w:val="231F20"/>
          <w:spacing w:val="-13"/>
          <w:sz w:val="20"/>
        </w:rPr>
        <w:t> </w:t>
      </w:r>
      <w:r>
        <w:rPr>
          <w:color w:val="231F20"/>
          <w:sz w:val="20"/>
        </w:rPr>
        <w:t>these</w:t>
      </w:r>
      <w:r>
        <w:rPr>
          <w:color w:val="231F20"/>
          <w:spacing w:val="-13"/>
          <w:sz w:val="20"/>
        </w:rPr>
        <w:t> </w:t>
      </w:r>
      <w:r>
        <w:rPr>
          <w:color w:val="231F20"/>
          <w:sz w:val="20"/>
        </w:rPr>
        <w:t>shares,</w:t>
      </w:r>
      <w:r>
        <w:rPr>
          <w:color w:val="231F20"/>
          <w:spacing w:val="-13"/>
          <w:sz w:val="20"/>
        </w:rPr>
        <w:t> </w:t>
      </w:r>
      <w:r>
        <w:rPr>
          <w:color w:val="231F20"/>
          <w:sz w:val="20"/>
        </w:rPr>
        <w:t>(i)</w:t>
      </w:r>
      <w:r>
        <w:rPr>
          <w:color w:val="231F20"/>
          <w:spacing w:val="-13"/>
          <w:sz w:val="20"/>
        </w:rPr>
        <w:t> </w:t>
      </w:r>
      <w:r>
        <w:rPr>
          <w:color w:val="231F20"/>
          <w:sz w:val="20"/>
        </w:rPr>
        <w:t>9,995,360</w:t>
      </w:r>
      <w:r>
        <w:rPr>
          <w:color w:val="231F20"/>
          <w:spacing w:val="-13"/>
          <w:sz w:val="20"/>
        </w:rPr>
        <w:t> </w:t>
      </w:r>
      <w:r>
        <w:rPr>
          <w:color w:val="231F20"/>
          <w:sz w:val="20"/>
        </w:rPr>
        <w:t>shares</w:t>
      </w:r>
      <w:r>
        <w:rPr>
          <w:color w:val="231F20"/>
          <w:spacing w:val="-13"/>
          <w:sz w:val="20"/>
        </w:rPr>
        <w:t> </w:t>
      </w:r>
      <w:r>
        <w:rPr>
          <w:color w:val="231F20"/>
          <w:sz w:val="20"/>
        </w:rPr>
        <w:t>remained</w:t>
      </w:r>
      <w:r>
        <w:rPr>
          <w:color w:val="231F20"/>
          <w:spacing w:val="-13"/>
          <w:sz w:val="20"/>
        </w:rPr>
        <w:t> </w:t>
      </w:r>
      <w:r>
        <w:rPr>
          <w:color w:val="231F20"/>
          <w:sz w:val="20"/>
        </w:rPr>
        <w:t>available</w:t>
      </w:r>
      <w:r>
        <w:rPr>
          <w:color w:val="231F20"/>
          <w:spacing w:val="-13"/>
          <w:sz w:val="20"/>
        </w:rPr>
        <w:t> </w:t>
      </w:r>
      <w:r>
        <w:rPr>
          <w:color w:val="231F20"/>
          <w:sz w:val="20"/>
        </w:rPr>
        <w:t>for</w:t>
      </w:r>
      <w:r>
        <w:rPr>
          <w:color w:val="231F20"/>
          <w:spacing w:val="-13"/>
          <w:sz w:val="20"/>
        </w:rPr>
        <w:t> </w:t>
      </w:r>
      <w:r>
        <w:rPr>
          <w:color w:val="231F20"/>
          <w:sz w:val="20"/>
        </w:rPr>
        <w:t>issuance</w:t>
      </w:r>
      <w:r>
        <w:rPr>
          <w:color w:val="231F20"/>
          <w:spacing w:val="-13"/>
          <w:sz w:val="20"/>
        </w:rPr>
        <w:t> </w:t>
      </w:r>
      <w:r>
        <w:rPr>
          <w:color w:val="231F20"/>
          <w:sz w:val="20"/>
        </w:rPr>
        <w:t>under</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pacing w:val="-2"/>
          <w:sz w:val="20"/>
        </w:rPr>
        <w:t>tax-qualified </w:t>
      </w:r>
      <w:r>
        <w:rPr>
          <w:color w:val="231F20"/>
          <w:sz w:val="20"/>
        </w:rPr>
        <w:t>employee stock purchase plan; and (ii) 22,765,741 shares remained available for issuance under </w:t>
      </w:r>
      <w:r>
        <w:rPr>
          <w:color w:val="231F20"/>
          <w:spacing w:val="-2"/>
          <w:sz w:val="20"/>
        </w:rPr>
        <w:t>the </w:t>
      </w:r>
      <w:r>
        <w:rPr>
          <w:color w:val="231F20"/>
          <w:sz w:val="20"/>
        </w:rPr>
        <w:t>Company’s 2007 Equity Incentive Plan in connection with the exercise of stock options and stock appreciation rights, the settlement of awards of restricted stock, restricted stock units, and phantom shares, and the grant of unrestricted shares of common stock; however, no more than 1,265,178 </w:t>
      </w:r>
      <w:r>
        <w:rPr>
          <w:color w:val="231F20"/>
          <w:spacing w:val="-2"/>
          <w:sz w:val="20"/>
        </w:rPr>
        <w:t>shares </w:t>
      </w:r>
      <w:r>
        <w:rPr>
          <w:color w:val="231F20"/>
          <w:sz w:val="20"/>
        </w:rPr>
        <w:t>remain available for grant in connection with awards of unrestricted shares of common stock, stock- settled</w:t>
      </w:r>
      <w:r>
        <w:rPr>
          <w:color w:val="231F20"/>
          <w:spacing w:val="-14"/>
          <w:sz w:val="20"/>
        </w:rPr>
        <w:t> </w:t>
      </w:r>
      <w:r>
        <w:rPr>
          <w:color w:val="231F20"/>
          <w:sz w:val="20"/>
        </w:rPr>
        <w:t>phantom</w:t>
      </w:r>
      <w:r>
        <w:rPr>
          <w:color w:val="231F20"/>
          <w:spacing w:val="-14"/>
          <w:sz w:val="20"/>
        </w:rPr>
        <w:t> </w:t>
      </w:r>
      <w:r>
        <w:rPr>
          <w:color w:val="231F20"/>
          <w:sz w:val="20"/>
        </w:rPr>
        <w:t>shares,</w:t>
      </w:r>
      <w:r>
        <w:rPr>
          <w:color w:val="231F20"/>
          <w:spacing w:val="-14"/>
          <w:sz w:val="20"/>
        </w:rPr>
        <w:t> </w:t>
      </w:r>
      <w:r>
        <w:rPr>
          <w:color w:val="231F20"/>
          <w:sz w:val="20"/>
        </w:rPr>
        <w:t>and</w:t>
      </w:r>
      <w:r>
        <w:rPr>
          <w:color w:val="231F20"/>
          <w:spacing w:val="-14"/>
          <w:sz w:val="20"/>
        </w:rPr>
        <w:t> </w:t>
      </w:r>
      <w:r>
        <w:rPr>
          <w:color w:val="231F20"/>
          <w:sz w:val="20"/>
        </w:rPr>
        <w:t>awards</w:t>
      </w:r>
      <w:r>
        <w:rPr>
          <w:color w:val="231F20"/>
          <w:spacing w:val="-14"/>
          <w:sz w:val="20"/>
        </w:rPr>
        <w:t> </w:t>
      </w:r>
      <w:r>
        <w:rPr>
          <w:color w:val="231F20"/>
          <w:sz w:val="20"/>
        </w:rPr>
        <w:t>to</w:t>
      </w:r>
      <w:r>
        <w:rPr>
          <w:color w:val="231F20"/>
          <w:spacing w:val="-14"/>
          <w:sz w:val="20"/>
        </w:rPr>
        <w:t> </w:t>
      </w:r>
      <w:r>
        <w:rPr>
          <w:color w:val="231F20"/>
          <w:sz w:val="20"/>
        </w:rPr>
        <w:t>non-Employee</w:t>
      </w:r>
      <w:r>
        <w:rPr>
          <w:color w:val="231F20"/>
          <w:spacing w:val="-14"/>
          <w:sz w:val="20"/>
        </w:rPr>
        <w:t> </w:t>
      </w:r>
      <w:r>
        <w:rPr>
          <w:color w:val="231F20"/>
          <w:sz w:val="20"/>
        </w:rPr>
        <w:t>members</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Board.</w:t>
      </w:r>
      <w:r>
        <w:rPr>
          <w:color w:val="231F20"/>
          <w:spacing w:val="-14"/>
          <w:sz w:val="20"/>
        </w:rPr>
        <w:t> </w:t>
      </w:r>
      <w:r>
        <w:rPr>
          <w:color w:val="231F20"/>
          <w:sz w:val="20"/>
        </w:rPr>
        <w:t>These</w:t>
      </w:r>
      <w:r>
        <w:rPr>
          <w:color w:val="231F20"/>
          <w:spacing w:val="-14"/>
          <w:sz w:val="20"/>
        </w:rPr>
        <w:t> </w:t>
      </w:r>
      <w:r>
        <w:rPr>
          <w:color w:val="231F20"/>
          <w:sz w:val="20"/>
        </w:rPr>
        <w:t>shares</w:t>
      </w:r>
      <w:r>
        <w:rPr>
          <w:color w:val="231F20"/>
          <w:spacing w:val="-14"/>
          <w:sz w:val="20"/>
        </w:rPr>
        <w:t> </w:t>
      </w:r>
      <w:r>
        <w:rPr>
          <w:color w:val="231F20"/>
          <w:sz w:val="20"/>
        </w:rPr>
        <w:t>are</w:t>
      </w:r>
      <w:r>
        <w:rPr>
          <w:color w:val="231F20"/>
          <w:spacing w:val="-14"/>
          <w:sz w:val="20"/>
        </w:rPr>
        <w:t> </w:t>
      </w:r>
      <w:r>
        <w:rPr>
          <w:color w:val="231F20"/>
          <w:sz w:val="20"/>
        </w:rPr>
        <w:t>in</w:t>
      </w:r>
      <w:r>
        <w:rPr>
          <w:color w:val="231F20"/>
          <w:spacing w:val="-14"/>
          <w:sz w:val="20"/>
        </w:rPr>
        <w:t> </w:t>
      </w:r>
      <w:r>
        <w:rPr>
          <w:color w:val="231F20"/>
          <w:sz w:val="20"/>
        </w:rPr>
        <w:t>addition to</w:t>
      </w:r>
      <w:r>
        <w:rPr>
          <w:color w:val="231F20"/>
          <w:spacing w:val="-14"/>
          <w:sz w:val="20"/>
        </w:rPr>
        <w:t> </w:t>
      </w:r>
      <w:r>
        <w:rPr>
          <w:color w:val="231F20"/>
          <w:sz w:val="20"/>
        </w:rPr>
        <w:t>the</w:t>
      </w:r>
      <w:r>
        <w:rPr>
          <w:color w:val="231F20"/>
          <w:spacing w:val="-14"/>
          <w:sz w:val="20"/>
        </w:rPr>
        <w:t> </w:t>
      </w:r>
      <w:r>
        <w:rPr>
          <w:color w:val="231F20"/>
          <w:sz w:val="20"/>
        </w:rPr>
        <w:t>shares</w:t>
      </w:r>
      <w:r>
        <w:rPr>
          <w:color w:val="231F20"/>
          <w:spacing w:val="-14"/>
          <w:sz w:val="20"/>
        </w:rPr>
        <w:t> </w:t>
      </w:r>
      <w:r>
        <w:rPr>
          <w:color w:val="231F20"/>
          <w:sz w:val="20"/>
        </w:rPr>
        <w:t>reserved</w:t>
      </w:r>
      <w:r>
        <w:rPr>
          <w:color w:val="231F20"/>
          <w:spacing w:val="-14"/>
          <w:sz w:val="20"/>
        </w:rPr>
        <w:t> </w:t>
      </w:r>
      <w:r>
        <w:rPr>
          <w:color w:val="231F20"/>
          <w:sz w:val="20"/>
        </w:rPr>
        <w:t>for</w:t>
      </w:r>
      <w:r>
        <w:rPr>
          <w:color w:val="231F20"/>
          <w:spacing w:val="-14"/>
          <w:sz w:val="20"/>
        </w:rPr>
        <w:t> </w:t>
      </w:r>
      <w:r>
        <w:rPr>
          <w:color w:val="231F20"/>
          <w:sz w:val="20"/>
        </w:rPr>
        <w:t>issuance</w:t>
      </w:r>
      <w:r>
        <w:rPr>
          <w:color w:val="231F20"/>
          <w:spacing w:val="-14"/>
          <w:sz w:val="20"/>
        </w:rPr>
        <w:t> </w:t>
      </w:r>
      <w:r>
        <w:rPr>
          <w:color w:val="231F20"/>
          <w:sz w:val="20"/>
        </w:rPr>
        <w:t>pursuant</w:t>
      </w:r>
      <w:r>
        <w:rPr>
          <w:color w:val="231F20"/>
          <w:spacing w:val="-14"/>
          <w:sz w:val="20"/>
        </w:rPr>
        <w:t> </w:t>
      </w:r>
      <w:r>
        <w:rPr>
          <w:color w:val="231F20"/>
          <w:sz w:val="20"/>
        </w:rPr>
        <w:t>to</w:t>
      </w:r>
      <w:r>
        <w:rPr>
          <w:color w:val="231F20"/>
          <w:spacing w:val="-14"/>
          <w:sz w:val="20"/>
        </w:rPr>
        <w:t> </w:t>
      </w:r>
      <w:r>
        <w:rPr>
          <w:color w:val="231F20"/>
          <w:sz w:val="20"/>
        </w:rPr>
        <w:t>outstanding</w:t>
      </w:r>
      <w:r>
        <w:rPr>
          <w:color w:val="231F20"/>
          <w:spacing w:val="-14"/>
          <w:sz w:val="20"/>
        </w:rPr>
        <w:t> </w:t>
      </w:r>
      <w:r>
        <w:rPr>
          <w:color w:val="231F20"/>
          <w:sz w:val="20"/>
        </w:rPr>
        <w:t>awards</w:t>
      </w:r>
      <w:r>
        <w:rPr>
          <w:color w:val="231F20"/>
          <w:spacing w:val="-14"/>
          <w:sz w:val="20"/>
        </w:rPr>
        <w:t> </w:t>
      </w:r>
      <w:r>
        <w:rPr>
          <w:color w:val="231F20"/>
          <w:sz w:val="20"/>
        </w:rPr>
        <w:t>included</w:t>
      </w:r>
      <w:r>
        <w:rPr>
          <w:color w:val="231F20"/>
          <w:spacing w:val="-14"/>
          <w:sz w:val="20"/>
        </w:rPr>
        <w:t> </w:t>
      </w:r>
      <w:r>
        <w:rPr>
          <w:color w:val="231F20"/>
          <w:sz w:val="20"/>
        </w:rPr>
        <w:t>in</w:t>
      </w:r>
      <w:r>
        <w:rPr>
          <w:color w:val="231F20"/>
          <w:spacing w:val="-14"/>
          <w:sz w:val="20"/>
        </w:rPr>
        <w:t> </w:t>
      </w:r>
      <w:r>
        <w:rPr>
          <w:color w:val="231F20"/>
          <w:sz w:val="20"/>
        </w:rPr>
        <w:t>column</w:t>
      </w:r>
      <w:r>
        <w:rPr>
          <w:color w:val="231F20"/>
          <w:spacing w:val="-14"/>
          <w:sz w:val="20"/>
        </w:rPr>
        <w:t> </w:t>
      </w:r>
      <w:r>
        <w:rPr>
          <w:color w:val="231F20"/>
          <w:sz w:val="20"/>
        </w:rPr>
        <w:t>(a).</w:t>
      </w:r>
    </w:p>
    <w:p>
      <w:pPr>
        <w:pStyle w:val="BodyText"/>
        <w:spacing w:before="185"/>
        <w:ind w:left="120" w:right="117"/>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spacing w:before="191"/>
        <w:ind w:left="120"/>
        <w:jc w:val="both"/>
        <w:rPr>
          <w:i/>
        </w:rPr>
      </w:pPr>
      <w:bookmarkStart w:name="Item 13. Certain Relationships and Relat" w:id="30"/>
      <w:bookmarkEnd w:id="30"/>
      <w:r>
        <w:rPr>
          <w:b w:val="0"/>
          <w:i w:val="0"/>
        </w:rPr>
      </w:r>
      <w:r>
        <w:rPr>
          <w:i w:val="0"/>
          <w:color w:val="231F20"/>
        </w:rPr>
        <w:t>Item 13.         </w:t>
      </w:r>
      <w:r>
        <w:rPr>
          <w:i/>
          <w:color w:val="231F20"/>
        </w:rPr>
        <w:t>Certain Relationships and Related Transactions, and Director Independence</w:t>
      </w:r>
    </w:p>
    <w:p>
      <w:pPr>
        <w:pStyle w:val="BodyText"/>
        <w:spacing w:before="185"/>
        <w:ind w:left="119" w:right="118"/>
        <w:jc w:val="both"/>
      </w:pPr>
      <w:r>
        <w:rPr>
          <w:color w:val="231F20"/>
        </w:rPr>
        <w:t>The information required by this Item 13 will be set forth under the heading “Certain Relationships and Related Transactions, and Director Independence” in the Proxy Statement for the Company’s 2016 Annual Meeting of Shareholders and is incorporated herein by reference.</w:t>
      </w:r>
    </w:p>
    <w:p>
      <w:pPr>
        <w:spacing w:before="191"/>
        <w:ind w:left="119" w:right="0" w:firstLine="0"/>
        <w:jc w:val="both"/>
        <w:rPr>
          <w:b/>
          <w:i/>
          <w:sz w:val="22"/>
        </w:rPr>
      </w:pPr>
      <w:bookmarkStart w:name="Item 14. Principal Accounting Fees and S" w:id="31"/>
      <w:bookmarkEnd w:id="31"/>
      <w:r>
        <w:rPr/>
      </w:r>
      <w:r>
        <w:rPr>
          <w:b/>
          <w:color w:val="231F20"/>
          <w:sz w:val="22"/>
        </w:rPr>
        <w:t>Item 14.         </w:t>
      </w:r>
      <w:r>
        <w:rPr>
          <w:b/>
          <w:i/>
          <w:color w:val="231F20"/>
          <w:sz w:val="22"/>
        </w:rPr>
        <w:t>Principal Accounting Fees and Services</w:t>
      </w:r>
    </w:p>
    <w:p>
      <w:pPr>
        <w:pStyle w:val="BodyText"/>
        <w:spacing w:before="185"/>
        <w:ind w:left="119" w:right="117"/>
        <w:jc w:val="both"/>
      </w:pPr>
      <w:r>
        <w:rPr>
          <w:color w:val="231F20"/>
        </w:rPr>
        <w:t>The information required by this Item 14 will be set forth under the heading “Relationship with Independent  Auditors”  in  the  Proxy  Statement  for  the  Company’s  2016  Annual  Meeting  of</w:t>
      </w:r>
    </w:p>
    <w:p>
      <w:pPr>
        <w:spacing w:after="0"/>
        <w:jc w:val="both"/>
        <w:sectPr>
          <w:type w:val="continuous"/>
          <w:pgSz w:w="11880" w:h="15480"/>
          <w:pgMar w:top="1260" w:bottom="280" w:left="1260" w:right="1260"/>
        </w:sectPr>
      </w:pPr>
    </w:p>
    <w:p>
      <w:pPr>
        <w:pStyle w:val="Heading1"/>
        <w:spacing w:before="74"/>
        <w:ind w:left="160" w:right="179"/>
        <w:jc w:val="center"/>
      </w:pPr>
      <w:bookmarkStart w:name="PART IV " w:id="32"/>
      <w:bookmarkEnd w:id="32"/>
      <w:r>
        <w:rPr>
          <w:b w:val="0"/>
        </w:rPr>
      </w:r>
      <w:r>
        <w:rPr>
          <w:color w:val="231F20"/>
        </w:rPr>
        <w:t>PART IV</w:t>
      </w:r>
    </w:p>
    <w:p>
      <w:pPr>
        <w:pStyle w:val="BodyText"/>
        <w:spacing w:before="6"/>
        <w:rPr>
          <w:b/>
          <w:sz w:val="26"/>
        </w:rPr>
      </w:pPr>
    </w:p>
    <w:p>
      <w:pPr>
        <w:pStyle w:val="Heading2"/>
        <w:tabs>
          <w:tab w:pos="1357" w:val="left" w:leader="none"/>
        </w:tabs>
        <w:ind w:left="100"/>
        <w:rPr>
          <w:i/>
        </w:rPr>
      </w:pPr>
      <w:bookmarkStart w:name="Item 15. Exhibits and Financial Statemen" w:id="33"/>
      <w:bookmarkEnd w:id="33"/>
      <w:r>
        <w:rPr>
          <w:b w:val="0"/>
          <w:i w:val="0"/>
        </w:rPr>
      </w:r>
      <w:r>
        <w:rPr>
          <w:i w:val="0"/>
          <w:color w:val="231F20"/>
        </w:rPr>
        <w:t>Item 15.</w:t>
        <w:tab/>
      </w:r>
      <w:r>
        <w:rPr>
          <w:i/>
          <w:color w:val="231F20"/>
        </w:rPr>
        <w:t>Exhibits and Financial Statement</w:t>
      </w:r>
      <w:r>
        <w:rPr>
          <w:i/>
          <w:color w:val="231F20"/>
          <w:spacing w:val="-4"/>
        </w:rPr>
        <w:t> </w:t>
      </w:r>
      <w:r>
        <w:rPr>
          <w:i/>
          <w:color w:val="231F20"/>
        </w:rPr>
        <w:t>Schedules</w:t>
      </w:r>
    </w:p>
    <w:p>
      <w:pPr>
        <w:pStyle w:val="ListParagraph"/>
        <w:numPr>
          <w:ilvl w:val="2"/>
          <w:numId w:val="20"/>
        </w:numPr>
        <w:tabs>
          <w:tab w:pos="1119" w:val="left" w:leader="none"/>
        </w:tabs>
        <w:spacing w:line="240" w:lineRule="auto" w:before="205"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line="247" w:lineRule="auto" w:before="205"/>
        <w:ind w:left="100" w:right="118"/>
        <w:jc w:val="both"/>
      </w:pPr>
      <w:r>
        <w:rPr>
          <w:color w:val="231F20"/>
        </w:rPr>
        <w:t>The financial statements included in Item 8. Financial Statements and Supplementary Data above are filed as part of this annual report.</w:t>
      </w:r>
    </w:p>
    <w:p>
      <w:pPr>
        <w:pStyle w:val="ListParagraph"/>
        <w:numPr>
          <w:ilvl w:val="0"/>
          <w:numId w:val="21"/>
        </w:numPr>
        <w:tabs>
          <w:tab w:pos="1040" w:val="left" w:leader="none"/>
        </w:tabs>
        <w:spacing w:line="240" w:lineRule="auto" w:before="198"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line="247" w:lineRule="auto" w:before="205"/>
        <w:ind w:left="100" w:right="117"/>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21"/>
        </w:numPr>
        <w:tabs>
          <w:tab w:pos="1040" w:val="left" w:leader="none"/>
        </w:tabs>
        <w:spacing w:line="240" w:lineRule="auto" w:before="198" w:after="0"/>
        <w:ind w:left="1040" w:right="0" w:hanging="220"/>
        <w:jc w:val="left"/>
        <w:rPr>
          <w:sz w:val="22"/>
        </w:rPr>
      </w:pPr>
      <w:r>
        <w:rPr>
          <w:color w:val="231F20"/>
          <w:sz w:val="22"/>
        </w:rPr>
        <w:t>Exhibits:</w:t>
      </w:r>
    </w:p>
    <w:p>
      <w:pPr>
        <w:pStyle w:val="ListParagraph"/>
        <w:numPr>
          <w:ilvl w:val="1"/>
          <w:numId w:val="22"/>
        </w:numPr>
        <w:tabs>
          <w:tab w:pos="2149" w:val="left" w:leader="none"/>
          <w:tab w:pos="2150" w:val="left" w:leader="none"/>
        </w:tabs>
        <w:spacing w:line="249" w:lineRule="auto" w:before="204" w:after="0"/>
        <w:ind w:left="2150" w:right="295" w:hanging="19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2"/>
        </w:numPr>
        <w:tabs>
          <w:tab w:pos="2149" w:val="left" w:leader="none"/>
          <w:tab w:pos="2150" w:val="left" w:leader="none"/>
        </w:tabs>
        <w:spacing w:line="249" w:lineRule="auto" w:before="99" w:after="0"/>
        <w:ind w:left="2150" w:right="893" w:hanging="1950"/>
        <w:jc w:val="both"/>
        <w:rPr>
          <w:sz w:val="20"/>
        </w:rPr>
      </w:pPr>
      <w:r>
        <w:rPr>
          <w:color w:val="231F20"/>
          <w:sz w:val="20"/>
        </w:rPr>
        <w:t>Amended and Restated Bylaws of the Company, effective November 19, 2009 (incorporated by reference to Exhibit 3.1 to the Company’s Current Report on Form 8-K filed November 20, 2009 (File No.</w:t>
      </w:r>
      <w:r>
        <w:rPr>
          <w:color w:val="231F20"/>
          <w:spacing w:val="1"/>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419" w:hanging="19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272" w:hanging="1950"/>
        <w:jc w:val="left"/>
        <w:rPr>
          <w:sz w:val="20"/>
        </w:rPr>
      </w:pPr>
      <w:r>
        <w:rPr>
          <w:color w:val="231F20"/>
          <w:sz w:val="20"/>
        </w:rPr>
        <w:t>Indenture dated as of February 14, 2005, between the Company and The Bank of New York Trust Company, N.A., Trustee (incorporated by reference to Exhibit 4.2 to the Company’s Current Report on Form 8-K filed February 14, 2005 (File No.</w:t>
      </w:r>
      <w:r>
        <w:rPr>
          <w:color w:val="231F20"/>
          <w:spacing w:val="3"/>
          <w:sz w:val="20"/>
        </w:rPr>
        <w:t> </w:t>
      </w:r>
      <w:r>
        <w:rPr>
          <w:color w:val="231F20"/>
          <w:sz w:val="20"/>
        </w:rPr>
        <w:t>1-7259)).</w:t>
      </w:r>
    </w:p>
    <w:p>
      <w:pPr>
        <w:pStyle w:val="ListParagraph"/>
        <w:numPr>
          <w:ilvl w:val="1"/>
          <w:numId w:val="23"/>
        </w:numPr>
        <w:tabs>
          <w:tab w:pos="2149" w:val="left" w:leader="none"/>
          <w:tab w:pos="2150" w:val="left" w:leader="none"/>
        </w:tabs>
        <w:spacing w:line="249" w:lineRule="auto" w:before="99" w:after="0"/>
        <w:ind w:left="2150" w:right="458" w:hanging="19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5"/>
          <w:sz w:val="20"/>
        </w:rPr>
        <w:t> </w:t>
      </w:r>
      <w:r>
        <w:rPr>
          <w:color w:val="231F20"/>
          <w:sz w:val="20"/>
        </w:rPr>
        <w:t>333-100861)).</w:t>
      </w:r>
    </w:p>
    <w:p>
      <w:pPr>
        <w:pStyle w:val="ListParagraph"/>
        <w:numPr>
          <w:ilvl w:val="1"/>
          <w:numId w:val="23"/>
        </w:numPr>
        <w:tabs>
          <w:tab w:pos="2149" w:val="left" w:leader="none"/>
          <w:tab w:pos="2150" w:val="left" w:leader="none"/>
        </w:tabs>
        <w:spacing w:line="240" w:lineRule="auto" w:before="99" w:after="0"/>
        <w:ind w:left="2150" w:right="0" w:hanging="1950"/>
        <w:jc w:val="left"/>
        <w:rPr>
          <w:sz w:val="20"/>
        </w:rPr>
      </w:pPr>
      <w:r>
        <w:rPr>
          <w:color w:val="231F20"/>
          <w:sz w:val="20"/>
        </w:rPr>
        <w:t>Indenture dated as of February 25, 1997, between the Company and</w:t>
      </w:r>
      <w:r>
        <w:rPr>
          <w:color w:val="231F20"/>
          <w:spacing w:val="2"/>
          <w:sz w:val="20"/>
        </w:rPr>
        <w:t> </w:t>
      </w:r>
      <w:r>
        <w:rPr>
          <w:color w:val="231F20"/>
          <w:sz w:val="20"/>
        </w:rPr>
        <w:t>U.S.</w:t>
      </w:r>
    </w:p>
    <w:p>
      <w:pPr>
        <w:spacing w:line="249" w:lineRule="auto" w:before="9"/>
        <w:ind w:left="2150" w:right="271" w:firstLine="0"/>
        <w:jc w:val="left"/>
        <w:rPr>
          <w:sz w:val="20"/>
        </w:rPr>
      </w:pPr>
      <w:r>
        <w:rPr>
          <w:color w:val="231F20"/>
          <w:sz w:val="20"/>
        </w:rPr>
        <w:t>Trust Company of Texas, N.A. (incorporated by reference to Exhibit 4.12 to the Company’s Annual Report on Form 10-K for the year ended December 31, 1996 (File No. 1-7259)).</w:t>
      </w:r>
    </w:p>
    <w:p>
      <w:pPr>
        <w:spacing w:line="249" w:lineRule="auto" w:before="99"/>
        <w:ind w:left="2150" w:right="243" w:firstLine="0"/>
        <w:jc w:val="left"/>
        <w:rPr>
          <w:sz w:val="20"/>
        </w:rPr>
      </w:pPr>
      <w:r>
        <w:rPr>
          <w:color w:val="231F20"/>
          <w:sz w:val="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tabs>
          <w:tab w:pos="2149" w:val="left" w:leader="none"/>
        </w:tabs>
        <w:spacing w:line="249" w:lineRule="auto" w:before="99"/>
        <w:ind w:left="2150" w:right="190" w:hanging="2050"/>
        <w:jc w:val="left"/>
        <w:rPr>
          <w:sz w:val="20"/>
        </w:rPr>
      </w:pPr>
      <w:r>
        <w:rPr>
          <w:color w:val="231F20"/>
          <w:sz w:val="20"/>
        </w:rPr>
        <w:t>10.1</w:t>
        <w:tab/>
        <w:t>Purchase Agreement No. 1810, dated January 19, 1994, between The</w:t>
      </w:r>
      <w:r>
        <w:rPr>
          <w:color w:val="231F20"/>
          <w:spacing w:val="2"/>
          <w:sz w:val="20"/>
        </w:rPr>
        <w:t> </w:t>
      </w:r>
      <w:r>
        <w:rPr>
          <w:color w:val="231F20"/>
          <w:sz w:val="20"/>
        </w:rPr>
        <w:t>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w:t>
      </w:r>
      <w:r>
        <w:rPr>
          <w:color w:val="231F20"/>
          <w:spacing w:val="5"/>
          <w:sz w:val="20"/>
        </w:rPr>
        <w:t> </w:t>
      </w:r>
      <w:r>
        <w:rPr>
          <w:color w:val="231F20"/>
          <w:sz w:val="20"/>
        </w:rPr>
        <w:t>on</w:t>
      </w:r>
    </w:p>
    <w:p>
      <w:pPr>
        <w:spacing w:after="0" w:line="249" w:lineRule="auto"/>
        <w:jc w:val="left"/>
        <w:rPr>
          <w:sz w:val="20"/>
        </w:rPr>
        <w:sectPr>
          <w:footerReference w:type="default" r:id="rId26"/>
          <w:pgSz w:w="11880" w:h="15480"/>
          <w:pgMar w:footer="1240" w:header="0" w:top="1240" w:bottom="1420" w:left="1280" w:right="1260"/>
        </w:sectPr>
      </w:pPr>
    </w:p>
    <w:p>
      <w:pPr>
        <w:spacing w:line="249" w:lineRule="auto" w:before="73"/>
        <w:ind w:left="1450" w:right="185" w:firstLine="0"/>
        <w:jc w:val="left"/>
        <w:rPr>
          <w:sz w:val="20"/>
        </w:rPr>
      </w:pPr>
      <w:r>
        <w:rPr>
          <w:color w:val="231F20"/>
          <w:sz w:val="20"/>
        </w:rPr>
        <w:t>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w:t>
      </w:r>
    </w:p>
    <w:p>
      <w:pPr>
        <w:spacing w:line="249" w:lineRule="auto" w:before="1"/>
        <w:ind w:left="1450" w:right="140" w:firstLine="0"/>
        <w:jc w:val="left"/>
        <w:rPr>
          <w:sz w:val="20"/>
        </w:rPr>
      </w:pPr>
      <w:r>
        <w:rPr>
          <w:color w:val="231F20"/>
          <w:sz w:val="20"/>
        </w:rPr>
        <w:t>Exhibit 10.1 to the Company’s Quarterly Report on Form 10-Q for the quarter ended September 30, 2000 (File No. 1-7259)); Supplemental Agreements Nos. 15, 16, 17, 18, and 19 (incorporated by reference to Exhibit 10.1 to the Company’s Quarterly Report on</w:t>
      </w:r>
    </w:p>
    <w:p>
      <w:pPr>
        <w:spacing w:line="249" w:lineRule="auto" w:before="1"/>
        <w:ind w:left="1450" w:right="161" w:firstLine="0"/>
        <w:jc w:val="left"/>
        <w:rPr>
          <w:sz w:val="20"/>
        </w:rPr>
      </w:pPr>
      <w:r>
        <w:rPr>
          <w:color w:val="231F20"/>
          <w:sz w:val="20"/>
        </w:rPr>
        <w:t>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w:t>
      </w:r>
      <w:r>
        <w:rPr>
          <w:color w:val="231F20"/>
          <w:spacing w:val="7"/>
          <w:sz w:val="20"/>
        </w:rPr>
        <w:t> </w:t>
      </w:r>
      <w:r>
        <w:rPr>
          <w:color w:val="231F20"/>
          <w:sz w:val="20"/>
        </w:rPr>
        <w:t>the</w:t>
      </w:r>
    </w:p>
    <w:p>
      <w:pPr>
        <w:spacing w:line="249" w:lineRule="auto" w:before="1"/>
        <w:ind w:left="1450" w:right="102" w:firstLine="0"/>
        <w:jc w:val="left"/>
        <w:rPr>
          <w:sz w:val="20"/>
        </w:rPr>
      </w:pPr>
      <w:r>
        <w:rPr>
          <w:color w:val="231F20"/>
          <w:sz w:val="20"/>
        </w:rPr>
        <w:t>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 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w:t>
      </w:r>
      <w:r>
        <w:rPr>
          <w:color w:val="231F20"/>
          <w:spacing w:val="3"/>
          <w:sz w:val="20"/>
        </w:rPr>
        <w:t> </w:t>
      </w:r>
      <w:r>
        <w:rPr>
          <w:color w:val="231F20"/>
          <w:sz w:val="20"/>
        </w:rPr>
        <w:t>No.</w:t>
      </w:r>
    </w:p>
    <w:p>
      <w:pPr>
        <w:spacing w:before="1"/>
        <w:ind w:left="1450" w:right="0" w:firstLine="0"/>
        <w:jc w:val="left"/>
        <w:rPr>
          <w:sz w:val="20"/>
        </w:rPr>
      </w:pPr>
      <w:r>
        <w:rPr>
          <w:color w:val="231F20"/>
          <w:sz w:val="20"/>
        </w:rPr>
        <w:t>1-7259)); Supplemental Agreements Nos. 54 and 55 (incorporated by reference to Exhibits</w:t>
      </w:r>
    </w:p>
    <w:p>
      <w:pPr>
        <w:spacing w:line="249" w:lineRule="auto" w:before="9"/>
        <w:ind w:left="1450" w:right="102" w:firstLine="0"/>
        <w:jc w:val="left"/>
        <w:rPr>
          <w:sz w:val="20"/>
        </w:rPr>
      </w:pPr>
      <w:r>
        <w:rPr>
          <w:color w:val="231F20"/>
          <w:sz w:val="20"/>
        </w:rPr>
        <w:t>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w:t>
      </w:r>
    </w:p>
    <w:p>
      <w:pPr>
        <w:spacing w:line="249" w:lineRule="auto" w:before="0"/>
        <w:ind w:left="1450" w:right="96" w:firstLine="0"/>
        <w:jc w:val="left"/>
        <w:rPr>
          <w:sz w:val="20"/>
        </w:rPr>
      </w:pPr>
      <w:r>
        <w:rPr>
          <w:color w:val="231F20"/>
          <w:sz w:val="20"/>
        </w:rPr>
        <w:t>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w:t>
      </w:r>
    </w:p>
    <w:p>
      <w:pPr>
        <w:spacing w:after="0" w:line="249" w:lineRule="auto"/>
        <w:jc w:val="left"/>
        <w:rPr>
          <w:sz w:val="20"/>
        </w:rPr>
        <w:sectPr>
          <w:footerReference w:type="default" r:id="rId27"/>
          <w:pgSz w:w="11880" w:h="15480"/>
          <w:pgMar w:footer="1240" w:header="0" w:top="1240" w:bottom="1420" w:left="1680" w:right="1280"/>
          <w:pgNumType w:start="130"/>
        </w:sectPr>
      </w:pPr>
    </w:p>
    <w:p>
      <w:pPr>
        <w:spacing w:line="242" w:lineRule="auto" w:before="65"/>
        <w:ind w:left="1450" w:right="148" w:firstLine="0"/>
        <w:jc w:val="left"/>
        <w:rPr>
          <w:sz w:val="20"/>
        </w:rPr>
      </w:pPr>
      <w:r>
        <w:rPr>
          <w:color w:val="231F20"/>
          <w:sz w:val="20"/>
        </w:rPr>
        <w:t>(incorporated by reference to Exhibit 10.1 to the Company’s Quarterly Report on Form 10- 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w:t>
      </w:r>
    </w:p>
    <w:p>
      <w:pPr>
        <w:spacing w:line="242" w:lineRule="auto" w:before="0"/>
        <w:ind w:left="1450" w:right="224" w:firstLine="0"/>
        <w:jc w:val="left"/>
        <w:rPr>
          <w:sz w:val="20"/>
        </w:rPr>
      </w:pPr>
      <w:r>
        <w:rPr>
          <w:color w:val="231F20"/>
          <w:sz w:val="20"/>
        </w:rPr>
        <w:t>(File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 2011</w:t>
      </w:r>
    </w:p>
    <w:p>
      <w:pPr>
        <w:spacing w:before="0"/>
        <w:ind w:left="1450" w:right="0" w:firstLine="0"/>
        <w:jc w:val="left"/>
        <w:rPr>
          <w:sz w:val="20"/>
        </w:rPr>
      </w:pPr>
      <w:r>
        <w:rPr>
          <w:color w:val="231F20"/>
          <w:sz w:val="20"/>
        </w:rPr>
        <w:t>(File No. 1-7259)); Supplemental Agreement No. 74 (incorporated by reference to Exhibit</w:t>
      </w:r>
    </w:p>
    <w:p>
      <w:pPr>
        <w:pStyle w:val="ListParagraph"/>
        <w:numPr>
          <w:ilvl w:val="1"/>
          <w:numId w:val="24"/>
        </w:numPr>
        <w:tabs>
          <w:tab w:pos="1850" w:val="left" w:leader="none"/>
        </w:tabs>
        <w:spacing w:line="242" w:lineRule="auto" w:before="1" w:after="0"/>
        <w:ind w:left="1450" w:right="103" w:firstLine="0"/>
        <w:jc w:val="left"/>
        <w:rPr>
          <w:sz w:val="20"/>
        </w:rPr>
      </w:pPr>
      <w:r>
        <w:rPr>
          <w:color w:val="231F20"/>
          <w:sz w:val="20"/>
        </w:rPr>
        <w:t>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 Form 10- K for the year ended December 31, 2013 (File No. 1-7259)); Supplemental Agreement No. 86 (incorporated by reference to Exhibit 10.1 to the Company’s Quarterly Report on Form 10-Q for the quarter ended March 31, 2014 (File No. 1-7259)); Supplemental Agreement No. 87 (incorporated by reference to Exhibit 10.1 to the Company’s Quarterly Report on Form 10-Q for the quarter ended June 30, 2014 (File No. 1-7259)); Supplemental Agreement No. 88 (incorporated by reference to Exhibit 10.1 to the Company’s Quarterly Report on Form 10-Q for the quarter ended September 30, 2014 (File No. 1-7259)); Supplemental Agreements Nos. 89 and 90 (incorporated by reference to Exhibits 10.1(a) and 10.1(b), respectively, to the Company’s Annual Report on Form 10-K for the year ended December 31, 2014 (File No. 1-7259)); Supplemental Agreement No. 91 (incorporated by reference to Exhibit 10.1 to the Company’s Quarterly Report on Form 10- Q for the quarter ended June 30, 2015 (File No. 1-7259)); Supplemental Letter Agreement No. 1810-LA-1501773 (incorporated by reference to Exhibit 10.1 to the Company’s Quarterly Report on Form 10-Q for the quarter ended September 30, 2015 (File No. 1- 7259)). (1)</w:t>
      </w:r>
    </w:p>
    <w:p>
      <w:pPr>
        <w:spacing w:after="0" w:line="242" w:lineRule="auto"/>
        <w:jc w:val="left"/>
        <w:rPr>
          <w:sz w:val="20"/>
        </w:rPr>
        <w:sectPr>
          <w:pgSz w:w="11880" w:h="15480"/>
          <w:pgMar w:header="0" w:footer="1240" w:top="1240" w:bottom="1420" w:left="1680" w:right="1280"/>
        </w:sectPr>
      </w:pPr>
    </w:p>
    <w:p>
      <w:pPr>
        <w:tabs>
          <w:tab w:pos="1849" w:val="left" w:leader="none"/>
        </w:tabs>
        <w:spacing w:line="242" w:lineRule="auto" w:before="65"/>
        <w:ind w:left="1850" w:right="111" w:hanging="1750"/>
        <w:jc w:val="left"/>
        <w:rPr>
          <w:sz w:val="20"/>
        </w:rPr>
      </w:pPr>
      <w:r>
        <w:rPr>
          <w:color w:val="231F20"/>
          <w:sz w:val="20"/>
        </w:rPr>
        <w:t>10.1(a)</w:t>
        <w:tab/>
        <w:t>Supplemental Agreement No. 92 to Purchase Agreement No. 1810, dated January</w:t>
      </w:r>
      <w:r>
        <w:rPr>
          <w:color w:val="231F20"/>
          <w:spacing w:val="4"/>
          <w:sz w:val="20"/>
        </w:rPr>
        <w:t> </w:t>
      </w:r>
      <w:r>
        <w:rPr>
          <w:color w:val="231F20"/>
          <w:sz w:val="20"/>
        </w:rPr>
        <w:t>19, 1994, between The Boeing Company and the Company. (1)</w:t>
      </w:r>
    </w:p>
    <w:p>
      <w:pPr>
        <w:pStyle w:val="ListParagraph"/>
        <w:numPr>
          <w:ilvl w:val="1"/>
          <w:numId w:val="24"/>
        </w:numPr>
        <w:tabs>
          <w:tab w:pos="1849" w:val="left" w:leader="none"/>
          <w:tab w:pos="1850" w:val="left" w:leader="none"/>
        </w:tabs>
        <w:spacing w:line="242" w:lineRule="auto" w:before="120" w:after="0"/>
        <w:ind w:left="1850" w:right="192" w:hanging="1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2" w:after="0"/>
        <w:ind w:left="1850" w:right="459" w:hanging="1750"/>
        <w:jc w:val="left"/>
        <w:rPr>
          <w:sz w:val="20"/>
        </w:rPr>
      </w:pPr>
      <w:r>
        <w:rPr>
          <w:color w:val="231F20"/>
          <w:sz w:val="20"/>
        </w:rPr>
        <w:t>Southwest Airlines Co. 1996 Incentive Stock Option Plan (incorporated by reference to Exhibit 10.12 to the Company’s Annual Report on Form 10-K for the year ended December 31, 2002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537" w:hanging="1750"/>
        <w:jc w:val="left"/>
        <w:rPr>
          <w:sz w:val="20"/>
        </w:rPr>
      </w:pPr>
      <w:r>
        <w:rPr>
          <w:color w:val="231F20"/>
          <w:sz w:val="20"/>
        </w:rPr>
        <w:t>Letter Agreement between Southwest Airlines Co. and Gary C. Kelly, effective as of February 1, 2011 (incorporated by reference to Exhibit 99.1 to the Company’s Current Report on Form 8-K filed February 1, 2011 (File No. 1-7259)).</w:t>
      </w:r>
      <w:r>
        <w:rPr>
          <w:color w:val="231F20"/>
          <w:spacing w:val="3"/>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271" w:hanging="1750"/>
        <w:jc w:val="left"/>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 1-7259)).</w:t>
      </w:r>
    </w:p>
    <w:p>
      <w:pPr>
        <w:pStyle w:val="ListParagraph"/>
        <w:numPr>
          <w:ilvl w:val="1"/>
          <w:numId w:val="24"/>
        </w:numPr>
        <w:tabs>
          <w:tab w:pos="1849" w:val="left" w:leader="none"/>
          <w:tab w:pos="1850" w:val="left" w:leader="none"/>
        </w:tabs>
        <w:spacing w:line="242" w:lineRule="auto" w:before="122" w:after="0"/>
        <w:ind w:left="1850" w:right="192" w:hanging="1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4"/>
        </w:numPr>
        <w:tabs>
          <w:tab w:pos="1849" w:val="left" w:leader="none"/>
          <w:tab w:pos="1850" w:val="left" w:leader="none"/>
        </w:tabs>
        <w:spacing w:line="242" w:lineRule="auto" w:before="121" w:after="0"/>
        <w:ind w:left="1850" w:right="589" w:hanging="1750"/>
        <w:jc w:val="left"/>
        <w:rPr>
          <w:sz w:val="20"/>
        </w:rPr>
      </w:pPr>
      <w:r>
        <w:rPr>
          <w:color w:val="231F20"/>
          <w:sz w:val="20"/>
        </w:rPr>
        <w:t>Southwest Airlines Co. 2002 Bonus SWAPA Non-Qualified Stock Option Plan (incorporated by reference to Exhibit 4.2 to the Company’s Registration Statement on Form S-8 filed August 27, 2002 (File No.</w:t>
      </w:r>
      <w:r>
        <w:rPr>
          <w:color w:val="231F20"/>
          <w:spacing w:val="1"/>
          <w:sz w:val="20"/>
        </w:rPr>
        <w:t> </w:t>
      </w:r>
      <w:r>
        <w:rPr>
          <w:color w:val="231F20"/>
          <w:sz w:val="20"/>
        </w:rPr>
        <w:t>333-98761)).</w:t>
      </w:r>
    </w:p>
    <w:p>
      <w:pPr>
        <w:pStyle w:val="ListParagraph"/>
        <w:numPr>
          <w:ilvl w:val="1"/>
          <w:numId w:val="24"/>
        </w:numPr>
        <w:tabs>
          <w:tab w:pos="1849" w:val="left" w:leader="none"/>
          <w:tab w:pos="1850" w:val="left" w:leader="none"/>
        </w:tabs>
        <w:spacing w:line="242" w:lineRule="auto" w:before="121" w:after="0"/>
        <w:ind w:left="1850" w:right="222" w:hanging="1750"/>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4"/>
        </w:numPr>
        <w:tabs>
          <w:tab w:pos="1849" w:val="left" w:leader="none"/>
          <w:tab w:pos="1850" w:val="left" w:leader="none"/>
        </w:tabs>
        <w:spacing w:line="242" w:lineRule="auto" w:before="121" w:after="0"/>
        <w:ind w:left="1850" w:right="264" w:hanging="1750"/>
        <w:jc w:val="left"/>
        <w:rPr>
          <w:sz w:val="20"/>
        </w:rPr>
      </w:pPr>
      <w:r>
        <w:rPr>
          <w:color w:val="231F20"/>
          <w:sz w:val="20"/>
        </w:rPr>
        <w:t>Southwest Airlines Co. Amended and Restated 2007 Equity Incentive Plan (incorporated by reference to Exhibit 99.1 to the Company’s Current Report on Form 8-K filed May 18, 2015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121" w:hanging="17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22" w:after="0"/>
        <w:ind w:left="1850" w:right="225" w:hanging="17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spacing w:before="0"/>
        <w:ind w:left="1850" w:right="0" w:firstLine="0"/>
        <w:jc w:val="left"/>
        <w:rPr>
          <w:sz w:val="20"/>
        </w:rPr>
      </w:pPr>
      <w:r>
        <w:rPr>
          <w:color w:val="231F20"/>
          <w:sz w:val="20"/>
        </w:rPr>
        <w:t>(File No. 1-7259)). (2)</w:t>
      </w:r>
    </w:p>
    <w:p>
      <w:pPr>
        <w:pStyle w:val="ListParagraph"/>
        <w:numPr>
          <w:ilvl w:val="1"/>
          <w:numId w:val="24"/>
        </w:numPr>
        <w:tabs>
          <w:tab w:pos="1849" w:val="left" w:leader="none"/>
          <w:tab w:pos="1850" w:val="left" w:leader="none"/>
        </w:tabs>
        <w:spacing w:line="242" w:lineRule="auto" w:before="124" w:after="0"/>
        <w:ind w:left="1850" w:right="499" w:hanging="17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9" w:val="left" w:leader="none"/>
          <w:tab w:pos="1850" w:val="left" w:leader="none"/>
        </w:tabs>
        <w:spacing w:line="242" w:lineRule="auto" w:before="121" w:after="0"/>
        <w:ind w:left="1850" w:right="499" w:hanging="17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4"/>
        </w:numPr>
        <w:tabs>
          <w:tab w:pos="1848" w:val="left" w:leader="none"/>
          <w:tab w:pos="1849" w:val="left" w:leader="none"/>
        </w:tabs>
        <w:spacing w:line="242" w:lineRule="auto" w:before="121" w:after="0"/>
        <w:ind w:left="1850" w:right="368" w:hanging="1750"/>
        <w:jc w:val="left"/>
        <w:rPr>
          <w:sz w:val="20"/>
        </w:rPr>
      </w:pPr>
      <w:r>
        <w:rPr>
          <w:color w:val="231F20"/>
          <w:sz w:val="20"/>
        </w:rPr>
        <w:t>Amended</w:t>
      </w:r>
      <w:r>
        <w:rPr>
          <w:color w:val="231F20"/>
          <w:spacing w:val="-13"/>
          <w:sz w:val="20"/>
        </w:rPr>
        <w:t> </w:t>
      </w:r>
      <w:r>
        <w:rPr>
          <w:color w:val="231F20"/>
          <w:sz w:val="20"/>
        </w:rPr>
        <w:t>and</w:t>
      </w:r>
      <w:r>
        <w:rPr>
          <w:color w:val="231F20"/>
          <w:spacing w:val="-13"/>
          <w:sz w:val="20"/>
        </w:rPr>
        <w:t> </w:t>
      </w:r>
      <w:r>
        <w:rPr>
          <w:color w:val="231F20"/>
          <w:sz w:val="20"/>
        </w:rPr>
        <w:t>Restated</w:t>
      </w:r>
      <w:r>
        <w:rPr>
          <w:color w:val="231F20"/>
          <w:spacing w:val="-13"/>
          <w:sz w:val="20"/>
        </w:rPr>
        <w:t> </w:t>
      </w:r>
      <w:r>
        <w:rPr>
          <w:color w:val="231F20"/>
          <w:spacing w:val="-2"/>
          <w:sz w:val="20"/>
        </w:rPr>
        <w:t>Southwest</w:t>
      </w:r>
      <w:r>
        <w:rPr>
          <w:color w:val="231F20"/>
          <w:spacing w:val="-13"/>
          <w:sz w:val="20"/>
        </w:rPr>
        <w:t> </w:t>
      </w:r>
      <w:r>
        <w:rPr>
          <w:color w:val="231F20"/>
          <w:sz w:val="20"/>
        </w:rPr>
        <w:t>Airlines</w:t>
      </w:r>
      <w:r>
        <w:rPr>
          <w:color w:val="231F20"/>
          <w:spacing w:val="-13"/>
          <w:sz w:val="20"/>
        </w:rPr>
        <w:t> </w:t>
      </w:r>
      <w:r>
        <w:rPr>
          <w:color w:val="231F20"/>
          <w:sz w:val="20"/>
        </w:rPr>
        <w:t>Co.</w:t>
      </w:r>
      <w:r>
        <w:rPr>
          <w:color w:val="231F20"/>
          <w:spacing w:val="-13"/>
          <w:sz w:val="20"/>
        </w:rPr>
        <w:t> </w:t>
      </w:r>
      <w:r>
        <w:rPr>
          <w:color w:val="231F20"/>
          <w:sz w:val="20"/>
        </w:rPr>
        <w:t>2005</w:t>
      </w:r>
      <w:r>
        <w:rPr>
          <w:color w:val="231F20"/>
          <w:spacing w:val="-13"/>
          <w:sz w:val="20"/>
        </w:rPr>
        <w:t> </w:t>
      </w:r>
      <w:r>
        <w:rPr>
          <w:color w:val="231F20"/>
          <w:sz w:val="20"/>
        </w:rPr>
        <w:t>Excess</w:t>
      </w:r>
      <w:r>
        <w:rPr>
          <w:color w:val="231F20"/>
          <w:spacing w:val="-13"/>
          <w:sz w:val="20"/>
        </w:rPr>
        <w:t> </w:t>
      </w:r>
      <w:r>
        <w:rPr>
          <w:color w:val="231F20"/>
          <w:sz w:val="20"/>
        </w:rPr>
        <w:t>Benefit</w:t>
      </w:r>
      <w:r>
        <w:rPr>
          <w:color w:val="231F20"/>
          <w:spacing w:val="-13"/>
          <w:sz w:val="20"/>
        </w:rPr>
        <w:t> </w:t>
      </w:r>
      <w:r>
        <w:rPr>
          <w:color w:val="231F20"/>
          <w:sz w:val="20"/>
        </w:rPr>
        <w:t>Plan</w:t>
      </w:r>
      <w:r>
        <w:rPr>
          <w:color w:val="231F20"/>
          <w:spacing w:val="-13"/>
          <w:sz w:val="20"/>
        </w:rPr>
        <w:t> </w:t>
      </w:r>
      <w:r>
        <w:rPr>
          <w:color w:val="231F20"/>
          <w:sz w:val="20"/>
        </w:rPr>
        <w:t>(as</w:t>
      </w:r>
      <w:r>
        <w:rPr>
          <w:color w:val="231F20"/>
          <w:spacing w:val="-13"/>
          <w:sz w:val="20"/>
        </w:rPr>
        <w:t> </w:t>
      </w:r>
      <w:r>
        <w:rPr>
          <w:color w:val="231F20"/>
          <w:sz w:val="20"/>
        </w:rPr>
        <w:t>amended</w:t>
      </w:r>
      <w:r>
        <w:rPr>
          <w:color w:val="231F20"/>
          <w:spacing w:val="-13"/>
          <w:sz w:val="20"/>
        </w:rPr>
        <w:t> </w:t>
      </w:r>
      <w:r>
        <w:rPr>
          <w:color w:val="231F20"/>
          <w:spacing w:val="-2"/>
          <w:sz w:val="20"/>
        </w:rPr>
        <w:t>and </w:t>
      </w:r>
      <w:r>
        <w:rPr>
          <w:color w:val="231F20"/>
          <w:sz w:val="20"/>
        </w:rPr>
        <w:t>restated</w:t>
      </w:r>
      <w:r>
        <w:rPr>
          <w:color w:val="231F20"/>
          <w:spacing w:val="-12"/>
          <w:sz w:val="20"/>
        </w:rPr>
        <w:t> </w:t>
      </w:r>
      <w:r>
        <w:rPr>
          <w:color w:val="231F20"/>
          <w:sz w:val="20"/>
        </w:rPr>
        <w:t>effective</w:t>
      </w:r>
      <w:r>
        <w:rPr>
          <w:color w:val="231F20"/>
          <w:spacing w:val="-12"/>
          <w:sz w:val="20"/>
        </w:rPr>
        <w:t> </w:t>
      </w:r>
      <w:r>
        <w:rPr>
          <w:color w:val="231F20"/>
          <w:sz w:val="20"/>
        </w:rPr>
        <w:t>for</w:t>
      </w:r>
      <w:r>
        <w:rPr>
          <w:color w:val="231F20"/>
          <w:spacing w:val="-12"/>
          <w:sz w:val="20"/>
        </w:rPr>
        <w:t> </w:t>
      </w:r>
      <w:r>
        <w:rPr>
          <w:color w:val="231F20"/>
          <w:sz w:val="20"/>
        </w:rPr>
        <w:t>plan</w:t>
      </w:r>
      <w:r>
        <w:rPr>
          <w:color w:val="231F20"/>
          <w:spacing w:val="-12"/>
          <w:sz w:val="20"/>
        </w:rPr>
        <w:t> </w:t>
      </w:r>
      <w:r>
        <w:rPr>
          <w:color w:val="231F20"/>
          <w:sz w:val="20"/>
        </w:rPr>
        <w:t>years</w:t>
      </w:r>
      <w:r>
        <w:rPr>
          <w:color w:val="231F20"/>
          <w:spacing w:val="-12"/>
          <w:sz w:val="20"/>
        </w:rPr>
        <w:t> </w:t>
      </w:r>
      <w:r>
        <w:rPr>
          <w:color w:val="231F20"/>
          <w:sz w:val="20"/>
        </w:rPr>
        <w:t>beginning</w:t>
      </w:r>
      <w:r>
        <w:rPr>
          <w:color w:val="231F20"/>
          <w:spacing w:val="-12"/>
          <w:sz w:val="20"/>
        </w:rPr>
        <w:t> </w:t>
      </w:r>
      <w:r>
        <w:rPr>
          <w:color w:val="231F20"/>
          <w:sz w:val="20"/>
        </w:rPr>
        <w:t>on</w:t>
      </w:r>
      <w:r>
        <w:rPr>
          <w:color w:val="231F20"/>
          <w:spacing w:val="-12"/>
          <w:sz w:val="20"/>
        </w:rPr>
        <w:t> </w:t>
      </w:r>
      <w:r>
        <w:rPr>
          <w:color w:val="231F20"/>
          <w:sz w:val="20"/>
        </w:rPr>
        <w:t>and</w:t>
      </w:r>
      <w:r>
        <w:rPr>
          <w:color w:val="231F20"/>
          <w:spacing w:val="-12"/>
          <w:sz w:val="20"/>
        </w:rPr>
        <w:t> </w:t>
      </w:r>
      <w:r>
        <w:rPr>
          <w:color w:val="231F20"/>
          <w:sz w:val="20"/>
        </w:rPr>
        <w:t>after</w:t>
      </w:r>
      <w:r>
        <w:rPr>
          <w:color w:val="231F20"/>
          <w:spacing w:val="-12"/>
          <w:sz w:val="20"/>
        </w:rPr>
        <w:t> </w:t>
      </w:r>
      <w:r>
        <w:rPr>
          <w:color w:val="231F20"/>
          <w:sz w:val="20"/>
        </w:rPr>
        <w:t>January</w:t>
      </w:r>
      <w:r>
        <w:rPr>
          <w:color w:val="231F20"/>
          <w:spacing w:val="-12"/>
          <w:sz w:val="20"/>
        </w:rPr>
        <w:t> </w:t>
      </w:r>
      <w:r>
        <w:rPr>
          <w:color w:val="231F20"/>
          <w:sz w:val="20"/>
        </w:rPr>
        <w:t>1,</w:t>
      </w:r>
      <w:r>
        <w:rPr>
          <w:color w:val="231F20"/>
          <w:spacing w:val="-12"/>
          <w:sz w:val="20"/>
        </w:rPr>
        <w:t> </w:t>
      </w:r>
      <w:r>
        <w:rPr>
          <w:color w:val="231F20"/>
          <w:sz w:val="20"/>
        </w:rPr>
        <w:t>2015)</w:t>
      </w:r>
      <w:r>
        <w:rPr>
          <w:color w:val="231F20"/>
          <w:spacing w:val="-12"/>
          <w:sz w:val="20"/>
        </w:rPr>
        <w:t> </w:t>
      </w:r>
      <w:r>
        <w:rPr>
          <w:color w:val="231F20"/>
          <w:sz w:val="20"/>
        </w:rPr>
        <w:t>(incorporated</w:t>
      </w:r>
      <w:r>
        <w:rPr>
          <w:color w:val="231F20"/>
          <w:spacing w:val="-12"/>
          <w:sz w:val="20"/>
        </w:rPr>
        <w:t> </w:t>
      </w:r>
      <w:r>
        <w:rPr>
          <w:color w:val="231F20"/>
          <w:sz w:val="20"/>
        </w:rPr>
        <w:t>by reference</w:t>
      </w:r>
      <w:r>
        <w:rPr>
          <w:color w:val="231F20"/>
          <w:spacing w:val="-13"/>
          <w:sz w:val="20"/>
        </w:rPr>
        <w:t> </w:t>
      </w:r>
      <w:r>
        <w:rPr>
          <w:color w:val="231F20"/>
          <w:sz w:val="20"/>
        </w:rPr>
        <w:t>to</w:t>
      </w:r>
      <w:r>
        <w:rPr>
          <w:color w:val="231F20"/>
          <w:spacing w:val="-13"/>
          <w:sz w:val="20"/>
        </w:rPr>
        <w:t> </w:t>
      </w:r>
      <w:r>
        <w:rPr>
          <w:color w:val="231F20"/>
          <w:sz w:val="20"/>
        </w:rPr>
        <w:t>Exhibit</w:t>
      </w:r>
      <w:r>
        <w:rPr>
          <w:color w:val="231F20"/>
          <w:spacing w:val="-13"/>
          <w:sz w:val="20"/>
        </w:rPr>
        <w:t> </w:t>
      </w:r>
      <w:r>
        <w:rPr>
          <w:color w:val="231F20"/>
          <w:sz w:val="20"/>
        </w:rPr>
        <w:t>10.2</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Quarterly</w:t>
      </w:r>
      <w:r>
        <w:rPr>
          <w:color w:val="231F20"/>
          <w:spacing w:val="-13"/>
          <w:sz w:val="20"/>
        </w:rPr>
        <w:t> </w:t>
      </w:r>
      <w:r>
        <w:rPr>
          <w:color w:val="231F20"/>
          <w:sz w:val="20"/>
        </w:rPr>
        <w:t>Report</w:t>
      </w:r>
      <w:r>
        <w:rPr>
          <w:color w:val="231F20"/>
          <w:spacing w:val="-13"/>
          <w:sz w:val="20"/>
        </w:rPr>
        <w:t> </w:t>
      </w:r>
      <w:r>
        <w:rPr>
          <w:color w:val="231F20"/>
          <w:sz w:val="20"/>
        </w:rPr>
        <w:t>on</w:t>
      </w:r>
      <w:r>
        <w:rPr>
          <w:color w:val="231F20"/>
          <w:spacing w:val="-13"/>
          <w:sz w:val="20"/>
        </w:rPr>
        <w:t> </w:t>
      </w:r>
      <w:r>
        <w:rPr>
          <w:color w:val="231F20"/>
          <w:sz w:val="20"/>
        </w:rPr>
        <w:t>Form</w:t>
      </w:r>
      <w:r>
        <w:rPr>
          <w:color w:val="231F20"/>
          <w:spacing w:val="-13"/>
          <w:sz w:val="20"/>
        </w:rPr>
        <w:t> </w:t>
      </w:r>
      <w:r>
        <w:rPr>
          <w:color w:val="231F20"/>
          <w:sz w:val="20"/>
        </w:rPr>
        <w:t>10-Q</w:t>
      </w:r>
      <w:r>
        <w:rPr>
          <w:color w:val="231F20"/>
          <w:spacing w:val="-14"/>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quarter ended</w:t>
      </w:r>
      <w:r>
        <w:rPr>
          <w:color w:val="231F20"/>
          <w:spacing w:val="-13"/>
          <w:sz w:val="20"/>
        </w:rPr>
        <w:t> </w:t>
      </w:r>
      <w:r>
        <w:rPr>
          <w:color w:val="231F20"/>
          <w:sz w:val="20"/>
        </w:rPr>
        <w:t>September</w:t>
      </w:r>
      <w:r>
        <w:rPr>
          <w:color w:val="231F20"/>
          <w:spacing w:val="-13"/>
          <w:sz w:val="20"/>
        </w:rPr>
        <w:t> </w:t>
      </w:r>
      <w:r>
        <w:rPr>
          <w:color w:val="231F20"/>
          <w:sz w:val="20"/>
        </w:rPr>
        <w:t>30,</w:t>
      </w:r>
      <w:r>
        <w:rPr>
          <w:color w:val="231F20"/>
          <w:spacing w:val="-13"/>
          <w:sz w:val="20"/>
        </w:rPr>
        <w:t> </w:t>
      </w:r>
      <w:r>
        <w:rPr>
          <w:color w:val="231F20"/>
          <w:sz w:val="20"/>
        </w:rPr>
        <w:t>2014</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pacing w:val="-2"/>
          <w:sz w:val="20"/>
        </w:rPr>
        <w:t>(2)</w:t>
      </w:r>
    </w:p>
    <w:p>
      <w:pPr>
        <w:spacing w:after="0" w:line="242" w:lineRule="auto"/>
        <w:jc w:val="left"/>
        <w:rPr>
          <w:sz w:val="20"/>
        </w:rPr>
        <w:sectPr>
          <w:pgSz w:w="11880" w:h="15480"/>
          <w:pgMar w:header="0" w:footer="1240" w:top="1240" w:bottom="1420" w:left="1280" w:right="1280"/>
        </w:sectPr>
      </w:pPr>
    </w:p>
    <w:p>
      <w:pPr>
        <w:pStyle w:val="ListParagraph"/>
        <w:numPr>
          <w:ilvl w:val="1"/>
          <w:numId w:val="24"/>
        </w:numPr>
        <w:tabs>
          <w:tab w:pos="1849" w:val="left" w:leader="none"/>
          <w:tab w:pos="1850" w:val="left" w:leader="none"/>
        </w:tabs>
        <w:spacing w:line="242" w:lineRule="auto" w:before="65" w:after="0"/>
        <w:ind w:left="1850" w:right="203" w:hanging="1750"/>
        <w:jc w:val="left"/>
        <w:rPr>
          <w:sz w:val="20"/>
        </w:rPr>
      </w:pPr>
      <w:r>
        <w:rPr>
          <w:color w:val="231F20"/>
          <w:sz w:val="20"/>
        </w:rPr>
        <w:t>Form of Indemnification Agreement between the Company and its Directors (incorporated by reference to Exhibit 10.1 to the Company’s Current Report on Form 8-K</w:t>
      </w:r>
      <w:r>
        <w:rPr>
          <w:color w:val="231F20"/>
          <w:spacing w:val="4"/>
          <w:sz w:val="20"/>
        </w:rPr>
        <w:t> </w:t>
      </w:r>
      <w:r>
        <w:rPr>
          <w:color w:val="231F20"/>
          <w:sz w:val="20"/>
        </w:rPr>
        <w:t>filed</w:t>
      </w:r>
    </w:p>
    <w:p>
      <w:pPr>
        <w:spacing w:before="0"/>
        <w:ind w:left="1850" w:right="0" w:firstLine="0"/>
        <w:jc w:val="left"/>
        <w:rPr>
          <w:sz w:val="20"/>
        </w:rPr>
      </w:pPr>
      <w:r>
        <w:rPr>
          <w:color w:val="231F20"/>
          <w:sz w:val="20"/>
        </w:rPr>
        <w:t>January 22, 2009 (File No. 1-7259)).</w:t>
      </w:r>
    </w:p>
    <w:p>
      <w:pPr>
        <w:pStyle w:val="ListParagraph"/>
        <w:numPr>
          <w:ilvl w:val="1"/>
          <w:numId w:val="24"/>
        </w:numPr>
        <w:tabs>
          <w:tab w:pos="1849" w:val="left" w:leader="none"/>
          <w:tab w:pos="1850" w:val="left" w:leader="none"/>
        </w:tabs>
        <w:spacing w:line="242" w:lineRule="auto" w:before="115" w:after="0"/>
        <w:ind w:left="1850" w:right="177" w:hanging="17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13" w:after="0"/>
        <w:ind w:left="1850" w:right="219" w:hanging="1750"/>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Co-Administrative Agents, and Citibank, N.A., as Paying Agent, dated as of April 2, 2013 (incorporated by reference to Exhibit 10.1 to the Company’s Current Report on Form 8-K filed April 4, 2013 (File No.</w:t>
      </w:r>
      <w:r>
        <w:rPr>
          <w:color w:val="231F20"/>
          <w:spacing w:val="2"/>
          <w:sz w:val="20"/>
        </w:rPr>
        <w:t> </w:t>
      </w:r>
      <w:r>
        <w:rPr>
          <w:color w:val="231F20"/>
          <w:sz w:val="20"/>
        </w:rPr>
        <w:t>1-7259)).</w:t>
      </w:r>
    </w:p>
    <w:p>
      <w:pPr>
        <w:pStyle w:val="ListParagraph"/>
        <w:numPr>
          <w:ilvl w:val="1"/>
          <w:numId w:val="24"/>
        </w:numPr>
        <w:tabs>
          <w:tab w:pos="1849" w:val="left" w:leader="none"/>
          <w:tab w:pos="1850" w:val="left" w:leader="none"/>
        </w:tabs>
        <w:spacing w:line="242" w:lineRule="auto" w:before="115" w:after="0"/>
        <w:ind w:left="1850" w:right="101" w:hanging="17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 2013 (File No. 1-7259)).</w:t>
      </w:r>
      <w:r>
        <w:rPr>
          <w:color w:val="231F20"/>
          <w:spacing w:val="2"/>
          <w:sz w:val="20"/>
        </w:rPr>
        <w:t> </w:t>
      </w:r>
      <w:r>
        <w:rPr>
          <w:color w:val="231F20"/>
          <w:sz w:val="20"/>
        </w:rPr>
        <w:t>(1)</w:t>
      </w:r>
    </w:p>
    <w:p>
      <w:pPr>
        <w:tabs>
          <w:tab w:pos="1849" w:val="left" w:leader="none"/>
        </w:tabs>
        <w:spacing w:line="242" w:lineRule="auto" w:before="116"/>
        <w:ind w:left="1850" w:right="511" w:hanging="1750"/>
        <w:jc w:val="left"/>
        <w:rPr>
          <w:sz w:val="20"/>
        </w:rPr>
      </w:pPr>
      <w:r>
        <w:rPr>
          <w:color w:val="231F20"/>
          <w:sz w:val="20"/>
        </w:rPr>
        <w:t>10.18(a)</w:t>
        <w:tab/>
        <w:t>Supplemental Agreement No. 4 to Purchase Agreement No. 3729, dated</w:t>
      </w:r>
      <w:r>
        <w:rPr>
          <w:color w:val="231F20"/>
          <w:spacing w:val="3"/>
          <w:sz w:val="20"/>
        </w:rPr>
        <w:t> </w:t>
      </w:r>
      <w:r>
        <w:rPr>
          <w:color w:val="231F20"/>
          <w:sz w:val="20"/>
        </w:rPr>
        <w:t>December</w:t>
      </w:r>
      <w:r>
        <w:rPr>
          <w:color w:val="231F20"/>
          <w:spacing w:val="1"/>
          <w:sz w:val="20"/>
        </w:rPr>
        <w:t> </w:t>
      </w:r>
      <w:r>
        <w:rPr>
          <w:color w:val="231F20"/>
          <w:sz w:val="20"/>
        </w:rPr>
        <w:t>13, 2011, between The Boeing Company and the Company. (1)</w:t>
      </w:r>
    </w:p>
    <w:p>
      <w:pPr>
        <w:pStyle w:val="ListParagraph"/>
        <w:numPr>
          <w:ilvl w:val="1"/>
          <w:numId w:val="24"/>
        </w:numPr>
        <w:tabs>
          <w:tab w:pos="1849" w:val="left" w:leader="none"/>
          <w:tab w:pos="1850" w:val="left" w:leader="none"/>
        </w:tabs>
        <w:spacing w:line="242" w:lineRule="auto" w:before="111" w:after="0"/>
        <w:ind w:left="1850" w:right="258" w:hanging="1750"/>
        <w:jc w:val="left"/>
        <w:rPr>
          <w:sz w:val="20"/>
        </w:rPr>
      </w:pPr>
      <w:r>
        <w:rPr>
          <w:color w:val="231F20"/>
          <w:sz w:val="20"/>
        </w:rPr>
        <w:t>Southwest Airlines Co. Senior Executive Short Term Incentive Plan (incorporated by reference to Exhibit 99.1 to the Company’s Current Report on Form 8-K filed January 30, 2013 (File No. 1-7259)).</w:t>
      </w:r>
      <w:r>
        <w:rPr>
          <w:color w:val="231F20"/>
          <w:spacing w:val="1"/>
          <w:sz w:val="20"/>
        </w:rPr>
        <w:t> </w:t>
      </w:r>
      <w:r>
        <w:rPr>
          <w:color w:val="231F20"/>
          <w:sz w:val="20"/>
        </w:rPr>
        <w:t>(2)</w:t>
      </w:r>
    </w:p>
    <w:p>
      <w:pPr>
        <w:pStyle w:val="ListParagraph"/>
        <w:numPr>
          <w:ilvl w:val="1"/>
          <w:numId w:val="24"/>
        </w:numPr>
        <w:tabs>
          <w:tab w:pos="1849" w:val="left" w:leader="none"/>
          <w:tab w:pos="1850" w:val="left" w:leader="none"/>
        </w:tabs>
        <w:spacing w:line="242" w:lineRule="auto" w:before="112" w:after="0"/>
        <w:ind w:left="1850" w:right="491" w:hanging="1750"/>
        <w:jc w:val="left"/>
        <w:rPr>
          <w:sz w:val="20"/>
        </w:rPr>
      </w:pPr>
      <w:r>
        <w:rPr>
          <w:color w:val="231F20"/>
          <w:sz w:val="20"/>
        </w:rPr>
        <w:t>Southwest Airlines Co. Deferred Compensation Plan for Senior Leadership and Non- Employee Members of the Southwest Airlines Co. Board of Directors (incorporated by reference to Exhibit 99.1 to the Company’s Current Report on Form 8-K filed May 19, 2014 (File No. 1-7259)).</w:t>
      </w:r>
      <w:r>
        <w:rPr>
          <w:color w:val="231F20"/>
          <w:spacing w:val="1"/>
          <w:sz w:val="20"/>
        </w:rPr>
        <w:t> </w:t>
      </w:r>
      <w:r>
        <w:rPr>
          <w:color w:val="231F20"/>
          <w:sz w:val="20"/>
        </w:rPr>
        <w:t>(2)</w:t>
      </w:r>
    </w:p>
    <w:p>
      <w:pPr>
        <w:pStyle w:val="BodyText"/>
        <w:spacing w:before="7"/>
        <w:rPr>
          <w:sz w:val="19"/>
        </w:rPr>
      </w:pPr>
    </w:p>
    <w:p>
      <w:pPr>
        <w:pStyle w:val="ListParagraph"/>
        <w:numPr>
          <w:ilvl w:val="1"/>
          <w:numId w:val="24"/>
        </w:numPr>
        <w:tabs>
          <w:tab w:pos="1849" w:val="left" w:leader="none"/>
          <w:tab w:pos="1850" w:val="left" w:leader="none"/>
        </w:tabs>
        <w:spacing w:line="242" w:lineRule="auto" w:before="0" w:after="0"/>
        <w:ind w:left="1850" w:right="158" w:hanging="175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 on Form 10- Q for the quarter ended June 30, 2014 (File No. 1-7259)).</w:t>
      </w:r>
      <w:r>
        <w:rPr>
          <w:color w:val="231F20"/>
          <w:spacing w:val="1"/>
          <w:sz w:val="20"/>
        </w:rPr>
        <w:t> </w:t>
      </w:r>
      <w:r>
        <w:rPr>
          <w:color w:val="231F20"/>
          <w:sz w:val="20"/>
        </w:rPr>
        <w:t>(2)</w:t>
      </w:r>
    </w:p>
    <w:p>
      <w:pPr>
        <w:tabs>
          <w:tab w:pos="1849" w:val="left" w:leader="none"/>
        </w:tabs>
        <w:spacing w:before="113"/>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1849" w:val="left" w:leader="none"/>
        </w:tabs>
        <w:spacing w:before="112"/>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5"/>
        </w:numPr>
        <w:tabs>
          <w:tab w:pos="1849" w:val="left" w:leader="none"/>
          <w:tab w:pos="1850" w:val="left" w:leader="none"/>
        </w:tabs>
        <w:spacing w:line="240" w:lineRule="auto" w:before="112" w:after="0"/>
        <w:ind w:left="1850" w:right="0" w:hanging="175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5"/>
        </w:numPr>
        <w:tabs>
          <w:tab w:pos="1849" w:val="left" w:leader="none"/>
          <w:tab w:pos="1850" w:val="left" w:leader="none"/>
        </w:tabs>
        <w:spacing w:line="240" w:lineRule="auto" w:before="112" w:after="0"/>
        <w:ind w:left="1850" w:right="0" w:hanging="175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5"/>
        </w:numPr>
        <w:tabs>
          <w:tab w:pos="1849" w:val="left" w:leader="none"/>
          <w:tab w:pos="1850" w:val="left" w:leader="none"/>
        </w:tabs>
        <w:spacing w:line="357" w:lineRule="auto" w:before="112" w:after="0"/>
        <w:ind w:left="100" w:right="899" w:firstLine="0"/>
        <w:jc w:val="left"/>
        <w:rPr>
          <w:color w:val="231F20"/>
          <w:sz w:val="20"/>
        </w:rPr>
      </w:pPr>
      <w:r>
        <w:rPr>
          <w:color w:val="231F20"/>
          <w:spacing w:val="-3"/>
          <w:sz w:val="20"/>
        </w:rPr>
        <w:t>Section</w:t>
      </w:r>
      <w:r>
        <w:rPr>
          <w:color w:val="231F20"/>
          <w:spacing w:val="-14"/>
          <w:sz w:val="20"/>
        </w:rPr>
        <w:t> </w:t>
      </w:r>
      <w:r>
        <w:rPr>
          <w:color w:val="231F20"/>
          <w:spacing w:val="-3"/>
          <w:sz w:val="20"/>
        </w:rPr>
        <w:t>1350</w:t>
      </w:r>
      <w:r>
        <w:rPr>
          <w:color w:val="231F20"/>
          <w:spacing w:val="-14"/>
          <w:sz w:val="20"/>
        </w:rPr>
        <w:t> </w:t>
      </w:r>
      <w:r>
        <w:rPr>
          <w:color w:val="231F20"/>
          <w:spacing w:val="-3"/>
          <w:sz w:val="20"/>
        </w:rPr>
        <w:t>Certification</w:t>
      </w:r>
      <w:r>
        <w:rPr>
          <w:color w:val="231F20"/>
          <w:spacing w:val="-14"/>
          <w:sz w:val="20"/>
        </w:rPr>
        <w:t> </w:t>
      </w:r>
      <w:r>
        <w:rPr>
          <w:color w:val="231F20"/>
          <w:sz w:val="20"/>
        </w:rPr>
        <w:t>of</w:t>
      </w:r>
      <w:r>
        <w:rPr>
          <w:color w:val="231F20"/>
          <w:spacing w:val="-15"/>
          <w:sz w:val="20"/>
        </w:rPr>
        <w:t> </w:t>
      </w:r>
      <w:r>
        <w:rPr>
          <w:color w:val="231F20"/>
          <w:spacing w:val="-3"/>
          <w:sz w:val="20"/>
        </w:rPr>
        <w:t>Chief</w:t>
      </w:r>
      <w:r>
        <w:rPr>
          <w:color w:val="231F20"/>
          <w:spacing w:val="-15"/>
          <w:sz w:val="20"/>
        </w:rPr>
        <w:t> </w:t>
      </w:r>
      <w:r>
        <w:rPr>
          <w:color w:val="231F20"/>
          <w:spacing w:val="-3"/>
          <w:sz w:val="20"/>
        </w:rPr>
        <w:t>Executive</w:t>
      </w:r>
      <w:r>
        <w:rPr>
          <w:color w:val="231F20"/>
          <w:spacing w:val="-14"/>
          <w:sz w:val="20"/>
        </w:rPr>
        <w:t> </w:t>
      </w:r>
      <w:r>
        <w:rPr>
          <w:color w:val="231F20"/>
          <w:spacing w:val="-3"/>
          <w:sz w:val="20"/>
        </w:rPr>
        <w:t>Officer</w:t>
      </w:r>
      <w:r>
        <w:rPr>
          <w:color w:val="231F20"/>
          <w:spacing w:val="-15"/>
          <w:sz w:val="20"/>
        </w:rPr>
        <w:t> </w:t>
      </w:r>
      <w:r>
        <w:rPr>
          <w:color w:val="231F20"/>
          <w:sz w:val="20"/>
        </w:rPr>
        <w:t>and</w:t>
      </w:r>
      <w:r>
        <w:rPr>
          <w:color w:val="231F20"/>
          <w:spacing w:val="-14"/>
          <w:sz w:val="20"/>
        </w:rPr>
        <w:t> </w:t>
      </w:r>
      <w:r>
        <w:rPr>
          <w:color w:val="231F20"/>
          <w:spacing w:val="-3"/>
          <w:sz w:val="20"/>
        </w:rPr>
        <w:t>Chief</w:t>
      </w:r>
      <w:r>
        <w:rPr>
          <w:color w:val="231F20"/>
          <w:spacing w:val="-15"/>
          <w:sz w:val="20"/>
        </w:rPr>
        <w:t> </w:t>
      </w:r>
      <w:r>
        <w:rPr>
          <w:color w:val="231F20"/>
          <w:spacing w:val="-3"/>
          <w:sz w:val="20"/>
        </w:rPr>
        <w:t>Financial</w:t>
      </w:r>
      <w:r>
        <w:rPr>
          <w:color w:val="231F20"/>
          <w:spacing w:val="-15"/>
          <w:sz w:val="20"/>
        </w:rPr>
        <w:t> </w:t>
      </w:r>
      <w:r>
        <w:rPr>
          <w:color w:val="231F20"/>
          <w:spacing w:val="-3"/>
          <w:sz w:val="20"/>
        </w:rPr>
        <w:t>Officer.</w:t>
      </w:r>
      <w:r>
        <w:rPr>
          <w:color w:val="231F20"/>
          <w:spacing w:val="-14"/>
          <w:sz w:val="20"/>
        </w:rPr>
        <w:t> </w:t>
      </w:r>
      <w:r>
        <w:rPr>
          <w:color w:val="231F20"/>
          <w:spacing w:val="-3"/>
          <w:sz w:val="20"/>
        </w:rPr>
        <w:t>(3) </w:t>
      </w:r>
      <w:r>
        <w:rPr>
          <w:color w:val="231F20"/>
          <w:sz w:val="20"/>
        </w:rPr>
        <w:t>101.INS</w:t>
        <w:tab/>
        <w:t>XBRL Instance</w:t>
      </w:r>
      <w:r>
        <w:rPr>
          <w:color w:val="231F20"/>
          <w:spacing w:val="-1"/>
          <w:sz w:val="20"/>
        </w:rPr>
        <w:t> </w:t>
      </w:r>
      <w:r>
        <w:rPr>
          <w:color w:val="231F20"/>
          <w:sz w:val="20"/>
        </w:rPr>
        <w:t>Document</w:t>
      </w:r>
    </w:p>
    <w:p>
      <w:pPr>
        <w:tabs>
          <w:tab w:pos="1849" w:val="left" w:leader="none"/>
        </w:tabs>
        <w:spacing w:before="3"/>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tabs>
          <w:tab w:pos="1849" w:val="left" w:leader="none"/>
        </w:tabs>
        <w:spacing w:line="357" w:lineRule="auto" w:before="112"/>
        <w:ind w:left="100" w:right="2526" w:firstLine="0"/>
        <w:jc w:val="left"/>
        <w:rPr>
          <w:sz w:val="20"/>
        </w:rPr>
      </w:pPr>
      <w:r>
        <w:rPr>
          <w:color w:val="231F20"/>
          <w:sz w:val="20"/>
        </w:rPr>
        <w:t>101.CAL</w:t>
        <w:tab/>
        <w:t>XBRL Taxonomy Extension Calculation Linkbase Document</w:t>
      </w:r>
      <w:r>
        <w:rPr>
          <w:color w:val="231F20"/>
          <w:w w:val="100"/>
          <w:sz w:val="20"/>
        </w:rPr>
        <w:t> </w:t>
      </w:r>
      <w:r>
        <w:rPr>
          <w:color w:val="231F20"/>
          <w:sz w:val="20"/>
        </w:rPr>
        <w:t>101.DEF</w:t>
        <w:tab/>
        <w:t>XBRL Taxonomy Extension Definition Linkbase Document</w:t>
      </w:r>
      <w:r>
        <w:rPr>
          <w:color w:val="231F20"/>
          <w:w w:val="100"/>
          <w:sz w:val="20"/>
        </w:rPr>
        <w:t> </w:t>
      </w:r>
      <w:r>
        <w:rPr>
          <w:color w:val="231F20"/>
          <w:sz w:val="20"/>
        </w:rPr>
        <w:t>101.LAB</w:t>
        <w:tab/>
        <w:t>XBRL Extension Labels Linkbase</w:t>
      </w:r>
      <w:r>
        <w:rPr>
          <w:color w:val="231F20"/>
          <w:spacing w:val="-1"/>
          <w:sz w:val="20"/>
        </w:rPr>
        <w:t> </w:t>
      </w:r>
      <w:r>
        <w:rPr>
          <w:color w:val="231F20"/>
          <w:sz w:val="20"/>
        </w:rPr>
        <w:t>Document</w:t>
      </w:r>
    </w:p>
    <w:p>
      <w:pPr>
        <w:spacing w:after="0" w:line="357" w:lineRule="auto"/>
        <w:jc w:val="left"/>
        <w:rPr>
          <w:sz w:val="20"/>
        </w:rPr>
        <w:sectPr>
          <w:pgSz w:w="11880" w:h="15480"/>
          <w:pgMar w:header="0" w:footer="1240" w:top="1240" w:bottom="1420" w:left="1280" w:right="1280"/>
        </w:sectPr>
      </w:pPr>
    </w:p>
    <w:p>
      <w:pPr>
        <w:pStyle w:val="ListParagraph"/>
        <w:numPr>
          <w:ilvl w:val="0"/>
          <w:numId w:val="26"/>
        </w:numPr>
        <w:tabs>
          <w:tab w:pos="451" w:val="left" w:leader="none"/>
          <w:tab w:pos="1849" w:val="left" w:leader="none"/>
        </w:tabs>
        <w:spacing w:line="240" w:lineRule="auto" w:before="65" w:after="0"/>
        <w:ind w:left="451" w:right="0" w:hanging="351"/>
        <w:jc w:val="left"/>
        <w:rPr>
          <w:sz w:val="20"/>
        </w:rPr>
      </w:pPr>
      <w:r>
        <w:rPr>
          <w:color w:val="231F20"/>
          <w:sz w:val="20"/>
        </w:rPr>
        <w:t>PRE</w:t>
        <w:tab/>
        <w:t>XBRL Taxonomy Extension Presentation Linkbase</w:t>
      </w:r>
      <w:r>
        <w:rPr>
          <w:color w:val="231F20"/>
          <w:spacing w:val="1"/>
          <w:sz w:val="20"/>
        </w:rPr>
        <w:t> </w:t>
      </w:r>
      <w:r>
        <w:rPr>
          <w:color w:val="231F20"/>
          <w:sz w:val="20"/>
        </w:rPr>
        <w:t>Document</w:t>
      </w:r>
    </w:p>
    <w:p>
      <w:pPr>
        <w:pStyle w:val="BodyText"/>
        <w:spacing w:before="8"/>
        <w:rPr>
          <w:sz w:val="21"/>
        </w:rPr>
      </w:pPr>
    </w:p>
    <w:p>
      <w:pPr>
        <w:pStyle w:val="ListParagraph"/>
        <w:numPr>
          <w:ilvl w:val="1"/>
          <w:numId w:val="26"/>
        </w:numPr>
        <w:tabs>
          <w:tab w:pos="900" w:val="left" w:leader="none"/>
        </w:tabs>
        <w:spacing w:line="249" w:lineRule="auto" w:before="0" w:after="0"/>
        <w:ind w:left="900" w:right="99" w:hanging="400"/>
        <w:jc w:val="both"/>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6"/>
        </w:numPr>
        <w:tabs>
          <w:tab w:pos="900" w:val="left" w:leader="none"/>
        </w:tabs>
        <w:spacing w:line="240" w:lineRule="auto" w:before="1" w:after="0"/>
        <w:ind w:left="90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6"/>
        </w:numPr>
        <w:tabs>
          <w:tab w:pos="900" w:val="left" w:leader="none"/>
        </w:tabs>
        <w:spacing w:line="249" w:lineRule="auto" w:before="10" w:after="0"/>
        <w:ind w:left="900" w:right="98" w:hanging="400"/>
        <w:jc w:val="both"/>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before="1"/>
        <w:ind w:left="100" w:right="101"/>
      </w:pPr>
      <w:r>
        <w:rPr>
          <w:color w:val="231F20"/>
        </w:rPr>
        <w:t>A copy of each exhibit may be obtained at a price of 15 cents per page, $10.00 minimum order, by writing to: Investor Relations, Southwest Airlines Co., P.O. Box 36611, Dallas, Texas 75235-1611.</w:t>
      </w:r>
    </w:p>
    <w:p>
      <w:pPr>
        <w:spacing w:after="0" w:line="247" w:lineRule="auto"/>
        <w:sectPr>
          <w:pgSz w:w="11880" w:h="15480"/>
          <w:pgMar w:header="0" w:footer="1240" w:top="1240" w:bottom="1420" w:left="1280" w:right="1280"/>
        </w:sectPr>
      </w:pPr>
    </w:p>
    <w:p>
      <w:pPr>
        <w:pStyle w:val="BodyText"/>
        <w:spacing w:before="74"/>
        <w:ind w:left="95" w:right="95"/>
        <w:jc w:val="center"/>
      </w:pPr>
      <w:bookmarkStart w:name="Signatures  " w:id="34"/>
      <w:bookmarkEnd w:id="34"/>
      <w:r>
        <w:rPr/>
      </w:r>
      <w:r>
        <w:rPr>
          <w:color w:val="231F20"/>
        </w:rPr>
        <w:t>SIGNATURES</w:t>
      </w:r>
    </w:p>
    <w:p>
      <w:pPr>
        <w:pStyle w:val="BodyText"/>
        <w:spacing w:line="247" w:lineRule="auto" w:before="198"/>
        <w:ind w:left="119" w:right="119"/>
        <w:jc w:val="both"/>
      </w:pPr>
      <w:r>
        <w:rPr>
          <w:color w:val="231F20"/>
        </w:rPr>
        <w:t>Pursuant to the requirements of the Securities Exchange Act of 1934, the Registrant has duly caused this report to be signed on its behalf by the undersigned thereunto duly authorized.</w:t>
      </w:r>
    </w:p>
    <w:p>
      <w:pPr>
        <w:pStyle w:val="BodyText"/>
        <w:spacing w:before="11"/>
        <w:rPr>
          <w:sz w:val="24"/>
        </w:rPr>
      </w:pPr>
    </w:p>
    <w:p>
      <w:pPr>
        <w:pStyle w:val="BodyText"/>
        <w:ind w:left="4410"/>
      </w:pPr>
      <w:r>
        <w:rPr>
          <w:color w:val="231F20"/>
        </w:rPr>
        <w:t>SOUTHWEST AIRLINES CO.</w:t>
      </w:r>
    </w:p>
    <w:p>
      <w:pPr>
        <w:pStyle w:val="BodyText"/>
        <w:tabs>
          <w:tab w:pos="4410" w:val="left" w:leader="none"/>
          <w:tab w:pos="4947" w:val="left" w:leader="none"/>
        </w:tabs>
        <w:spacing w:line="450" w:lineRule="atLeast" w:before="1"/>
        <w:ind w:left="4947" w:right="2815" w:hanging="4828"/>
      </w:pPr>
      <w:r>
        <w:rPr>
          <w:color w:val="231F20"/>
        </w:rPr>
        <w:t>February</w:t>
      </w:r>
      <w:r>
        <w:rPr>
          <w:color w:val="231F20"/>
          <w:spacing w:val="-1"/>
        </w:rPr>
        <w:t> </w:t>
      </w:r>
      <w:r>
        <w:rPr>
          <w:color w:val="231F20"/>
        </w:rPr>
        <w:t>2, 2016</w:t>
        <w:tab/>
        <w:t>By</w:t>
        <w:tab/>
      </w:r>
      <w:r>
        <w:rPr>
          <w:color w:val="231F20"/>
          <w:position w:val="6"/>
          <w:u w:val="single" w:color="231F20"/>
        </w:rPr>
        <w:t>/s/  Tammy</w:t>
      </w:r>
      <w:r>
        <w:rPr>
          <w:color w:val="231F20"/>
          <w:spacing w:val="-1"/>
          <w:position w:val="6"/>
          <w:u w:val="single" w:color="231F20"/>
        </w:rPr>
        <w:t> </w:t>
      </w:r>
      <w:r>
        <w:rPr>
          <w:color w:val="231F20"/>
          <w:position w:val="6"/>
          <w:u w:val="single" w:color="231F20"/>
        </w:rPr>
        <w:t>Romo</w:t>
      </w:r>
      <w:r>
        <w:rPr>
          <w:color w:val="231F20"/>
          <w:position w:val="6"/>
        </w:rPr>
        <w:t> </w:t>
      </w:r>
      <w:r>
        <w:rPr>
          <w:color w:val="231F20"/>
        </w:rPr>
        <w:t>Tammy</w:t>
      </w:r>
      <w:r>
        <w:rPr>
          <w:color w:val="231F20"/>
          <w:spacing w:val="-1"/>
        </w:rPr>
        <w:t> </w:t>
      </w:r>
      <w:r>
        <w:rPr>
          <w:color w:val="231F20"/>
        </w:rPr>
        <w:t>Romo</w:t>
      </w:r>
    </w:p>
    <w:p>
      <w:pPr>
        <w:spacing w:line="247" w:lineRule="auto" w:before="6"/>
        <w:ind w:left="4947" w:right="0" w:firstLine="0"/>
        <w:jc w:val="left"/>
        <w:rPr>
          <w:i/>
          <w:sz w:val="22"/>
        </w:rPr>
      </w:pPr>
      <w:r>
        <w:rPr>
          <w:i/>
          <w:color w:val="231F20"/>
          <w:sz w:val="22"/>
        </w:rPr>
        <w:t>Executive Vice President &amp; Chief Financial </w:t>
      </w:r>
      <w:r>
        <w:rPr>
          <w:i/>
          <w:color w:val="231F20"/>
          <w:sz w:val="22"/>
        </w:rPr>
        <w:t>Officer (On behalf of the Registrant and in</w:t>
      </w:r>
    </w:p>
    <w:p>
      <w:pPr>
        <w:spacing w:line="247" w:lineRule="auto" w:before="0"/>
        <w:ind w:left="4947" w:right="1252" w:firstLine="0"/>
        <w:jc w:val="left"/>
        <w:rPr>
          <w:i/>
          <w:sz w:val="22"/>
        </w:rPr>
      </w:pPr>
      <w:r>
        <w:rPr>
          <w:i/>
          <w:color w:val="231F20"/>
          <w:sz w:val="22"/>
        </w:rPr>
        <w:t>her capacity as Principal Financial </w:t>
      </w:r>
      <w:r>
        <w:rPr>
          <w:i/>
          <w:color w:val="231F20"/>
          <w:sz w:val="22"/>
        </w:rPr>
        <w:t>&amp; Accounting Officer)</w:t>
      </w:r>
    </w:p>
    <w:p>
      <w:pPr>
        <w:pStyle w:val="BodyText"/>
        <w:spacing w:line="247" w:lineRule="auto" w:before="192"/>
        <w:ind w:left="119" w:right="118"/>
        <w:jc w:val="both"/>
      </w:pPr>
      <w:r>
        <w:rPr>
          <w:color w:val="231F20"/>
        </w:rPr>
        <w:t>Pursuant to the requirements of the Securities Exchange Act of 1934, this report has been signed below by the following persons on February 2, 2016, on behalf of the registrant and in the capacities indicated.</w:t>
      </w:r>
    </w:p>
    <w:p>
      <w:pPr>
        <w:tabs>
          <w:tab w:pos="6639" w:val="left" w:leader="none"/>
        </w:tabs>
        <w:spacing w:before="147"/>
        <w:ind w:left="1827" w:right="0" w:firstLine="0"/>
        <w:jc w:val="left"/>
        <w:rPr>
          <w:b/>
          <w:sz w:val="16"/>
        </w:rPr>
      </w:pPr>
      <w:r>
        <w:rPr/>
        <w:pict>
          <v:line style="position:absolute;mso-position-horizontal-relative:page;mso-position-vertical-relative:paragraph;z-index:8608;mso-wrap-distance-left:0;mso-wrap-distance-right:0" from="69pt,18.318756pt" to="273pt,18.318756pt" stroked="true" strokeweight="1pt" strokecolor="#231f20">
            <v:stroke dashstyle="solid"/>
            <w10:wrap type="topAndBottom"/>
          </v:line>
        </w:pict>
      </w:r>
      <w:r>
        <w:rPr/>
        <w:pict>
          <v:line style="position:absolute;mso-position-horizontal-relative:page;mso-position-vertical-relative:paragraph;z-index:8632;mso-wrap-distance-left:0;mso-wrap-distance-right:0" from="293pt,18.318756pt" to="513pt,18.318756pt" stroked="true" strokeweight="1pt" strokecolor="#231f20">
            <v:stroke dashstyle="solid"/>
            <w10:wrap type="topAndBottom"/>
          </v:line>
        </w:pict>
      </w:r>
      <w:r>
        <w:rPr>
          <w:b/>
          <w:color w:val="231F20"/>
          <w:sz w:val="16"/>
        </w:rPr>
        <w:t>Signature</w:t>
        <w:tab/>
        <w:t>Title</w:t>
      </w:r>
    </w:p>
    <w:p>
      <w:pPr>
        <w:spacing w:line="199" w:lineRule="exact" w:before="24"/>
        <w:ind w:left="4600" w:right="0" w:firstLine="0"/>
        <w:jc w:val="left"/>
        <w:rPr>
          <w:sz w:val="20"/>
        </w:rPr>
      </w:pPr>
      <w:r>
        <w:rPr>
          <w:color w:val="231F20"/>
          <w:sz w:val="20"/>
        </w:rPr>
        <w:t>Chairman of the Board, President, &amp; Chief Executive</w:t>
      </w:r>
    </w:p>
    <w:p>
      <w:pPr>
        <w:spacing w:after="0" w:line="199" w:lineRule="exact"/>
        <w:jc w:val="left"/>
        <w:rPr>
          <w:sz w:val="20"/>
        </w:rPr>
        <w:sectPr>
          <w:pgSz w:w="11880" w:h="15480"/>
          <w:pgMar w:header="0" w:footer="1240" w:top="1240" w:bottom="1420" w:left="1260" w:right="1260"/>
        </w:sectPr>
      </w:pPr>
    </w:p>
    <w:p>
      <w:pPr>
        <w:tabs>
          <w:tab w:pos="1207" w:val="left" w:leader="none"/>
          <w:tab w:pos="1609" w:val="left" w:leader="none"/>
          <w:tab w:pos="4199" w:val="left" w:leader="none"/>
        </w:tabs>
        <w:spacing w:line="223" w:lineRule="exact"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GARY C.</w:t>
      </w:r>
      <w:r>
        <w:rPr>
          <w:color w:val="231F20"/>
          <w:spacing w:val="-4"/>
          <w:sz w:val="20"/>
          <w:u w:val="single" w:color="231F20"/>
        </w:rPr>
        <w:t> </w:t>
      </w:r>
      <w:r>
        <w:rPr>
          <w:color w:val="231F20"/>
          <w:sz w:val="20"/>
          <w:u w:val="single" w:color="231F20"/>
        </w:rPr>
        <w:t>KELLY</w:t>
        <w:tab/>
      </w:r>
    </w:p>
    <w:p>
      <w:pPr>
        <w:spacing w:before="67"/>
        <w:ind w:left="121" w:right="0" w:firstLine="0"/>
        <w:jc w:val="center"/>
        <w:rPr>
          <w:b/>
          <w:sz w:val="16"/>
        </w:rPr>
      </w:pPr>
      <w:r>
        <w:rPr>
          <w:b/>
          <w:color w:val="231F20"/>
          <w:sz w:val="16"/>
        </w:rPr>
        <w:t>Gary C. Kelly</w:t>
      </w:r>
    </w:p>
    <w:p>
      <w:pPr>
        <w:pStyle w:val="BodyText"/>
        <w:spacing w:before="3"/>
        <w:rPr>
          <w:b/>
          <w:sz w:val="18"/>
        </w:rPr>
      </w:pPr>
    </w:p>
    <w:p>
      <w:pPr>
        <w:tabs>
          <w:tab w:pos="1250" w:val="left" w:leader="none"/>
          <w:tab w:pos="165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TAMMY</w:t>
      </w:r>
      <w:r>
        <w:rPr>
          <w:color w:val="231F20"/>
          <w:spacing w:val="-2"/>
          <w:sz w:val="20"/>
          <w:u w:val="single" w:color="231F20"/>
        </w:rPr>
        <w:t> </w:t>
      </w:r>
      <w:r>
        <w:rPr>
          <w:color w:val="231F20"/>
          <w:sz w:val="20"/>
          <w:u w:val="single" w:color="231F20"/>
        </w:rPr>
        <w:t>ROMO</w:t>
        <w:tab/>
      </w:r>
    </w:p>
    <w:p>
      <w:pPr>
        <w:spacing w:before="67"/>
        <w:ind w:left="119" w:right="0" w:firstLine="0"/>
        <w:jc w:val="center"/>
        <w:rPr>
          <w:b/>
          <w:sz w:val="16"/>
        </w:rPr>
      </w:pPr>
      <w:r>
        <w:rPr>
          <w:b/>
          <w:color w:val="231F20"/>
          <w:sz w:val="16"/>
        </w:rPr>
        <w:t>Tammy Romo</w:t>
      </w:r>
    </w:p>
    <w:p>
      <w:pPr>
        <w:pStyle w:val="BodyText"/>
        <w:spacing w:before="3"/>
        <w:rPr>
          <w:b/>
          <w:sz w:val="18"/>
        </w:rPr>
      </w:pPr>
    </w:p>
    <w:p>
      <w:pPr>
        <w:tabs>
          <w:tab w:pos="1428" w:val="left" w:leader="none"/>
          <w:tab w:pos="183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RON</w:t>
      </w:r>
      <w:r>
        <w:rPr>
          <w:color w:val="231F20"/>
          <w:spacing w:val="-3"/>
          <w:sz w:val="20"/>
          <w:u w:val="single" w:color="231F20"/>
        </w:rPr>
        <w:t> </w:t>
      </w:r>
      <w:r>
        <w:rPr>
          <w:color w:val="231F20"/>
          <w:sz w:val="20"/>
          <w:u w:val="single" w:color="231F20"/>
        </w:rPr>
        <w:t>RICKS</w:t>
        <w:tab/>
      </w:r>
    </w:p>
    <w:p>
      <w:pPr>
        <w:spacing w:before="66"/>
        <w:ind w:left="119" w:right="0" w:firstLine="0"/>
        <w:jc w:val="center"/>
        <w:rPr>
          <w:b/>
          <w:sz w:val="16"/>
        </w:rPr>
      </w:pPr>
      <w:r>
        <w:rPr>
          <w:b/>
          <w:color w:val="231F20"/>
          <w:sz w:val="16"/>
        </w:rPr>
        <w:t>Ron Ricks</w:t>
      </w:r>
    </w:p>
    <w:p>
      <w:pPr>
        <w:pStyle w:val="BodyText"/>
        <w:spacing w:before="2"/>
        <w:rPr>
          <w:b/>
          <w:sz w:val="18"/>
        </w:rPr>
      </w:pPr>
    </w:p>
    <w:p>
      <w:pPr>
        <w:tabs>
          <w:tab w:pos="1045" w:val="left" w:leader="none"/>
          <w:tab w:pos="1447"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DAVID W.</w:t>
      </w:r>
      <w:r>
        <w:rPr>
          <w:color w:val="231F20"/>
          <w:spacing w:val="-3"/>
          <w:sz w:val="20"/>
          <w:u w:val="single" w:color="231F20"/>
        </w:rPr>
        <w:t> </w:t>
      </w:r>
      <w:r>
        <w:rPr>
          <w:color w:val="231F20"/>
          <w:sz w:val="20"/>
          <w:u w:val="single" w:color="231F20"/>
        </w:rPr>
        <w:t>BIEGLER</w:t>
        <w:tab/>
      </w:r>
    </w:p>
    <w:p>
      <w:pPr>
        <w:spacing w:before="67"/>
        <w:ind w:left="119" w:right="0" w:firstLine="0"/>
        <w:jc w:val="center"/>
        <w:rPr>
          <w:b/>
          <w:sz w:val="16"/>
        </w:rPr>
      </w:pPr>
      <w:r>
        <w:rPr>
          <w:b/>
          <w:color w:val="231F20"/>
          <w:sz w:val="16"/>
        </w:rPr>
        <w:t>David W. Biegler</w:t>
      </w:r>
    </w:p>
    <w:p>
      <w:pPr>
        <w:pStyle w:val="BodyText"/>
        <w:spacing w:before="3"/>
        <w:rPr>
          <w:b/>
          <w:sz w:val="18"/>
        </w:rPr>
      </w:pPr>
    </w:p>
    <w:p>
      <w:pPr>
        <w:tabs>
          <w:tab w:pos="948" w:val="left" w:leader="none"/>
          <w:tab w:pos="135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J.VERONICA</w:t>
      </w:r>
      <w:r>
        <w:rPr>
          <w:color w:val="231F20"/>
          <w:spacing w:val="-3"/>
          <w:sz w:val="20"/>
          <w:u w:val="single" w:color="231F20"/>
        </w:rPr>
        <w:t> </w:t>
      </w:r>
      <w:r>
        <w:rPr>
          <w:color w:val="231F20"/>
          <w:sz w:val="20"/>
          <w:u w:val="single" w:color="231F20"/>
        </w:rPr>
        <w:t>BIGGINS</w:t>
        <w:tab/>
      </w:r>
    </w:p>
    <w:p>
      <w:pPr>
        <w:spacing w:before="67"/>
        <w:ind w:left="120" w:right="0" w:firstLine="0"/>
        <w:jc w:val="center"/>
        <w:rPr>
          <w:b/>
          <w:sz w:val="16"/>
        </w:rPr>
      </w:pPr>
      <w:r>
        <w:rPr>
          <w:b/>
          <w:color w:val="231F20"/>
          <w:sz w:val="16"/>
        </w:rPr>
        <w:t>J.Veronica Biggins</w:t>
      </w:r>
    </w:p>
    <w:p>
      <w:pPr>
        <w:pStyle w:val="BodyText"/>
        <w:spacing w:before="3"/>
        <w:rPr>
          <w:b/>
          <w:sz w:val="18"/>
        </w:rPr>
      </w:pPr>
    </w:p>
    <w:p>
      <w:pPr>
        <w:tabs>
          <w:tab w:pos="930" w:val="left" w:leader="none"/>
          <w:tab w:pos="133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DOUGLAS H.</w:t>
      </w:r>
      <w:r>
        <w:rPr>
          <w:color w:val="231F20"/>
          <w:spacing w:val="-5"/>
          <w:sz w:val="20"/>
          <w:u w:val="single" w:color="231F20"/>
        </w:rPr>
        <w:t> </w:t>
      </w:r>
      <w:r>
        <w:rPr>
          <w:color w:val="231F20"/>
          <w:sz w:val="20"/>
          <w:u w:val="single" w:color="231F20"/>
        </w:rPr>
        <w:t>BROOKS</w:t>
        <w:tab/>
      </w:r>
    </w:p>
    <w:p>
      <w:pPr>
        <w:spacing w:before="66"/>
        <w:ind w:left="119" w:right="0" w:firstLine="0"/>
        <w:jc w:val="center"/>
        <w:rPr>
          <w:b/>
          <w:sz w:val="16"/>
        </w:rPr>
      </w:pPr>
      <w:r>
        <w:rPr>
          <w:b/>
          <w:color w:val="231F20"/>
          <w:sz w:val="16"/>
        </w:rPr>
        <w:t>Douglas H. Brooks</w:t>
      </w:r>
    </w:p>
    <w:p>
      <w:pPr>
        <w:pStyle w:val="BodyText"/>
        <w:spacing w:before="2"/>
        <w:rPr>
          <w:b/>
          <w:sz w:val="18"/>
        </w:rPr>
      </w:pPr>
    </w:p>
    <w:p>
      <w:pPr>
        <w:tabs>
          <w:tab w:pos="673" w:val="left" w:leader="none"/>
          <w:tab w:pos="1075"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WILLIAM H.</w:t>
      </w:r>
      <w:r>
        <w:rPr>
          <w:color w:val="231F20"/>
          <w:spacing w:val="-2"/>
          <w:sz w:val="20"/>
          <w:u w:val="single" w:color="231F20"/>
        </w:rPr>
        <w:t> </w:t>
      </w:r>
      <w:r>
        <w:rPr>
          <w:color w:val="231F20"/>
          <w:sz w:val="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3"/>
        <w:rPr>
          <w:b/>
          <w:sz w:val="18"/>
        </w:rPr>
      </w:pPr>
    </w:p>
    <w:p>
      <w:pPr>
        <w:tabs>
          <w:tab w:pos="1118" w:val="left" w:leader="none"/>
          <w:tab w:pos="1520"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G.</w:t>
      </w:r>
      <w:r>
        <w:rPr>
          <w:color w:val="231F20"/>
          <w:spacing w:val="-3"/>
          <w:sz w:val="20"/>
          <w:u w:val="single" w:color="231F20"/>
        </w:rPr>
        <w:t> </w:t>
      </w:r>
      <w:r>
        <w:rPr>
          <w:color w:val="231F20"/>
          <w:sz w:val="20"/>
          <w:u w:val="single" w:color="231F20"/>
        </w:rPr>
        <w:t>DENISON</w:t>
        <w:tab/>
      </w:r>
    </w:p>
    <w:p>
      <w:pPr>
        <w:spacing w:before="67"/>
        <w:ind w:left="119" w:right="0" w:firstLine="0"/>
        <w:jc w:val="center"/>
        <w:rPr>
          <w:b/>
          <w:sz w:val="16"/>
        </w:rPr>
      </w:pPr>
      <w:r>
        <w:rPr>
          <w:b/>
          <w:color w:val="231F20"/>
          <w:sz w:val="16"/>
        </w:rPr>
        <w:t>John G. Denison</w:t>
      </w:r>
    </w:p>
    <w:p>
      <w:pPr>
        <w:pStyle w:val="BodyText"/>
        <w:spacing w:before="3"/>
        <w:rPr>
          <w:b/>
          <w:sz w:val="18"/>
        </w:rPr>
      </w:pPr>
    </w:p>
    <w:p>
      <w:pPr>
        <w:tabs>
          <w:tab w:pos="890" w:val="left" w:leader="none"/>
          <w:tab w:pos="129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THOMAS W.</w:t>
      </w:r>
      <w:r>
        <w:rPr>
          <w:color w:val="231F20"/>
          <w:spacing w:val="-3"/>
          <w:sz w:val="20"/>
          <w:u w:val="single" w:color="231F20"/>
        </w:rPr>
        <w:t> </w:t>
      </w:r>
      <w:r>
        <w:rPr>
          <w:color w:val="231F20"/>
          <w:sz w:val="20"/>
          <w:u w:val="single" w:color="231F20"/>
        </w:rPr>
        <w:t>GILLIGAN</w:t>
        <w:tab/>
      </w:r>
    </w:p>
    <w:p>
      <w:pPr>
        <w:spacing w:before="66"/>
        <w:ind w:left="122" w:right="0" w:firstLine="0"/>
        <w:jc w:val="center"/>
        <w:rPr>
          <w:b/>
          <w:sz w:val="16"/>
        </w:rPr>
      </w:pPr>
      <w:r>
        <w:rPr>
          <w:b/>
          <w:color w:val="231F20"/>
          <w:sz w:val="16"/>
        </w:rPr>
        <w:t>Thomas W. Gilligan</w:t>
      </w:r>
    </w:p>
    <w:p>
      <w:pPr>
        <w:pStyle w:val="BodyText"/>
        <w:spacing w:before="2"/>
        <w:rPr>
          <w:b/>
          <w:sz w:val="18"/>
        </w:rPr>
      </w:pPr>
    </w:p>
    <w:p>
      <w:pPr>
        <w:tabs>
          <w:tab w:pos="1043" w:val="left" w:leader="none"/>
          <w:tab w:pos="4199" w:val="left" w:leader="none"/>
        </w:tabs>
        <w:spacing w:before="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 NANCY B.</w:t>
      </w:r>
      <w:r>
        <w:rPr>
          <w:color w:val="231F20"/>
          <w:spacing w:val="2"/>
          <w:sz w:val="20"/>
          <w:u w:val="single" w:color="231F20"/>
        </w:rPr>
        <w:t> </w:t>
      </w:r>
      <w:r>
        <w:rPr>
          <w:color w:val="231F20"/>
          <w:sz w:val="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3"/>
        <w:rPr>
          <w:b/>
          <w:sz w:val="18"/>
        </w:rPr>
      </w:pPr>
    </w:p>
    <w:p>
      <w:pPr>
        <w:tabs>
          <w:tab w:pos="1082" w:val="left" w:leader="none"/>
          <w:tab w:pos="4199" w:val="left" w:leader="none"/>
        </w:tabs>
        <w:spacing w:before="0"/>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 JOHN T.</w:t>
      </w:r>
      <w:r>
        <w:rPr>
          <w:color w:val="231F20"/>
          <w:spacing w:val="3"/>
          <w:sz w:val="20"/>
          <w:u w:val="single" w:color="231F20"/>
        </w:rPr>
        <w:t> </w:t>
      </w:r>
      <w:r>
        <w:rPr>
          <w:color w:val="231F20"/>
          <w:sz w:val="20"/>
          <w:u w:val="single" w:color="231F20"/>
        </w:rPr>
        <w:t>MONTFORD</w:t>
        <w:tab/>
      </w:r>
    </w:p>
    <w:p>
      <w:pPr>
        <w:spacing w:before="67"/>
        <w:ind w:left="119" w:right="0" w:firstLine="0"/>
        <w:jc w:val="center"/>
        <w:rPr>
          <w:b/>
          <w:sz w:val="16"/>
        </w:rPr>
      </w:pPr>
      <w:r>
        <w:rPr>
          <w:b/>
          <w:color w:val="231F20"/>
          <w:sz w:val="16"/>
        </w:rPr>
        <w:t>John T. Montford</w:t>
      </w:r>
    </w:p>
    <w:p>
      <w:pPr>
        <w:spacing w:before="40"/>
        <w:ind w:left="120" w:right="0" w:firstLine="0"/>
        <w:jc w:val="both"/>
        <w:rPr>
          <w:sz w:val="20"/>
        </w:rPr>
      </w:pPr>
      <w:r>
        <w:rPr/>
        <w:br w:type="column"/>
      </w:r>
      <w:r>
        <w:rPr>
          <w:color w:val="231F20"/>
          <w:sz w:val="20"/>
        </w:rPr>
        <w:t>Officer (Principal Executive Officer)</w:t>
      </w:r>
    </w:p>
    <w:p>
      <w:pPr>
        <w:pStyle w:val="BodyText"/>
      </w:pPr>
    </w:p>
    <w:p>
      <w:pPr>
        <w:spacing w:line="249" w:lineRule="auto" w:before="160"/>
        <w:ind w:left="120" w:right="597" w:firstLine="0"/>
        <w:jc w:val="left"/>
        <w:rPr>
          <w:sz w:val="20"/>
        </w:rPr>
      </w:pPr>
      <w:r>
        <w:rPr>
          <w:color w:val="231F20"/>
          <w:sz w:val="20"/>
        </w:rPr>
        <w:t>Executive Vice President &amp; Chief Financial Officer (Principal Financial &amp; Accounting Officer)</w:t>
      </w:r>
    </w:p>
    <w:p>
      <w:pPr>
        <w:pStyle w:val="BodyText"/>
        <w:spacing w:before="5"/>
        <w:rPr>
          <w:sz w:val="18"/>
        </w:rPr>
      </w:pPr>
    </w:p>
    <w:p>
      <w:pPr>
        <w:spacing w:line="722" w:lineRule="auto" w:before="1"/>
        <w:ind w:left="120" w:right="2474" w:firstLine="0"/>
        <w:jc w:val="left"/>
        <w:rPr>
          <w:sz w:val="20"/>
        </w:rPr>
      </w:pPr>
      <w:r>
        <w:rPr>
          <w:color w:val="231F20"/>
          <w:sz w:val="20"/>
        </w:rPr>
        <w:t>Vice Chairman of the Board Director</w:t>
      </w:r>
    </w:p>
    <w:p>
      <w:pPr>
        <w:spacing w:line="722" w:lineRule="auto" w:before="17"/>
        <w:ind w:left="120" w:right="4091" w:firstLine="0"/>
        <w:jc w:val="both"/>
        <w:rPr>
          <w:sz w:val="20"/>
        </w:rPr>
      </w:pPr>
      <w:r>
        <w:rPr>
          <w:color w:val="231F20"/>
          <w:sz w:val="20"/>
        </w:rPr>
        <w:t>Director Director Director Director Director Director</w:t>
      </w:r>
    </w:p>
    <w:p>
      <w:pPr>
        <w:spacing w:before="17"/>
        <w:ind w:left="120" w:right="0" w:firstLine="0"/>
        <w:jc w:val="both"/>
        <w:rPr>
          <w:sz w:val="20"/>
        </w:rPr>
      </w:pPr>
      <w:r>
        <w:rPr>
          <w:color w:val="231F20"/>
          <w:sz w:val="20"/>
        </w:rPr>
        <w:t>Director</w:t>
      </w:r>
    </w:p>
    <w:p>
      <w:pPr>
        <w:spacing w:after="0"/>
        <w:jc w:val="both"/>
        <w:rPr>
          <w:sz w:val="20"/>
        </w:rPr>
        <w:sectPr>
          <w:type w:val="continuous"/>
          <w:pgSz w:w="11880" w:h="15480"/>
          <w:pgMar w:top="1260" w:bottom="280" w:left="1260" w:right="1260"/>
          <w:cols w:num="2" w:equalWidth="0">
            <w:col w:w="4200" w:space="280"/>
            <w:col w:w="488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28"/>
          <w:pgSz w:w="11880" w:h="15480"/>
          <w:pgMar w:footer="0" w:header="0" w:top="14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29"/>
          <w:pgSz w:w="11880" w:h="15480"/>
          <w:pgMar w:footer="0" w:header="0" w:top="14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BodyText"/>
        <w:ind w:left="2020"/>
      </w:pPr>
      <w:r>
        <w:rPr>
          <w:color w:val="231F20"/>
        </w:rPr>
        <w:t>[THIS PAGE INTENTIONALLY LEFT BLANK]</w:t>
      </w:r>
    </w:p>
    <w:p>
      <w:pPr>
        <w:spacing w:after="0"/>
        <w:sectPr>
          <w:footerReference w:type="default" r:id="rId30"/>
          <w:pgSz w:w="11880" w:h="15480"/>
          <w:pgMar w:footer="0" w:header="0" w:top="1460" w:bottom="280" w:left="1680" w:right="1680"/>
        </w:sectPr>
      </w:pPr>
    </w:p>
    <w:p>
      <w:pPr>
        <w:spacing w:before="73"/>
        <w:ind w:left="3516" w:right="3354" w:firstLine="0"/>
        <w:jc w:val="center"/>
        <w:rPr>
          <w:b/>
          <w:sz w:val="20"/>
        </w:rPr>
      </w:pPr>
      <w:r>
        <w:rPr>
          <w:b/>
          <w:color w:val="231F20"/>
          <w:sz w:val="20"/>
        </w:rPr>
        <w:t>BOARD OF DIRECTORS</w:t>
      </w:r>
    </w:p>
    <w:p>
      <w:pPr>
        <w:pStyle w:val="BodyText"/>
        <w:rPr>
          <w:b/>
          <w:sz w:val="20"/>
        </w:rPr>
      </w:pPr>
    </w:p>
    <w:p>
      <w:pPr>
        <w:pStyle w:val="BodyText"/>
        <w:rPr>
          <w:b/>
          <w:sz w:val="20"/>
        </w:rPr>
      </w:pPr>
    </w:p>
    <w:p>
      <w:pPr>
        <w:spacing w:after="0"/>
        <w:rPr>
          <w:sz w:val="20"/>
        </w:rPr>
        <w:sectPr>
          <w:footerReference w:type="default" r:id="rId31"/>
          <w:pgSz w:w="11880" w:h="15480"/>
          <w:pgMar w:footer="0" w:header="0" w:top="1240" w:bottom="280" w:left="1260" w:right="1420"/>
        </w:sectPr>
      </w:pPr>
    </w:p>
    <w:p>
      <w:pPr>
        <w:pStyle w:val="BodyText"/>
        <w:spacing w:before="5"/>
        <w:rPr>
          <w:b/>
          <w:sz w:val="23"/>
        </w:rPr>
      </w:pPr>
    </w:p>
    <w:p>
      <w:pPr>
        <w:spacing w:before="0"/>
        <w:ind w:left="119" w:right="0" w:firstLine="0"/>
        <w:jc w:val="left"/>
        <w:rPr>
          <w:b/>
          <w:sz w:val="20"/>
        </w:rPr>
      </w:pPr>
      <w:r>
        <w:rPr>
          <w:b/>
          <w:color w:val="231F20"/>
          <w:sz w:val="20"/>
        </w:rPr>
        <w:t>DAVID W. BIEGLER</w:t>
      </w:r>
    </w:p>
    <w:p>
      <w:pPr>
        <w:spacing w:before="129"/>
        <w:ind w:left="119" w:right="0" w:firstLine="0"/>
        <w:jc w:val="left"/>
        <w:rPr>
          <w:sz w:val="20"/>
        </w:rPr>
      </w:pPr>
      <w:r>
        <w:rPr>
          <w:color w:val="231F20"/>
          <w:sz w:val="20"/>
        </w:rPr>
        <w:t>Chairman</w:t>
      </w:r>
    </w:p>
    <w:p>
      <w:pPr>
        <w:spacing w:line="249" w:lineRule="auto" w:before="9"/>
        <w:ind w:left="119" w:right="404" w:firstLine="0"/>
        <w:jc w:val="left"/>
        <w:rPr>
          <w:sz w:val="20"/>
        </w:rPr>
      </w:pPr>
      <w:r>
        <w:rPr>
          <w:color w:val="231F20"/>
          <w:sz w:val="20"/>
        </w:rPr>
        <w:t>Southcross Energy Partners GP, LLC (midstream natural gas company)</w:t>
      </w:r>
    </w:p>
    <w:p>
      <w:pPr>
        <w:spacing w:before="1"/>
        <w:ind w:left="119" w:right="0" w:firstLine="0"/>
        <w:jc w:val="left"/>
        <w:rPr>
          <w:sz w:val="20"/>
        </w:rPr>
      </w:pPr>
      <w:r>
        <w:rPr>
          <w:color w:val="231F20"/>
          <w:sz w:val="20"/>
        </w:rPr>
        <w:t>Retired Vice Chairman of TXU Corp.</w:t>
      </w:r>
    </w:p>
    <w:p>
      <w:pPr>
        <w:spacing w:line="249" w:lineRule="auto" w:before="10"/>
        <w:ind w:left="119" w:right="137"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J. VERONICA BIGGINS</w:t>
      </w:r>
    </w:p>
    <w:p>
      <w:pPr>
        <w:spacing w:before="130"/>
        <w:ind w:left="119" w:right="0" w:firstLine="0"/>
        <w:jc w:val="left"/>
        <w:rPr>
          <w:sz w:val="20"/>
        </w:rPr>
      </w:pPr>
      <w:r>
        <w:rPr>
          <w:color w:val="231F20"/>
          <w:sz w:val="20"/>
        </w:rPr>
        <w:t>Managing Partner</w:t>
      </w:r>
    </w:p>
    <w:p>
      <w:pPr>
        <w:spacing w:line="249" w:lineRule="auto" w:before="10"/>
        <w:ind w:left="119" w:right="710" w:firstLine="0"/>
        <w:jc w:val="left"/>
        <w:rPr>
          <w:sz w:val="20"/>
        </w:rPr>
      </w:pPr>
      <w:r>
        <w:rPr>
          <w:color w:val="231F20"/>
          <w:sz w:val="20"/>
        </w:rPr>
        <w:t>Diversified Search LLC (executive and board search firm)</w:t>
      </w:r>
    </w:p>
    <w:p>
      <w:pPr>
        <w:spacing w:line="249" w:lineRule="auto" w:before="1"/>
        <w:ind w:left="119" w:right="592"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1"/>
        <w:rPr>
          <w:i/>
          <w:sz w:val="20"/>
        </w:rPr>
      </w:pPr>
    </w:p>
    <w:p>
      <w:pPr>
        <w:spacing w:before="0"/>
        <w:ind w:left="119" w:right="0" w:firstLine="0"/>
        <w:jc w:val="left"/>
        <w:rPr>
          <w:b/>
          <w:sz w:val="20"/>
        </w:rPr>
      </w:pPr>
      <w:r>
        <w:rPr>
          <w:b/>
          <w:color w:val="231F20"/>
          <w:sz w:val="20"/>
        </w:rPr>
        <w:t>DOUGLAS H. BROOKS</w:t>
      </w:r>
    </w:p>
    <w:p>
      <w:pPr>
        <w:spacing w:line="249" w:lineRule="auto" w:before="130"/>
        <w:ind w:left="119" w:right="154" w:firstLine="0"/>
        <w:jc w:val="left"/>
        <w:rPr>
          <w:sz w:val="20"/>
        </w:rPr>
      </w:pPr>
      <w:r>
        <w:rPr>
          <w:color w:val="231F20"/>
          <w:sz w:val="20"/>
        </w:rPr>
        <w:t>Former Chairman of the Board, President, and Chief Executive Officer</w:t>
      </w:r>
    </w:p>
    <w:p>
      <w:pPr>
        <w:spacing w:line="249" w:lineRule="auto" w:before="1"/>
        <w:ind w:left="119" w:right="255" w:firstLine="0"/>
        <w:jc w:val="left"/>
        <w:rPr>
          <w:sz w:val="20"/>
        </w:rPr>
      </w:pPr>
      <w:r>
        <w:rPr>
          <w:color w:val="231F20"/>
          <w:sz w:val="20"/>
        </w:rPr>
        <w:t>Brinker International, Inc. (casual dining restaurant company)</w:t>
      </w:r>
    </w:p>
    <w:p>
      <w:pPr>
        <w:spacing w:line="249" w:lineRule="auto" w:before="1"/>
        <w:ind w:left="119" w:right="237"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WILLIAM H. CUNNINGHAM, PHD</w:t>
      </w:r>
    </w:p>
    <w:p>
      <w:pPr>
        <w:spacing w:before="10"/>
        <w:ind w:left="119" w:right="0" w:firstLine="0"/>
        <w:jc w:val="left"/>
        <w:rPr>
          <w:b/>
          <w:sz w:val="20"/>
        </w:rPr>
      </w:pPr>
      <w:r>
        <w:rPr>
          <w:b/>
          <w:color w:val="231F20"/>
          <w:sz w:val="20"/>
        </w:rPr>
        <w:t>(Presiding Director)</w:t>
      </w:r>
    </w:p>
    <w:p>
      <w:pPr>
        <w:spacing w:before="130"/>
        <w:ind w:left="119" w:right="0" w:firstLine="0"/>
        <w:jc w:val="left"/>
        <w:rPr>
          <w:sz w:val="20"/>
        </w:rPr>
      </w:pPr>
      <w:r>
        <w:rPr>
          <w:color w:val="231F20"/>
          <w:sz w:val="20"/>
        </w:rPr>
        <w:t>James L. Bayless Chair for Free Enterprise</w:t>
      </w:r>
    </w:p>
    <w:p>
      <w:pPr>
        <w:spacing w:line="249" w:lineRule="auto" w:before="10"/>
        <w:ind w:left="119" w:right="376" w:firstLine="0"/>
        <w:jc w:val="left"/>
        <w:rPr>
          <w:sz w:val="20"/>
        </w:rPr>
      </w:pPr>
      <w:r>
        <w:rPr>
          <w:color w:val="231F20"/>
          <w:sz w:val="20"/>
        </w:rPr>
        <w:t>The University of Texas at Austin Red McCombs School of Business</w:t>
      </w:r>
    </w:p>
    <w:p>
      <w:pPr>
        <w:spacing w:line="249" w:lineRule="auto" w:before="1"/>
        <w:ind w:left="119" w:right="-13" w:firstLine="0"/>
        <w:jc w:val="left"/>
        <w:rPr>
          <w:i/>
          <w:sz w:val="20"/>
        </w:rPr>
      </w:pPr>
      <w:r>
        <w:rPr>
          <w:color w:val="231F20"/>
          <w:sz w:val="20"/>
        </w:rPr>
        <w:t>Former Chancellor of The University of Texas System </w:t>
      </w: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415" w:firstLine="0"/>
        <w:jc w:val="left"/>
        <w:rPr>
          <w:sz w:val="20"/>
        </w:rPr>
      </w:pPr>
      <w:r>
        <w:rPr>
          <w:color w:val="231F20"/>
          <w:sz w:val="20"/>
        </w:rPr>
        <w:t>Global Aero Logistics Inc. (diversified passenger airline)</w:t>
      </w:r>
    </w:p>
    <w:p>
      <w:pPr>
        <w:spacing w:line="249" w:lineRule="auto" w:before="1"/>
        <w:ind w:left="119" w:right="215" w:firstLine="0"/>
        <w:jc w:val="left"/>
        <w:rPr>
          <w:i/>
          <w:sz w:val="20"/>
        </w:rPr>
      </w:pPr>
      <w:r>
        <w:rPr>
          <w:i/>
          <w:color w:val="231F20"/>
          <w:sz w:val="20"/>
        </w:rPr>
        <w:t>Audit Committee, Safety and Compliance Oversight </w:t>
      </w:r>
      <w:r>
        <w:rPr>
          <w:i/>
          <w:color w:val="231F20"/>
          <w:sz w:val="20"/>
        </w:rPr>
        <w:t>Committee (Chair), and Executive Committee</w:t>
      </w:r>
    </w:p>
    <w:p>
      <w:pPr>
        <w:pStyle w:val="BodyText"/>
        <w:spacing w:before="10"/>
        <w:rPr>
          <w:i/>
          <w:sz w:val="20"/>
        </w:rPr>
      </w:pPr>
    </w:p>
    <w:p>
      <w:pPr>
        <w:spacing w:before="1"/>
        <w:ind w:left="119" w:right="0" w:firstLine="0"/>
        <w:jc w:val="left"/>
        <w:rPr>
          <w:b/>
          <w:sz w:val="20"/>
        </w:rPr>
      </w:pPr>
      <w:r>
        <w:rPr>
          <w:b/>
          <w:color w:val="231F20"/>
          <w:sz w:val="20"/>
        </w:rPr>
        <w:t>THOMAS W. GILLIGAN, PHD</w:t>
      </w:r>
    </w:p>
    <w:p>
      <w:pPr>
        <w:spacing w:line="249" w:lineRule="auto" w:before="130"/>
        <w:ind w:left="119" w:right="-6" w:firstLine="0"/>
        <w:jc w:val="left"/>
        <w:rPr>
          <w:sz w:val="20"/>
        </w:rPr>
      </w:pPr>
      <w:r>
        <w:rPr>
          <w:color w:val="231F20"/>
          <w:sz w:val="20"/>
        </w:rPr>
        <w:t>Tad</w:t>
      </w:r>
      <w:r>
        <w:rPr>
          <w:color w:val="231F20"/>
          <w:spacing w:val="-14"/>
          <w:sz w:val="20"/>
        </w:rPr>
        <w:t> </w:t>
      </w:r>
      <w:r>
        <w:rPr>
          <w:color w:val="231F20"/>
          <w:sz w:val="20"/>
        </w:rPr>
        <w:t>and</w:t>
      </w:r>
      <w:r>
        <w:rPr>
          <w:color w:val="231F20"/>
          <w:spacing w:val="-14"/>
          <w:sz w:val="20"/>
        </w:rPr>
        <w:t> </w:t>
      </w:r>
      <w:r>
        <w:rPr>
          <w:color w:val="231F20"/>
          <w:sz w:val="20"/>
        </w:rPr>
        <w:t>Diane</w:t>
      </w:r>
      <w:r>
        <w:rPr>
          <w:color w:val="231F20"/>
          <w:spacing w:val="-14"/>
          <w:sz w:val="20"/>
        </w:rPr>
        <w:t> </w:t>
      </w:r>
      <w:r>
        <w:rPr>
          <w:color w:val="231F20"/>
          <w:sz w:val="20"/>
        </w:rPr>
        <w:t>Taube</w:t>
      </w:r>
      <w:r>
        <w:rPr>
          <w:color w:val="231F20"/>
          <w:spacing w:val="-14"/>
          <w:sz w:val="20"/>
        </w:rPr>
        <w:t> </w:t>
      </w:r>
      <w:r>
        <w:rPr>
          <w:color w:val="231F20"/>
          <w:sz w:val="20"/>
        </w:rPr>
        <w:t>Director</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Hoover</w:t>
      </w:r>
      <w:r>
        <w:rPr>
          <w:color w:val="231F20"/>
          <w:spacing w:val="-14"/>
          <w:sz w:val="20"/>
        </w:rPr>
        <w:t> </w:t>
      </w:r>
      <w:r>
        <w:rPr>
          <w:color w:val="231F20"/>
          <w:sz w:val="20"/>
        </w:rPr>
        <w:t>Institution at Stanford</w:t>
      </w:r>
      <w:r>
        <w:rPr>
          <w:color w:val="231F20"/>
          <w:spacing w:val="1"/>
          <w:sz w:val="20"/>
        </w:rPr>
        <w:t> </w:t>
      </w:r>
      <w:r>
        <w:rPr>
          <w:color w:val="231F20"/>
          <w:sz w:val="20"/>
        </w:rPr>
        <w:t>University</w:t>
      </w:r>
    </w:p>
    <w:p>
      <w:pPr>
        <w:spacing w:line="249" w:lineRule="auto" w:before="1"/>
        <w:ind w:left="119" w:right="31" w:firstLine="0"/>
        <w:jc w:val="left"/>
        <w:rPr>
          <w:i/>
          <w:sz w:val="20"/>
        </w:rPr>
      </w:pPr>
      <w:r>
        <w:rPr>
          <w:i/>
          <w:color w:val="231F20"/>
          <w:sz w:val="20"/>
        </w:rPr>
        <w:t>Compensation Committee and Safety and Compliance </w:t>
      </w:r>
      <w:r>
        <w:rPr>
          <w:i/>
          <w:color w:val="231F20"/>
          <w:sz w:val="20"/>
        </w:rPr>
        <w:t>Oversight Committee</w:t>
      </w:r>
    </w:p>
    <w:p>
      <w:pPr>
        <w:pStyle w:val="BodyText"/>
        <w:spacing w:before="5"/>
        <w:rPr>
          <w:i/>
          <w:sz w:val="23"/>
        </w:rPr>
      </w:pPr>
      <w:r>
        <w:rPr/>
        <w:br w:type="column"/>
      </w:r>
      <w:r>
        <w:rPr>
          <w:i/>
          <w:sz w:val="23"/>
        </w:rPr>
      </w:r>
    </w:p>
    <w:p>
      <w:pPr>
        <w:spacing w:before="0"/>
        <w:ind w:left="120" w:right="0" w:firstLine="0"/>
        <w:jc w:val="left"/>
        <w:rPr>
          <w:b/>
          <w:sz w:val="20"/>
        </w:rPr>
      </w:pPr>
      <w:r>
        <w:rPr>
          <w:b/>
          <w:color w:val="231F20"/>
          <w:sz w:val="20"/>
        </w:rPr>
        <w:t>GARY C. KELLY</w:t>
      </w:r>
    </w:p>
    <w:p>
      <w:pPr>
        <w:spacing w:line="249" w:lineRule="auto" w:before="129"/>
        <w:ind w:left="120" w:right="754" w:firstLine="0"/>
        <w:jc w:val="left"/>
        <w:rPr>
          <w:sz w:val="20"/>
        </w:rPr>
      </w:pPr>
      <w:r>
        <w:rPr>
          <w:color w:val="231F20"/>
          <w:sz w:val="20"/>
        </w:rPr>
        <w:t>Chairman of the Board, President, and Chief Executive Officer</w:t>
      </w:r>
    </w:p>
    <w:p>
      <w:pPr>
        <w:spacing w:before="0"/>
        <w:ind w:left="120" w:right="0" w:firstLine="0"/>
        <w:jc w:val="left"/>
        <w:rPr>
          <w:sz w:val="20"/>
        </w:rPr>
      </w:pPr>
      <w:r>
        <w:rPr>
          <w:color w:val="231F20"/>
          <w:sz w:val="20"/>
        </w:rPr>
        <w:t>Southwest Airlines Co.</w:t>
      </w:r>
    </w:p>
    <w:p>
      <w:pPr>
        <w:spacing w:before="9"/>
        <w:ind w:left="120" w:right="0" w:firstLine="0"/>
        <w:jc w:val="left"/>
        <w:rPr>
          <w:i/>
          <w:sz w:val="20"/>
        </w:rPr>
      </w:pPr>
      <w:r>
        <w:rPr>
          <w:i/>
          <w:color w:val="231F20"/>
          <w:sz w:val="20"/>
        </w:rPr>
        <w:t>Executive Committee (Chair)</w:t>
      </w:r>
    </w:p>
    <w:p>
      <w:pPr>
        <w:pStyle w:val="BodyText"/>
        <w:spacing w:before="7"/>
        <w:rPr>
          <w:i/>
          <w:sz w:val="21"/>
        </w:rPr>
      </w:pPr>
    </w:p>
    <w:p>
      <w:pPr>
        <w:spacing w:before="1"/>
        <w:ind w:left="120" w:right="0" w:firstLine="0"/>
        <w:jc w:val="left"/>
        <w:rPr>
          <w:b/>
          <w:sz w:val="20"/>
        </w:rPr>
      </w:pPr>
      <w:r>
        <w:rPr>
          <w:b/>
          <w:color w:val="231F20"/>
          <w:sz w:val="20"/>
        </w:rPr>
        <w:t>GRACE D. LIEBLEIN</w:t>
      </w:r>
    </w:p>
    <w:p>
      <w:pPr>
        <w:spacing w:before="130"/>
        <w:ind w:left="120" w:right="0" w:firstLine="0"/>
        <w:jc w:val="left"/>
        <w:rPr>
          <w:sz w:val="20"/>
        </w:rPr>
      </w:pPr>
      <w:r>
        <w:rPr>
          <w:color w:val="231F20"/>
          <w:sz w:val="20"/>
        </w:rPr>
        <w:t>Former Vice President, Global Quality</w:t>
      </w:r>
    </w:p>
    <w:p>
      <w:pPr>
        <w:spacing w:before="10"/>
        <w:ind w:left="120" w:right="0" w:firstLine="0"/>
        <w:jc w:val="left"/>
        <w:rPr>
          <w:sz w:val="20"/>
        </w:rPr>
      </w:pPr>
      <w:r>
        <w:rPr>
          <w:color w:val="231F20"/>
          <w:sz w:val="20"/>
        </w:rPr>
        <w:t>General Motors Corporation (automobile company)</w:t>
      </w:r>
    </w:p>
    <w:p>
      <w:pPr>
        <w:pStyle w:val="BodyText"/>
        <w:spacing w:before="8"/>
        <w:rPr>
          <w:sz w:val="21"/>
        </w:rPr>
      </w:pPr>
    </w:p>
    <w:p>
      <w:pPr>
        <w:spacing w:before="0"/>
        <w:ind w:left="120" w:right="0" w:firstLine="0"/>
        <w:jc w:val="left"/>
        <w:rPr>
          <w:b/>
          <w:sz w:val="20"/>
        </w:rPr>
      </w:pPr>
      <w:r>
        <w:rPr>
          <w:b/>
          <w:color w:val="231F20"/>
          <w:sz w:val="20"/>
        </w:rPr>
        <w:t>NANCY B. LOEFFLER</w:t>
      </w:r>
    </w:p>
    <w:p>
      <w:pPr>
        <w:spacing w:line="249" w:lineRule="auto" w:before="129"/>
        <w:ind w:left="120" w:right="220" w:firstLine="0"/>
        <w:jc w:val="left"/>
        <w:rPr>
          <w:sz w:val="20"/>
        </w:rPr>
      </w:pPr>
      <w:r>
        <w:rPr>
          <w:color w:val="231F20"/>
          <w:sz w:val="20"/>
        </w:rPr>
        <w:t>Consultant for Frost Bank and member of the Frost Bank Advisory 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0"/>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0"/>
        <w:rPr>
          <w:i/>
          <w:sz w:val="20"/>
        </w:rPr>
      </w:pPr>
    </w:p>
    <w:p>
      <w:pPr>
        <w:spacing w:before="0"/>
        <w:ind w:left="120" w:right="0" w:firstLine="0"/>
        <w:jc w:val="left"/>
        <w:rPr>
          <w:b/>
          <w:sz w:val="20"/>
        </w:rPr>
      </w:pPr>
      <w:r>
        <w:rPr>
          <w:b/>
          <w:color w:val="231F20"/>
          <w:sz w:val="20"/>
        </w:rPr>
        <w:t>RON RICKS</w:t>
      </w:r>
    </w:p>
    <w:p>
      <w:pPr>
        <w:spacing w:line="249" w:lineRule="auto" w:before="129"/>
        <w:ind w:left="120" w:right="2054" w:firstLine="0"/>
        <w:jc w:val="left"/>
        <w:rPr>
          <w:sz w:val="20"/>
        </w:rPr>
      </w:pPr>
      <w:r>
        <w:rPr>
          <w:color w:val="231F20"/>
          <w:sz w:val="20"/>
        </w:rPr>
        <w:t>Vice Chairman of the Board Southwest Airlines Co.</w:t>
      </w:r>
    </w:p>
    <w:p>
      <w:pPr>
        <w:spacing w:before="0"/>
        <w:ind w:left="120" w:right="0" w:firstLine="0"/>
        <w:jc w:val="left"/>
        <w:rPr>
          <w:i/>
          <w:sz w:val="20"/>
        </w:rPr>
      </w:pPr>
      <w:r>
        <w:rPr>
          <w:i/>
          <w:color w:val="231F20"/>
          <w:sz w:val="20"/>
        </w:rPr>
        <w:t>Executive Committee</w:t>
      </w:r>
    </w:p>
    <w:p>
      <w:pPr>
        <w:pStyle w:val="BodyText"/>
        <w:rPr>
          <w:i/>
        </w:rPr>
      </w:pPr>
    </w:p>
    <w:p>
      <w:pPr>
        <w:pStyle w:val="BodyText"/>
        <w:rPr>
          <w:i/>
        </w:rPr>
      </w:pPr>
    </w:p>
    <w:p>
      <w:pPr>
        <w:pStyle w:val="BodyText"/>
        <w:rPr>
          <w:i/>
        </w:rPr>
      </w:pPr>
    </w:p>
    <w:p>
      <w:pPr>
        <w:pStyle w:val="BodyText"/>
        <w:spacing w:before="3"/>
        <w:rPr>
          <w:i/>
          <w:sz w:val="18"/>
        </w:rPr>
      </w:pPr>
    </w:p>
    <w:p>
      <w:pPr>
        <w:spacing w:before="0"/>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2054"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420"/>
          <w:cols w:num="2" w:equalWidth="0">
            <w:col w:w="4498" w:space="242"/>
            <w:col w:w="4460"/>
          </w:cols>
        </w:sectPr>
      </w:pPr>
    </w:p>
    <w:p>
      <w:pPr>
        <w:spacing w:before="73"/>
        <w:ind w:left="95" w:right="95" w:firstLine="0"/>
        <w:jc w:val="center"/>
        <w:rPr>
          <w:b/>
          <w:sz w:val="20"/>
        </w:rPr>
      </w:pPr>
      <w:r>
        <w:rPr>
          <w:b/>
          <w:color w:val="231F20"/>
          <w:sz w:val="20"/>
        </w:rPr>
        <w:t>CORPORATE INFORMATION</w:t>
      </w:r>
    </w:p>
    <w:p>
      <w:pPr>
        <w:pStyle w:val="BodyText"/>
        <w:spacing w:before="5"/>
        <w:rPr>
          <w:b/>
          <w:sz w:val="24"/>
        </w:rPr>
      </w:pPr>
    </w:p>
    <w:p>
      <w:pPr>
        <w:spacing w:after="0"/>
        <w:rPr>
          <w:sz w:val="24"/>
        </w:rPr>
        <w:sectPr>
          <w:footerReference w:type="default" r:id="rId32"/>
          <w:pgSz w:w="11880" w:h="15480"/>
          <w:pgMar w:footer="0" w:header="0" w:top="1240" w:bottom="280" w:left="1260" w:right="1260"/>
        </w:sectPr>
      </w:pPr>
    </w:p>
    <w:p>
      <w:pPr>
        <w:spacing w:line="203" w:lineRule="exact" w:before="99"/>
        <w:ind w:left="120" w:right="0" w:firstLine="0"/>
        <w:jc w:val="left"/>
        <w:rPr>
          <w:b/>
          <w:sz w:val="18"/>
        </w:rPr>
      </w:pPr>
      <w:r>
        <w:rPr>
          <w:b/>
          <w:color w:val="231F20"/>
          <w:sz w:val="18"/>
        </w:rPr>
        <w:t>SOUTHWEST AIRLINES CO. GENERAL OFFICES</w:t>
      </w:r>
    </w:p>
    <w:p>
      <w:pPr>
        <w:spacing w:line="200" w:lineRule="exact" w:before="0"/>
        <w:ind w:left="120" w:right="0" w:firstLine="0"/>
        <w:jc w:val="left"/>
        <w:rPr>
          <w:sz w:val="18"/>
        </w:rPr>
      </w:pPr>
      <w:r>
        <w:rPr>
          <w:color w:val="231F20"/>
          <w:sz w:val="18"/>
        </w:rPr>
        <w:t>P.O. Box 36611</w:t>
      </w:r>
    </w:p>
    <w:p>
      <w:pPr>
        <w:spacing w:line="200" w:lineRule="exact" w:before="5"/>
        <w:ind w:left="120" w:right="2720" w:firstLine="0"/>
        <w:jc w:val="left"/>
        <w:rPr>
          <w:sz w:val="18"/>
        </w:rPr>
      </w:pPr>
      <w:r>
        <w:rPr>
          <w:color w:val="231F20"/>
          <w:sz w:val="18"/>
        </w:rPr>
        <w:t>2702 Love Field Drive Dallas, TX 75235</w:t>
      </w:r>
    </w:p>
    <w:p>
      <w:pPr>
        <w:spacing w:line="199" w:lineRule="exact" w:before="0"/>
        <w:ind w:left="120" w:right="0" w:firstLine="0"/>
        <w:jc w:val="left"/>
        <w:rPr>
          <w:sz w:val="18"/>
        </w:rPr>
      </w:pPr>
      <w:r>
        <w:rPr>
          <w:color w:val="231F20"/>
          <w:sz w:val="18"/>
        </w:rPr>
        <w:t>Telephone: 214-792-4000</w:t>
      </w:r>
    </w:p>
    <w:p>
      <w:pPr>
        <w:pStyle w:val="BodyText"/>
        <w:spacing w:before="5"/>
        <w:rPr>
          <w:sz w:val="16"/>
        </w:rPr>
      </w:pPr>
    </w:p>
    <w:p>
      <w:pPr>
        <w:spacing w:line="203" w:lineRule="exact" w:before="0"/>
        <w:ind w:left="120" w:right="0" w:firstLine="0"/>
        <w:jc w:val="left"/>
        <w:rPr>
          <w:b/>
          <w:sz w:val="18"/>
        </w:rPr>
      </w:pPr>
      <w:r>
        <w:rPr>
          <w:b/>
          <w:color w:val="231F20"/>
          <w:sz w:val="18"/>
        </w:rPr>
        <w:t>FINANCIAL INFORMATION</w:t>
      </w:r>
    </w:p>
    <w:p>
      <w:pPr>
        <w:spacing w:line="200" w:lineRule="exact" w:before="4"/>
        <w:ind w:left="120" w:right="-19"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11"/>
        <w:rPr>
          <w:sz w:val="16"/>
        </w:rPr>
      </w:pPr>
    </w:p>
    <w:p>
      <w:pPr>
        <w:spacing w:line="200" w:lineRule="exact" w:before="0"/>
        <w:ind w:left="120" w:right="2240" w:firstLine="0"/>
        <w:jc w:val="left"/>
        <w:rPr>
          <w:sz w:val="18"/>
        </w:rPr>
      </w:pPr>
      <w:r>
        <w:rPr>
          <w:color w:val="231F20"/>
          <w:sz w:val="18"/>
        </w:rPr>
        <w:t>Southwest Airlines Co. Investor Relations, HDQ-6IR</w:t>
      </w:r>
    </w:p>
    <w:p>
      <w:pPr>
        <w:spacing w:line="195" w:lineRule="exact" w:before="0"/>
        <w:ind w:left="120" w:right="0" w:firstLine="0"/>
        <w:jc w:val="left"/>
        <w:rPr>
          <w:sz w:val="18"/>
        </w:rPr>
      </w:pPr>
      <w:r>
        <w:rPr>
          <w:color w:val="231F20"/>
          <w:sz w:val="18"/>
        </w:rPr>
        <w:t>P.O. Box 36611</w:t>
      </w:r>
    </w:p>
    <w:p>
      <w:pPr>
        <w:spacing w:line="200" w:lineRule="exact" w:before="5"/>
        <w:ind w:left="120" w:right="2720" w:firstLine="0"/>
        <w:jc w:val="left"/>
        <w:rPr>
          <w:sz w:val="18"/>
        </w:rPr>
      </w:pPr>
      <w:r>
        <w:rPr>
          <w:color w:val="231F20"/>
          <w:sz w:val="18"/>
        </w:rPr>
        <w:t>2702 Love Field Drive Dallas, Texas 75235</w:t>
      </w:r>
    </w:p>
    <w:p>
      <w:pPr>
        <w:spacing w:line="199" w:lineRule="exact" w:before="0"/>
        <w:ind w:left="120" w:right="0" w:firstLine="0"/>
        <w:jc w:val="left"/>
        <w:rPr>
          <w:sz w:val="18"/>
        </w:rPr>
      </w:pPr>
      <w:r>
        <w:rPr>
          <w:color w:val="231F20"/>
          <w:sz w:val="18"/>
        </w:rPr>
        <w:t>Telephone: 214-792-4908</w:t>
      </w:r>
    </w:p>
    <w:p>
      <w:pPr>
        <w:pStyle w:val="BodyText"/>
        <w:spacing w:before="6"/>
        <w:rPr>
          <w:sz w:val="16"/>
        </w:rPr>
      </w:pPr>
    </w:p>
    <w:p>
      <w:pPr>
        <w:spacing w:line="203" w:lineRule="exact" w:before="0"/>
        <w:ind w:left="120" w:right="0" w:firstLine="0"/>
        <w:jc w:val="left"/>
        <w:rPr>
          <w:b/>
          <w:sz w:val="18"/>
        </w:rPr>
      </w:pPr>
      <w:r>
        <w:rPr>
          <w:b/>
          <w:color w:val="231F20"/>
          <w:sz w:val="18"/>
        </w:rPr>
        <w:t>ANNUAL MEETING</w:t>
      </w:r>
    </w:p>
    <w:p>
      <w:pPr>
        <w:spacing w:line="200" w:lineRule="exact" w:before="4"/>
        <w:ind w:left="120" w:right="21" w:firstLine="0"/>
        <w:jc w:val="left"/>
        <w:rPr>
          <w:sz w:val="18"/>
        </w:rPr>
      </w:pPr>
      <w:r>
        <w:rPr>
          <w:color w:val="231F20"/>
          <w:sz w:val="18"/>
        </w:rPr>
        <w:t>The Annual Meeting of Shareholders of Southwest Airlines Co. will be held at 10:00 a.m. on May 18, 2016, at the Renaissance Blackstone Chicago Hotel located at 636 South Michigan Avenue, Chicago, Illinois 60605.</w:t>
      </w:r>
    </w:p>
    <w:p>
      <w:pPr>
        <w:spacing w:line="203" w:lineRule="exact" w:before="99"/>
        <w:ind w:left="120" w:right="0" w:firstLine="0"/>
        <w:jc w:val="left"/>
        <w:rPr>
          <w:b/>
          <w:sz w:val="18"/>
        </w:rPr>
      </w:pPr>
      <w:r>
        <w:rPr/>
        <w:br w:type="column"/>
      </w:r>
      <w:r>
        <w:rPr>
          <w:b/>
          <w:color w:val="231F20"/>
          <w:sz w:val="18"/>
        </w:rPr>
        <w:t>STOCK EXCHANGE LISTING</w:t>
      </w:r>
    </w:p>
    <w:p>
      <w:pPr>
        <w:spacing w:line="203" w:lineRule="exact" w:before="0"/>
        <w:ind w:left="120" w:right="0" w:firstLine="0"/>
        <w:jc w:val="left"/>
        <w:rPr>
          <w:sz w:val="18"/>
        </w:rPr>
      </w:pPr>
      <w:r>
        <w:rPr>
          <w:color w:val="231F20"/>
          <w:sz w:val="18"/>
        </w:rPr>
        <w:t>New York Stock Exchange Ticker Symbol: LUV</w:t>
      </w:r>
    </w:p>
    <w:p>
      <w:pPr>
        <w:pStyle w:val="BodyText"/>
        <w:spacing w:before="5"/>
        <w:rPr>
          <w:sz w:val="16"/>
        </w:rPr>
      </w:pPr>
    </w:p>
    <w:p>
      <w:pPr>
        <w:spacing w:line="203" w:lineRule="exact" w:before="0"/>
        <w:ind w:left="120" w:right="0" w:firstLine="0"/>
        <w:jc w:val="left"/>
        <w:rPr>
          <w:b/>
          <w:sz w:val="18"/>
        </w:rPr>
      </w:pPr>
      <w:r>
        <w:rPr>
          <w:b/>
          <w:color w:val="231F20"/>
          <w:sz w:val="18"/>
        </w:rPr>
        <w:t>TRANSFER AGENT AND REGISTRAR</w:t>
      </w:r>
    </w:p>
    <w:p>
      <w:pPr>
        <w:spacing w:line="200" w:lineRule="exact" w:before="4"/>
        <w:ind w:left="120" w:right="191"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rPr>
          <w:sz w:val="17"/>
        </w:rPr>
      </w:pPr>
    </w:p>
    <w:p>
      <w:pPr>
        <w:spacing w:line="200" w:lineRule="exact" w:before="0"/>
        <w:ind w:left="480" w:right="1428" w:firstLine="0"/>
        <w:jc w:val="left"/>
        <w:rPr>
          <w:sz w:val="18"/>
        </w:rPr>
      </w:pPr>
      <w:r>
        <w:rPr>
          <w:color w:val="231F20"/>
          <w:sz w:val="18"/>
        </w:rPr>
        <w:t>Wells Fargo Shareowner Services 1110 Centre Pointe Curve, Suite 101 Mendota Heights, MN 55120-4100 866-877-6206</w:t>
      </w:r>
    </w:p>
    <w:p>
      <w:pPr>
        <w:spacing w:line="195" w:lineRule="exact" w:before="0"/>
        <w:ind w:left="480" w:right="0" w:firstLine="0"/>
        <w:jc w:val="left"/>
        <w:rPr>
          <w:sz w:val="18"/>
        </w:rPr>
      </w:pPr>
      <w:r>
        <w:rPr>
          <w:color w:val="231F20"/>
          <w:sz w:val="18"/>
        </w:rPr>
        <w:t>651-450-4064</w:t>
      </w:r>
    </w:p>
    <w:p>
      <w:pPr>
        <w:spacing w:line="203" w:lineRule="exact" w:before="0"/>
        <w:ind w:left="480" w:right="0" w:firstLine="0"/>
        <w:jc w:val="left"/>
        <w:rPr>
          <w:i/>
          <w:sz w:val="18"/>
        </w:rPr>
      </w:pPr>
      <w:hyperlink r:id="rId33">
        <w:r>
          <w:rPr>
            <w:i/>
            <w:color w:val="231F20"/>
            <w:sz w:val="18"/>
          </w:rPr>
          <w:t>www.shareowneronline.com</w:t>
        </w:r>
      </w:hyperlink>
    </w:p>
    <w:p>
      <w:pPr>
        <w:pStyle w:val="BodyText"/>
        <w:spacing w:before="2"/>
        <w:rPr>
          <w:i/>
          <w:sz w:val="17"/>
        </w:rPr>
      </w:pPr>
    </w:p>
    <w:p>
      <w:pPr>
        <w:spacing w:line="200" w:lineRule="exact" w:before="0"/>
        <w:ind w:left="120" w:right="1159" w:firstLine="0"/>
        <w:jc w:val="left"/>
        <w:rPr>
          <w:b/>
          <w:sz w:val="18"/>
        </w:rPr>
      </w:pPr>
      <w:r>
        <w:rPr>
          <w:b/>
          <w:color w:val="231F20"/>
          <w:sz w:val="18"/>
        </w:rPr>
        <w:t>INDEPENDENT REGISTERED PUBLIC ACCOUNTING FIRM</w:t>
      </w:r>
    </w:p>
    <w:p>
      <w:pPr>
        <w:spacing w:line="200" w:lineRule="exact" w:before="0"/>
        <w:ind w:left="120" w:right="2955" w:firstLine="0"/>
        <w:jc w:val="left"/>
        <w:rPr>
          <w:sz w:val="18"/>
        </w:rPr>
      </w:pPr>
      <w:r>
        <w:rPr>
          <w:color w:val="231F20"/>
          <w:sz w:val="18"/>
        </w:rPr>
        <w:t>Ernst &amp; Young LLP Dallas, Texas</w:t>
      </w:r>
    </w:p>
    <w:p>
      <w:pPr>
        <w:spacing w:after="0" w:line="200" w:lineRule="exact"/>
        <w:jc w:val="left"/>
        <w:rPr>
          <w:sz w:val="18"/>
        </w:rPr>
        <w:sectPr>
          <w:type w:val="continuous"/>
          <w:pgSz w:w="11880" w:h="15480"/>
          <w:pgMar w:top="1260" w:bottom="280" w:left="1260" w:right="1260"/>
          <w:cols w:num="2" w:equalWidth="0">
            <w:col w:w="4505" w:space="295"/>
            <w:col w:w="4560"/>
          </w:cols>
        </w:sectPr>
      </w:pPr>
    </w:p>
    <w:p>
      <w:pPr>
        <w:pStyle w:val="BodyText"/>
        <w:spacing w:before="3"/>
        <w:rPr>
          <w:sz w:val="16"/>
        </w:rPr>
      </w:pPr>
    </w:p>
    <w:p>
      <w:pPr>
        <w:spacing w:before="0"/>
        <w:ind w:left="95" w:right="95" w:firstLine="0"/>
        <w:jc w:val="center"/>
        <w:rPr>
          <w:b/>
          <w:sz w:val="18"/>
        </w:rPr>
      </w:pPr>
      <w:r>
        <w:rPr>
          <w:b/>
          <w:color w:val="231F20"/>
          <w:sz w:val="18"/>
        </w:rPr>
        <w:t>2015 SOUTHWEST AIRLINES ONE REPORT</w:t>
      </w:r>
    </w:p>
    <w:p>
      <w:pPr>
        <w:pStyle w:val="BodyText"/>
        <w:spacing w:before="1"/>
        <w:rPr>
          <w:b/>
          <w:sz w:val="17"/>
        </w:rPr>
      </w:pPr>
    </w:p>
    <w:p>
      <w:pPr>
        <w:spacing w:line="200" w:lineRule="exact" w:before="0"/>
        <w:ind w:left="119" w:right="23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seventh annual Southwest Airlines One Report. Our award-winning integrated One Report combines financial, corporate responsibility, and environmental reporting into one comprehensive report, using the Global Reporting Initiative as a guide, an internationally recognized standard for sustainability reporting. You can read the 2015 Southwest Airlines One Report at </w:t>
      </w:r>
      <w:hyperlink r:id="rId34">
        <w:r>
          <w:rPr>
            <w:i/>
            <w:color w:val="231F20"/>
            <w:sz w:val="18"/>
          </w:rPr>
          <w:t>http://southwest.com/citizenship</w:t>
        </w:r>
      </w:hyperlink>
      <w:r>
        <w:rPr>
          <w:i/>
          <w:color w:val="231F20"/>
          <w:sz w:val="18"/>
        </w:rPr>
        <w:t> </w:t>
      </w:r>
      <w:r>
        <w:rPr>
          <w:color w:val="231F20"/>
          <w:sz w:val="18"/>
        </w:rPr>
        <w:t>or </w:t>
      </w:r>
      <w:hyperlink r:id="rId35">
        <w:r>
          <w:rPr>
            <w:i/>
            <w:color w:val="231F20"/>
            <w:sz w:val="18"/>
          </w:rPr>
          <w:t>http://investors.southwest.com/.</w:t>
        </w:r>
      </w:hyperlink>
    </w:p>
    <w:p>
      <w:pPr>
        <w:pStyle w:val="BodyText"/>
        <w:spacing w:before="3"/>
        <w:rPr>
          <w:i/>
          <w:sz w:val="16"/>
        </w:rPr>
      </w:pPr>
    </w:p>
    <w:p>
      <w:pPr>
        <w:spacing w:before="1"/>
        <w:ind w:left="95" w:right="95" w:firstLine="0"/>
        <w:jc w:val="center"/>
        <w:rPr>
          <w:b/>
          <w:sz w:val="18"/>
        </w:rPr>
      </w:pPr>
      <w:r>
        <w:rPr>
          <w:b/>
          <w:color w:val="231F20"/>
          <w:sz w:val="18"/>
        </w:rPr>
        <w:t>CAUTIONARY STATEMENT REGARDING FORWARD-LOOKING STATEMENTS</w:t>
      </w:r>
    </w:p>
    <w:p>
      <w:pPr>
        <w:pStyle w:val="BodyText"/>
        <w:spacing w:before="1"/>
        <w:rPr>
          <w:b/>
          <w:sz w:val="17"/>
        </w:rPr>
      </w:pPr>
    </w:p>
    <w:p>
      <w:pPr>
        <w:spacing w:line="200" w:lineRule="exact" w:before="0"/>
        <w:ind w:left="120" w:right="147"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position, outlook, goals, strategies and projected results of operations; (ii) its fleet plans and expectations; (iii) its capacity plans and expectations; (iv) its growth plans and opportunities and its network plans and expectations; (v) its initiatives and related plans and expectations; and (vi)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decisions and consolidation and alliance activities), and other factors beyond the Company’s control, on the Company’s business decisions, plans, and strategies; (iii) the impact of governmental regulations and other governmental actions related to the Company’s operations; (iv) the Company’s ability to timely and effectively implement, transition, and maintain the necessary information technology systems and infrastructure to support its operations and initiatives; (v) the Company’s dependence on third parties, in particular with respect to its technology and fleet plans; (vi) the Company’s ability to timely and effectively prioritize its initiatives and related expenditures; and (vii) other factors, as described in the Company’s filings with the Securities and Exchange Commission, including the detailed factors discussed under the heading “Risk Factors” in the Company’s Annual Report on Form 10-K for the fiscal year ended December 31, 2015.</w:t>
      </w:r>
    </w:p>
    <w:p>
      <w:pPr>
        <w:pStyle w:val="BodyText"/>
        <w:spacing w:before="7"/>
        <w:rPr>
          <w:sz w:val="26"/>
        </w:rPr>
      </w:pPr>
      <w:r>
        <w:rPr/>
        <w:pict>
          <v:group style="position:absolute;margin-left:397.579987pt;margin-top:17.266384pt;width:127.5pt;height:58.35pt;mso-position-horizontal-relative:page;mso-position-vertical-relative:paragraph;z-index:8656;mso-wrap-distance-left:0;mso-wrap-distance-right:0" coordorigin="7952,345" coordsize="2550,1167">
            <v:shape style="position:absolute;left:7961;top:354;width:2532;height:1149" coordorigin="7961,354" coordsize="2532,1149" path="m8047,354l10405,354,10439,361,10466,380,10485,407,10492,440,10492,1417,10485,1450,10466,1478,10439,1496,10405,1503,8047,1503,8013,1496,7986,1478,7967,1450,7961,1417,7961,440,7967,407,7986,380,8013,361,8047,354xe" filled="false" stroked="true" strokeweight=".859pt" strokecolor="#231f20">
              <v:path arrowok="t"/>
              <v:stroke dashstyle="solid"/>
            </v:shape>
            <v:shape style="position:absolute;left:8199;top:1335;width:76;height:55" coordorigin="8199,1335" coordsize="76,55" path="m8209,1335l8199,1335,8216,1390,8226,1390,8229,1378,8221,1378,8218,1367,8209,1335xm8245,1348l8237,1348,8239,1357,8248,1390,8257,1390,8261,1377,8253,1377,8250,1367,8245,1348xm8242,1335l8233,1335,8222,1374,8221,1378,8229,1378,8237,1348,8245,1348,8242,1335xm8275,1335l8266,1335,8256,1367,8253,1377,8261,1377,8275,1335xe" filled="true" fillcolor="#231f20" stroked="false">
              <v:path arrowok="t"/>
              <v:fill type="solid"/>
            </v:shape>
            <v:shape style="position:absolute;left:8278;top:1335;width:76;height:55" coordorigin="8278,1335" coordsize="76,55" path="m8287,1335l8278,1335,8295,1390,8304,1390,8307,1378,8299,1378,8296,1367,8287,1335xm8324,1348l8315,1348,8318,1357,8326,1390,8336,1390,8340,1377,8331,1377,8329,1367,8324,1348xm8320,1335l8311,1335,8302,1367,8300,1374,8299,1378,8307,1378,8315,1348,8324,1348,8320,1335xm8353,1335l8344,1335,8331,1377,8340,1377,8353,1335xe" filled="true" fillcolor="#231f20" stroked="false">
              <v:path arrowok="t"/>
              <v:fill type="solid"/>
            </v:shape>
            <v:shape style="position:absolute;left:8356;top:1335;width:76;height:55" coordorigin="8356,1335" coordsize="76,55" path="m8366,1335l8356,1335,8373,1390,8383,1390,8386,1378,8378,1378,8375,1367,8366,1335xm8402,1348l8394,1348,8396,1357,8405,1390,8414,1390,8418,1377,8410,1377,8407,1367,8402,1348xm8399,1335l8389,1335,8381,1367,8379,1374,8378,1378,8378,1378,8386,1378,8394,1348,8402,1348,8399,1335xm8432,1335l8423,1335,8410,1377,8418,1377,8432,1335xe" filled="true" fillcolor="#231f20" stroked="false">
              <v:path arrowok="t"/>
              <v:fill type="solid"/>
            </v:shape>
            <v:line style="position:absolute" from="8434,1385" to="8444,1385" stroked="true" strokeweight=".522430pt" strokecolor="#231f20">
              <v:stroke dashstyle="solid"/>
            </v:line>
            <v:shape style="position:absolute;left:8452;top:1313;width:32;height:77" coordorigin="8452,1313" coordsize="32,77" path="m8478,1313l8471,1313,8468,1314,8463,1317,8462,1319,8460,1323,8460,1325,8460,1335,8452,1335,8452,1342,8460,1342,8460,1390,8469,1390,8469,1342,8480,1342,8480,1335,8469,1335,8469,1327,8470,1325,8471,1323,8472,1322,8474,1322,8483,1322,8484,1314,8481,1313,8478,1313xm8483,1322l8474,1322,8480,1322,8482,1322,8483,1322xe" filled="true" fillcolor="#231f20" stroked="false">
              <v:path arrowok="t"/>
              <v:fill type="solid"/>
            </v:shape>
            <v:shape style="position:absolute;left:8485;top:1334;width:46;height:58" coordorigin="8485,1334" coordsize="46,58" path="m8494,1372l8485,1373,8486,1379,8488,1384,8492,1387,8496,1390,8501,1391,8512,1391,8516,1390,8520,1389,8523,1387,8526,1385,8527,1383,8504,1383,8501,1382,8498,1381,8496,1379,8494,1376,8494,1372xm8511,1334l8504,1334,8501,1334,8498,1335,8496,1336,8494,1337,8493,1338,8491,1339,8489,1341,8488,1343,8487,1345,8487,1347,8487,1353,8487,1355,8490,1359,8492,1361,8494,1362,8497,1363,8502,1365,8508,1367,8514,1368,8517,1369,8518,1370,8520,1371,8521,1373,8521,1377,8520,1379,8515,1383,8512,1383,8527,1383,8529,1380,8530,1377,8530,1371,8529,1368,8528,1366,8526,1364,8524,1362,8519,1360,8515,1358,8508,1357,8504,1355,8501,1355,8498,1354,8497,1353,8496,1351,8495,1350,8495,1347,8496,1345,8500,1342,8503,1341,8525,1341,8523,1339,8521,1337,8514,1335,8511,1334xm8525,1341l8511,1341,8513,1342,8517,1345,8519,1348,8519,1351,8528,1349,8527,1346,8526,1343,8525,1341xe" filled="true" fillcolor="#231f20" stroked="false">
              <v:path arrowok="t"/>
              <v:fill type="solid"/>
            </v:shape>
            <v:shape style="position:absolute;left:8538;top:1334;width:48;height:58" coordorigin="8538,1334" coordsize="48,58" path="m8569,1334l8558,1334,8554,1335,8550,1337,8546,1339,8543,1343,8539,1352,8538,1357,8538,1372,8540,1379,8549,1389,8555,1391,8569,1391,8574,1389,8580,1383,8558,1383,8554,1382,8552,1378,8549,1375,8547,1370,8547,1355,8549,1350,8552,1346,8555,1343,8558,1342,8581,1342,8581,1341,8577,1338,8573,1335,8569,1334xm8576,1370l8576,1374,8574,1378,8572,1380,8569,1382,8566,1383,8580,1383,8582,1382,8584,1377,8585,1371,8576,1370xm8581,1342l8566,1342,8569,1342,8573,1346,8574,1349,8575,1353,8584,1351,8583,1346,8581,1342xe" filled="true" fillcolor="#231f20" stroked="false">
              <v:path arrowok="t"/>
              <v:fill type="solid"/>
            </v:shape>
            <v:line style="position:absolute" from="8595,1385" to="8606,1385" stroked="true" strokeweight=".522430pt" strokecolor="#231f20">
              <v:stroke dashstyle="solid"/>
            </v:line>
            <v:shape style="position:absolute;left:8614;top:1334;width:52;height:58" coordorigin="8614,1334" coordsize="52,58" path="m8648,1334l8633,1334,8628,1336,8617,1345,8614,1352,8614,1372,8617,1379,8621,1384,8626,1389,8632,1391,8645,1391,8649,1390,8657,1385,8659,1383,8635,1383,8632,1382,8625,1375,8624,1369,8624,1355,8625,1350,8632,1343,8635,1341,8659,1341,8654,1336,8648,1334xm8659,1341l8645,1341,8648,1343,8652,1347,8655,1350,8656,1355,8656,1369,8655,1374,8655,1375,8649,1382,8645,1383,8659,1383,8660,1382,8665,1374,8666,1369,8666,1353,8663,1346,8659,1341xe" filled="true" fillcolor="#231f20" stroked="false">
              <v:path arrowok="t"/>
              <v:fill type="solid"/>
            </v:shape>
            <v:shape style="position:absolute;left:8676;top:1334;width:30;height:56" coordorigin="8676,1334" coordsize="30,56" path="m8685,1335l8676,1335,8676,1390,8686,1390,8686,1357,8686,1354,8688,1348,8689,1347,8691,1345,8692,1344,8694,1344,8703,1344,8704,1343,8685,1343,8685,1335xm8703,1344l8698,1344,8701,1344,8703,1345,8703,1344xm8700,1334l8694,1334,8692,1334,8689,1337,8687,1340,8685,1343,8704,1343,8706,1337,8703,1335,8700,1334xe" filled="true" fillcolor="#231f20" stroked="false">
              <v:path arrowok="t"/>
              <v:fill type="solid"/>
            </v:shape>
            <v:shape style="position:absolute;left:8707;top:1334;width:49;height:79" coordorigin="8707,1334" coordsize="49,79" path="m8709,1394l8709,1400,8711,1405,8715,1408,8719,1411,8724,1412,8736,1412,8741,1411,8744,1409,8748,1407,8751,1404,8727,1404,8724,1404,8721,1402,8720,1400,8719,1398,8718,1396,8709,1394xm8755,1383l8746,1383,8746,1390,8746,1393,8745,1395,8745,1398,8743,1400,8738,1404,8735,1404,8751,1404,8751,1404,8754,1397,8755,1391,8755,1383xm8737,1334l8726,1334,8722,1335,8715,1340,8712,1343,8710,1348,8708,1352,8707,1357,8707,1370,8709,1376,8713,1382,8717,1387,8723,1390,8737,1390,8742,1387,8746,1383,8755,1383,8755,1382,8727,1382,8724,1381,8721,1377,8718,1374,8717,1369,8717,1355,8718,1350,8721,1347,8724,1343,8727,1341,8746,1341,8743,1337,8737,1334xm8746,1341l8736,1341,8739,1343,8745,1350,8747,1355,8747,1369,8745,1374,8740,1381,8736,1382,8755,1382,8755,1342,8747,1342,8746,1341xm8755,1335l8747,1335,8747,1342,8755,1342,8755,1335xe" filled="true" fillcolor="#231f20" stroked="false">
              <v:path arrowok="t"/>
              <v:fill type="solid"/>
            </v:shape>
            <v:shape style="position:absolute;left:8074;top:436;width:688;height:598" coordorigin="8074,436" coordsize="688,598" path="m8450,925l8401,925,8401,1023,8414,1034,8552,1034,8563,1022,8563,985,8451,985,8450,925xm8539,872l8524,872,8514,884,8514,985,8563,985,8563,930,8701,930,8723,916,8734,900,8638,900,8609,896,8585,886,8563,877,8539,872xm8100,816l8092,818,8084,824,8075,832,8074,849,8084,858,8158,932,8196,969,8204,977,8215,981,8226,975,8238,968,8240,955,8240,955,8253,904,8201,904,8173,877,8119,823,8110,817,8100,816xm8701,930l8563,930,8583,939,8603,945,8622,949,8637,950,8684,941,8701,930xm8440,872l8422,873,8337,883,8326,885,8317,896,8317,921,8328,932,8348,932,8347,932,8401,925,8450,925,8450,883,8440,872xm8482,436l8424,448,8375,480,8334,529,8299,592,8270,665,8244,743,8222,824,8201,904,8253,904,8281,791,8321,671,8358,586,8394,532,8426,502,8456,488,8482,485,8592,485,8568,462,8525,442,8482,436xm8592,485l8482,485,8518,492,8551,512,8575,545,8585,591,8632,606,8662,644,8668,694,8643,741,8674,759,8695,780,8708,803,8712,828,8707,854,8691,877,8668,894,8638,900,8734,900,8751,877,8761,827,8753,783,8736,752,8718,733,8710,727,8719,669,8704,617,8672,575,8629,550,8604,497,8592,485xe" filled="true" fillcolor="#231f20" stroked="false">
              <v:path arrowok="t"/>
              <v:fill type="solid"/>
            </v:shape>
            <v:shape style="position:absolute;left:8074;top:436;width:688;height:598" coordorigin="8074,436" coordsize="688,598" path="m8450,925l8401,925,8401,1023,8414,1034,8552,1034,8563,1022,8563,985,8451,985,8450,925xm8539,872l8524,872,8514,884,8514,985,8563,985,8563,930,8701,930,8723,916,8734,900,8638,900,8609,896,8585,886,8563,877,8539,872xm8100,816l8092,818,8084,824,8075,832,8074,849,8084,858,8158,932,8196,969,8204,977,8215,981,8226,975,8238,968,8240,955,8240,955,8253,904,8201,904,8173,877,8119,823,8110,817,8100,816xm8701,930l8563,930,8583,939,8603,945,8622,949,8637,950,8684,941,8701,930xm8440,872l8422,873,8337,883,8326,885,8317,896,8317,921,8328,932,8348,932,8347,932,8401,925,8450,925,8450,883,8440,872xm8482,436l8424,448,8375,480,8334,529,8299,592,8270,665,8244,743,8222,824,8201,904,8253,904,8281,791,8321,671,8358,586,8394,532,8426,502,8456,488,8482,485,8592,485,8568,462,8525,442,8482,436xm8592,485l8482,485,8518,492,8551,512,8575,545,8585,591,8632,606,8662,644,8668,694,8643,741,8674,759,8695,780,8708,803,8712,828,8707,854,8691,877,8668,894,8638,900,8734,900,8751,877,8761,827,8753,783,8736,752,8718,733,8710,727,8719,669,8704,617,8672,575,8629,550,8604,497,8592,485xe" filled="true" fillcolor="#231f20" stroked="false">
              <v:path arrowok="t"/>
              <v:fill type="solid"/>
            </v:shape>
            <v:shape style="position:absolute;left:8199;top:1092;width:556;height:171" type="#_x0000_t75" stroked="false">
              <v:imagedata r:id="rId36" o:title=""/>
            </v:shape>
            <v:shape style="position:absolute;left:8680;top:447;width:84;height:83" coordorigin="8680,447" coordsize="84,83" path="m8733,447l8711,447,8701,451,8695,457,8684,467,8680,477,8680,500,8684,510,8695,520,8701,526,8711,530,8734,530,8743,526,8746,523,8712,523,8704,520,8691,506,8687,498,8687,479,8691,471,8704,457,8712,454,8746,454,8743,451,8733,447xm8746,454l8732,454,8740,457,8753,471,8757,479,8757,498,8753,506,8740,520,8732,523,8746,523,8760,510,8764,500,8764,477,8760,467,8759,467,8746,454xm8724,467l8704,467,8704,511,8711,511,8711,493,8729,493,8728,492,8726,492,8726,491,8730,491,8733,490,8736,486,8711,486,8711,473,8737,473,8734,470,8732,469,8730,468,8727,467,8724,467xm8729,493l8718,493,8720,493,8722,494,8723,496,8727,501,8733,511,8741,511,8732,496,8729,493xm8737,473l8724,473,8727,474,8730,476,8730,477,8731,482,8730,483,8728,485,8727,486,8724,486,8736,486,8737,485,8738,482,8738,477,8738,474,8737,473xe" filled="true" fillcolor="#231f20" stroked="false">
              <v:path arrowok="t"/>
              <v:fill type="solid"/>
            </v:shape>
            <v:shape style="position:absolute;left:8711;top:473;width:20;height:14" coordorigin="8711,473" coordsize="20,14" path="m8711,486l8720,486,8724,486,8727,486,8728,485,8730,483,8731,482,8731,480,8731,478,8730,476,8728,475,8727,474,8724,473,8719,473,8711,473,8711,486xe" filled="false" stroked="true" strokeweight=".22pt" strokecolor="#231f20">
              <v:path arrowok="t"/>
              <v:stroke dashstyle="solid"/>
            </v:shape>
            <v:shape style="position:absolute;left:8704;top:467;width:38;height:45" coordorigin="8704,467" coordsize="38,45" path="m8741,511l8733,511,8727,501,8723,496,8722,494,8720,493,8718,493,8715,493,8711,493,8711,511,8704,511,8704,467,8719,467,8724,467,8727,467,8730,468,8732,469,8734,470,8736,472,8738,474,8738,477,8738,479,8738,482,8737,485,8735,487,8733,490,8730,491,8726,491,8728,492,8732,496,8736,503,8741,511xe" filled="false" stroked="true" strokeweight=".22pt" strokecolor="#231f20">
              <v:path arrowok="t"/>
              <v:stroke dashstyle="solid"/>
            </v:shape>
            <v:shape style="position:absolute;left:8687;top:454;width:70;height:70" coordorigin="8687,454" coordsize="70,70" path="m8722,523l8732,523,8740,520,8746,513,8753,506,8757,498,8757,488,8757,479,8753,471,8747,464,8740,457,8732,454,8722,454,8712,454,8687,488,8687,498,8691,506,8697,513,8704,520,8712,523,8722,523xe" filled="false" stroked="true" strokeweight=".22pt" strokecolor="#231f20">
              <v:path arrowok="t"/>
              <v:stroke dashstyle="solid"/>
            </v:shape>
            <v:shape style="position:absolute;left:8680;top:447;width:84;height:83" coordorigin="8680,447" coordsize="84,83" path="m8722,447l8733,447,8743,451,8751,459,8760,467,8764,477,8764,488,8764,500,8760,510,8751,518,8743,526,8734,530,8722,530,8711,530,8701,526,8693,518,8684,510,8680,500,8680,488,8680,477,8684,467,8693,459,8701,451,8711,447,8722,447xe" filled="false" stroked="true" strokeweight=".22pt" strokecolor="#231f20">
              <v:path arrowok="t"/>
              <v:stroke dashstyle="solid"/>
            </v:shape>
            <v:shape style="position:absolute;left:9510;top:568;width:139;height:146" type="#_x0000_t75" stroked="false">
              <v:imagedata r:id="rId37" o:title=""/>
            </v:shape>
            <v:shape style="position:absolute;left:9682;top:555;width:179;height:172" type="#_x0000_t75" stroked="false">
              <v:imagedata r:id="rId38" o:title=""/>
            </v:shape>
            <v:shape style="position:absolute;left:9302;top:835;width:406;height:138" type="#_x0000_t75" stroked="false">
              <v:imagedata r:id="rId39" o:title=""/>
            </v:shape>
            <v:shape style="position:absolute;left:9754;top:833;width:303;height:113" type="#_x0000_t75" stroked="false">
              <v:imagedata r:id="rId40" o:title=""/>
            </v:shape>
            <v:shape style="position:absolute;left:8989;top:980;width:1384;height:147" type="#_x0000_t75" stroked="false">
              <v:imagedata r:id="rId41" o:title=""/>
            </v:shape>
            <v:shape style="position:absolute;left:9007;top:1244;width:464;height:150" type="#_x0000_t75" stroked="false">
              <v:imagedata r:id="rId42" o:title=""/>
            </v:shape>
            <v:shape style="position:absolute;left:9537;top:1244;width:130;height:150" type="#_x0000_t75" stroked="false">
              <v:imagedata r:id="rId43" o:title=""/>
            </v:shape>
            <v:shape style="position:absolute;left:9699;top:1249;width:52;height:139" coordorigin="9699,1249" coordsize="52,139" path="m9750,1280l9733,1280,9733,1388,9750,1388,9750,1280xm9750,1249l9739,1249,9733,1259,9724,1269,9713,1277,9699,1284,9699,1301,9714,1295,9725,1288,9733,1280,9750,1280,9750,1249xe" filled="true" fillcolor="#231f20" stroked="false">
              <v:path arrowok="t"/>
              <v:fill type="solid"/>
            </v:shape>
            <v:shape style="position:absolute;left:9699;top:1249;width:52;height:139" coordorigin="9699,1249" coordsize="52,139" path="m9750,1388l9733,1388,9733,1280,9725,1288,9714,1295,9699,1301,9699,1284,9713,1277,9724,1269,9733,1259,9739,1249,9750,1249,9750,1388xe" filled="false" stroked="true" strokeweight=".377pt" strokecolor="#231f20">
              <v:path arrowok="t"/>
              <v:stroke dashstyle="solid"/>
            </v:shape>
            <v:shape style="position:absolute;left:9802;top:1250;width:91;height:142" coordorigin="9802,1250" coordsize="91,142" path="m9847,1250l9832,1250,9821,1255,9813,1267,9808,1277,9805,1289,9803,1303,9802,1320,9805,1351,9813,1373,9827,1386,9847,1391,9861,1391,9873,1385,9878,1377,9847,1377,9841,1377,9836,1375,9832,1371,9827,1367,9824,1361,9820,1345,9819,1334,9819,1320,9820,1306,9821,1294,9823,1285,9826,1277,9831,1268,9838,1263,9877,1263,9867,1254,9847,1250xm9877,1263l9853,1263,9858,1265,9862,1269,9866,1273,9869,1279,9874,1295,9875,1306,9875,1320,9874,1334,9873,1346,9871,1356,9868,1363,9863,1372,9856,1377,9878,1377,9880,1373,9886,1363,9889,1351,9891,1337,9892,1320,9889,1289,9881,1267,9877,1263xe" filled="true" fillcolor="#231f20" stroked="false">
              <v:path arrowok="t"/>
              <v:fill type="solid"/>
            </v:shape>
            <v:shape style="position:absolute;left:9819;top:1263;width:56;height:114" coordorigin="9819,1263" coordsize="56,114" path="m9847,1377l9856,1377,9863,1372,9875,1320,9875,1306,9874,1295,9871,1287,9869,1279,9866,1273,9862,1269,9858,1265,9853,1263,9847,1263,9838,1263,9819,1320,9819,1334,9820,1345,9822,1353,9824,1361,9827,1367,9832,1371,9836,1375,9841,1377,9847,1377xe" filled="false" stroked="true" strokeweight=".377pt" strokecolor="#231f20">
              <v:path arrowok="t"/>
              <v:stroke dashstyle="solid"/>
            </v:shape>
            <v:shape style="position:absolute;left:9802;top:1250;width:91;height:142" coordorigin="9802,1250" coordsize="91,142" path="m9847,1250l9867,1254,9881,1267,9889,1289,9892,1320,9891,1337,9861,1391,9847,1391,9827,1386,9813,1373,9805,1351,9802,1320,9803,1303,9832,1250,9847,1250xe" filled="false" stroked="true" strokeweight=".377pt" strokecolor="#231f20">
              <v:path arrowok="t"/>
              <v:stroke dashstyle="solid"/>
            </v:shape>
            <v:shape style="position:absolute;left:9930;top:1249;width:52;height:139" coordorigin="9930,1249" coordsize="52,139" path="m9981,1280l9964,1280,9964,1388,9981,1388,9981,1280xm9981,1249l9970,1249,9963,1259,9954,1269,9943,1277,9930,1284,9930,1301,9944,1295,9955,1288,9964,1280,9981,1280,9981,1249xe" filled="true" fillcolor="#231f20" stroked="false">
              <v:path arrowok="t"/>
              <v:fill type="solid"/>
            </v:shape>
            <v:shape style="position:absolute;left:9930;top:1249;width:52;height:139" coordorigin="9930,1249" coordsize="52,139" path="m9981,1388l9964,1388,9964,1280,9955,1288,9944,1295,9930,1301,9930,1284,9943,1277,9954,1269,9963,1259,9970,1249,9981,1249,9981,1388xe" filled="false" stroked="true" strokeweight=".377pt" strokecolor="#231f20">
              <v:path arrowok="t"/>
              <v:stroke dashstyle="solid"/>
            </v:shape>
            <v:shape style="position:absolute;left:10028;top:1246;width:329;height:149" type="#_x0000_t75" stroked="false">
              <v:imagedata r:id="rId44" o:title=""/>
            </v:shape>
            <w10:wrap type="topAndBottom"/>
          </v:group>
        </w:pict>
      </w:r>
    </w:p>
    <w:sectPr>
      <w:type w:val="continuous"/>
      <w:pgSz w:w="11880" w:h="15480"/>
      <w:pgMar w:top="12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1001pt;width:14pt;height:13.2pt;mso-position-horizontal-relative:page;mso-position-vertical-relative:page;z-index:-394432"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94408"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9438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675.756897pt;width:237pt;height:14.3pt;mso-position-horizontal-relative:page;mso-position-vertical-relative:page;z-index:-394360" type="#_x0000_t202" filled="false" stroked="false">
          <v:textbox inset="0,0,0,0">
            <w:txbxContent>
              <w:p>
                <w:pPr>
                  <w:pStyle w:val="BodyText"/>
                  <w:spacing w:before="12"/>
                  <w:ind w:left="20"/>
                </w:pPr>
                <w:r>
                  <w:rPr>
                    <w:color w:val="231F20"/>
                  </w:rPr>
                  <w:t>Shareholders and is incorporated herein by reference.</w:t>
                </w:r>
              </w:p>
            </w:txbxContent>
          </v:textbox>
          <w10:wrap type="none"/>
        </v:shape>
      </w:pict>
    </w:r>
    <w:r>
      <w:rPr/>
      <w:pict>
        <v:shape style="position:absolute;margin-left:288.5pt;margin-top:701.01001pt;width:17pt;height:13.2pt;mso-position-horizontal-relative:page;mso-position-vertical-relative:page;z-index:-394336" type="#_x0000_t202" filled="false" stroked="false">
          <v:textbox inset="0,0,0,0">
            <w:txbxContent>
              <w:p>
                <w:pPr>
                  <w:spacing w:before="13"/>
                  <w:ind w:left="20" w:right="0" w:firstLine="0"/>
                  <w:jc w:val="left"/>
                  <w:rPr>
                    <w:sz w:val="20"/>
                  </w:rPr>
                </w:pPr>
                <w:r>
                  <w:rPr>
                    <w:color w:val="231F20"/>
                    <w:sz w:val="20"/>
                  </w:rPr>
                  <w:t>128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94312" type="#_x0000_t202" filled="false" stroked="false">
          <v:textbox inset="0,0,0,0">
            <w:txbxContent>
              <w:p>
                <w:pPr>
                  <w:spacing w:before="13"/>
                  <w:ind w:left="20" w:right="0" w:firstLine="0"/>
                  <w:jc w:val="left"/>
                  <w:rPr>
                    <w:sz w:val="20"/>
                  </w:rPr>
                </w:pPr>
                <w:r>
                  <w:rPr>
                    <w:color w:val="231F20"/>
                    <w:sz w:val="20"/>
                  </w:rPr>
                  <w:t>129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94288"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01"/>
      <w:numFmt w:val="decimal"/>
      <w:lvlText w:val="%1."/>
      <w:lvlJc w:val="left"/>
      <w:pPr>
        <w:ind w:left="45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0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640" w:hanging="400"/>
      </w:pPr>
      <w:rPr>
        <w:rFonts w:hint="default"/>
      </w:rPr>
    </w:lvl>
    <w:lvl w:ilvl="3">
      <w:start w:val="0"/>
      <w:numFmt w:val="bullet"/>
      <w:lvlText w:val="•"/>
      <w:lvlJc w:val="left"/>
      <w:pPr>
        <w:ind w:left="1957" w:hanging="400"/>
      </w:pPr>
      <w:rPr>
        <w:rFonts w:hint="default"/>
      </w:rPr>
    </w:lvl>
    <w:lvl w:ilvl="4">
      <w:start w:val="0"/>
      <w:numFmt w:val="bullet"/>
      <w:lvlText w:val="•"/>
      <w:lvlJc w:val="left"/>
      <w:pPr>
        <w:ind w:left="2275" w:hanging="400"/>
      </w:pPr>
      <w:rPr>
        <w:rFonts w:hint="default"/>
      </w:rPr>
    </w:lvl>
    <w:lvl w:ilvl="5">
      <w:start w:val="0"/>
      <w:numFmt w:val="bullet"/>
      <w:lvlText w:val="•"/>
      <w:lvlJc w:val="left"/>
      <w:pPr>
        <w:ind w:left="2592" w:hanging="400"/>
      </w:pPr>
      <w:rPr>
        <w:rFonts w:hint="default"/>
      </w:rPr>
    </w:lvl>
    <w:lvl w:ilvl="6">
      <w:start w:val="0"/>
      <w:numFmt w:val="bullet"/>
      <w:lvlText w:val="•"/>
      <w:lvlJc w:val="left"/>
      <w:pPr>
        <w:ind w:left="2910" w:hanging="400"/>
      </w:pPr>
      <w:rPr>
        <w:rFonts w:hint="default"/>
      </w:rPr>
    </w:lvl>
    <w:lvl w:ilvl="7">
      <w:start w:val="0"/>
      <w:numFmt w:val="bullet"/>
      <w:lvlText w:val="•"/>
      <w:lvlJc w:val="left"/>
      <w:pPr>
        <w:ind w:left="3227" w:hanging="400"/>
      </w:pPr>
      <w:rPr>
        <w:rFonts w:hint="default"/>
      </w:rPr>
    </w:lvl>
    <w:lvl w:ilvl="8">
      <w:start w:val="0"/>
      <w:numFmt w:val="bullet"/>
      <w:lvlText w:val="•"/>
      <w:lvlJc w:val="left"/>
      <w:pPr>
        <w:ind w:left="3545" w:hanging="400"/>
      </w:pPr>
      <w:rPr>
        <w:rFonts w:hint="default"/>
      </w:rPr>
    </w:lvl>
  </w:abstractNum>
  <w:abstractNum w:abstractNumId="24">
    <w:multiLevelType w:val="hybridMultilevel"/>
    <w:lvl w:ilvl="0">
      <w:start w:val="31"/>
      <w:numFmt w:val="decimal"/>
      <w:lvlText w:val="%1"/>
      <w:lvlJc w:val="left"/>
      <w:pPr>
        <w:ind w:left="100" w:hanging="1750"/>
        <w:jc w:val="left"/>
      </w:pPr>
      <w:rPr>
        <w:rFonts w:hint="default"/>
      </w:rPr>
    </w:lvl>
    <w:lvl w:ilvl="1">
      <w:start w:val="1"/>
      <w:numFmt w:val="decimal"/>
      <w:lvlText w:val="%1.%2"/>
      <w:lvlJc w:val="left"/>
      <w:pPr>
        <w:ind w:left="1850" w:hanging="175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688" w:hanging="1750"/>
      </w:pPr>
      <w:rPr>
        <w:rFonts w:hint="default"/>
      </w:rPr>
    </w:lvl>
    <w:lvl w:ilvl="3">
      <w:start w:val="0"/>
      <w:numFmt w:val="bullet"/>
      <w:lvlText w:val="•"/>
      <w:lvlJc w:val="left"/>
      <w:pPr>
        <w:ind w:left="3517" w:hanging="1750"/>
      </w:pPr>
      <w:rPr>
        <w:rFonts w:hint="default"/>
      </w:rPr>
    </w:lvl>
    <w:lvl w:ilvl="4">
      <w:start w:val="0"/>
      <w:numFmt w:val="bullet"/>
      <w:lvlText w:val="•"/>
      <w:lvlJc w:val="left"/>
      <w:pPr>
        <w:ind w:left="4346" w:hanging="1750"/>
      </w:pPr>
      <w:rPr>
        <w:rFonts w:hint="default"/>
      </w:rPr>
    </w:lvl>
    <w:lvl w:ilvl="5">
      <w:start w:val="0"/>
      <w:numFmt w:val="bullet"/>
      <w:lvlText w:val="•"/>
      <w:lvlJc w:val="left"/>
      <w:pPr>
        <w:ind w:left="5175" w:hanging="1750"/>
      </w:pPr>
      <w:rPr>
        <w:rFonts w:hint="default"/>
      </w:rPr>
    </w:lvl>
    <w:lvl w:ilvl="6">
      <w:start w:val="0"/>
      <w:numFmt w:val="bullet"/>
      <w:lvlText w:val="•"/>
      <w:lvlJc w:val="left"/>
      <w:pPr>
        <w:ind w:left="6004" w:hanging="1750"/>
      </w:pPr>
      <w:rPr>
        <w:rFonts w:hint="default"/>
      </w:rPr>
    </w:lvl>
    <w:lvl w:ilvl="7">
      <w:start w:val="0"/>
      <w:numFmt w:val="bullet"/>
      <w:lvlText w:val="•"/>
      <w:lvlJc w:val="left"/>
      <w:pPr>
        <w:ind w:left="6833" w:hanging="1750"/>
      </w:pPr>
      <w:rPr>
        <w:rFonts w:hint="default"/>
      </w:rPr>
    </w:lvl>
    <w:lvl w:ilvl="8">
      <w:start w:val="0"/>
      <w:numFmt w:val="bullet"/>
      <w:lvlText w:val="•"/>
      <w:lvlJc w:val="left"/>
      <w:pPr>
        <w:ind w:left="7662" w:hanging="1750"/>
      </w:pPr>
      <w:rPr>
        <w:rFonts w:hint="default"/>
      </w:rPr>
    </w:lvl>
  </w:abstractNum>
  <w:abstractNum w:abstractNumId="23">
    <w:multiLevelType w:val="hybridMultilevel"/>
    <w:lvl w:ilvl="0">
      <w:start w:val="10"/>
      <w:numFmt w:val="decimal"/>
      <w:lvlText w:val="%1"/>
      <w:lvlJc w:val="left"/>
      <w:pPr>
        <w:ind w:left="1450" w:hanging="400"/>
        <w:jc w:val="left"/>
      </w:pPr>
      <w:rPr>
        <w:rFonts w:hint="default"/>
      </w:rPr>
    </w:lvl>
    <w:lvl w:ilvl="1">
      <w:start w:val="1"/>
      <w:numFmt w:val="decimal"/>
      <w:lvlText w:val="%1.%2"/>
      <w:lvlJc w:val="left"/>
      <w:pPr>
        <w:ind w:left="14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952" w:hanging="400"/>
      </w:pPr>
      <w:rPr>
        <w:rFonts w:hint="default"/>
      </w:rPr>
    </w:lvl>
    <w:lvl w:ilvl="3">
      <w:start w:val="0"/>
      <w:numFmt w:val="bullet"/>
      <w:lvlText w:val="•"/>
      <w:lvlJc w:val="left"/>
      <w:pPr>
        <w:ind w:left="3698" w:hanging="400"/>
      </w:pPr>
      <w:rPr>
        <w:rFonts w:hint="default"/>
      </w:rPr>
    </w:lvl>
    <w:lvl w:ilvl="4">
      <w:start w:val="0"/>
      <w:numFmt w:val="bullet"/>
      <w:lvlText w:val="•"/>
      <w:lvlJc w:val="left"/>
      <w:pPr>
        <w:ind w:left="4444" w:hanging="400"/>
      </w:pPr>
      <w:rPr>
        <w:rFonts w:hint="default"/>
      </w:rPr>
    </w:lvl>
    <w:lvl w:ilvl="5">
      <w:start w:val="0"/>
      <w:numFmt w:val="bullet"/>
      <w:lvlText w:val="•"/>
      <w:lvlJc w:val="left"/>
      <w:pPr>
        <w:ind w:left="5190" w:hanging="400"/>
      </w:pPr>
      <w:rPr>
        <w:rFonts w:hint="default"/>
      </w:rPr>
    </w:lvl>
    <w:lvl w:ilvl="6">
      <w:start w:val="0"/>
      <w:numFmt w:val="bullet"/>
      <w:lvlText w:val="•"/>
      <w:lvlJc w:val="left"/>
      <w:pPr>
        <w:ind w:left="5936" w:hanging="400"/>
      </w:pPr>
      <w:rPr>
        <w:rFonts w:hint="default"/>
      </w:rPr>
    </w:lvl>
    <w:lvl w:ilvl="7">
      <w:start w:val="0"/>
      <w:numFmt w:val="bullet"/>
      <w:lvlText w:val="•"/>
      <w:lvlJc w:val="left"/>
      <w:pPr>
        <w:ind w:left="6682" w:hanging="400"/>
      </w:pPr>
      <w:rPr>
        <w:rFonts w:hint="default"/>
      </w:rPr>
    </w:lvl>
    <w:lvl w:ilvl="8">
      <w:start w:val="0"/>
      <w:numFmt w:val="bullet"/>
      <w:lvlText w:val="•"/>
      <w:lvlJc w:val="left"/>
      <w:pPr>
        <w:ind w:left="7428" w:hanging="400"/>
      </w:pPr>
      <w:rPr>
        <w:rFonts w:hint="default"/>
      </w:rPr>
    </w:lvl>
  </w:abstractNum>
  <w:abstractNum w:abstractNumId="22">
    <w:multiLevelType w:val="hybridMultilevel"/>
    <w:lvl w:ilvl="0">
      <w:start w:val="4"/>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1">
    <w:multiLevelType w:val="hybridMultilevel"/>
    <w:lvl w:ilvl="0">
      <w:start w:val="3"/>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0">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19">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1"/>
      <w:numFmt w:val="lowerLetter"/>
      <w:lvlText w:val="(%3)"/>
      <w:lvlJc w:val="left"/>
      <w:pPr>
        <w:ind w:left="1119" w:hanging="299"/>
        <w:jc w:val="left"/>
      </w:pPr>
      <w:rPr>
        <w:rFonts w:hint="default" w:ascii="Times New Roman" w:hAnsi="Times New Roman" w:eastAsia="Times New Roman" w:cs="Times New Roman"/>
        <w:color w:val="231F20"/>
        <w:w w:val="100"/>
        <w:sz w:val="22"/>
        <w:szCs w:val="22"/>
      </w:rPr>
    </w:lvl>
    <w:lvl w:ilvl="3">
      <w:start w:val="0"/>
      <w:numFmt w:val="bullet"/>
      <w:lvlText w:val="•"/>
      <w:lvlJc w:val="left"/>
      <w:pPr>
        <w:ind w:left="2147" w:hanging="299"/>
      </w:pPr>
      <w:rPr>
        <w:rFonts w:hint="default"/>
      </w:rPr>
    </w:lvl>
    <w:lvl w:ilvl="4">
      <w:start w:val="0"/>
      <w:numFmt w:val="bullet"/>
      <w:lvlText w:val="•"/>
      <w:lvlJc w:val="left"/>
      <w:pPr>
        <w:ind w:left="3175" w:hanging="299"/>
      </w:pPr>
      <w:rPr>
        <w:rFonts w:hint="default"/>
      </w:rPr>
    </w:lvl>
    <w:lvl w:ilvl="5">
      <w:start w:val="0"/>
      <w:numFmt w:val="bullet"/>
      <w:lvlText w:val="•"/>
      <w:lvlJc w:val="left"/>
      <w:pPr>
        <w:ind w:left="4202" w:hanging="299"/>
      </w:pPr>
      <w:rPr>
        <w:rFonts w:hint="default"/>
      </w:rPr>
    </w:lvl>
    <w:lvl w:ilvl="6">
      <w:start w:val="0"/>
      <w:numFmt w:val="bullet"/>
      <w:lvlText w:val="•"/>
      <w:lvlJc w:val="left"/>
      <w:pPr>
        <w:ind w:left="5230" w:hanging="299"/>
      </w:pPr>
      <w:rPr>
        <w:rFonts w:hint="default"/>
      </w:rPr>
    </w:lvl>
    <w:lvl w:ilvl="7">
      <w:start w:val="0"/>
      <w:numFmt w:val="bullet"/>
      <w:lvlText w:val="•"/>
      <w:lvlJc w:val="left"/>
      <w:pPr>
        <w:ind w:left="6257" w:hanging="299"/>
      </w:pPr>
      <w:rPr>
        <w:rFonts w:hint="default"/>
      </w:rPr>
    </w:lvl>
    <w:lvl w:ilvl="8">
      <w:start w:val="0"/>
      <w:numFmt w:val="bullet"/>
      <w:lvlText w:val="•"/>
      <w:lvlJc w:val="left"/>
      <w:pPr>
        <w:ind w:left="7285" w:hanging="299"/>
      </w:pPr>
      <w:rPr>
        <w:rFonts w:hint="default"/>
      </w:rPr>
    </w:lvl>
  </w:abstractNum>
  <w:abstractNum w:abstractNumId="18">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7">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6" w:hanging="273"/>
      </w:pPr>
      <w:rPr>
        <w:rFonts w:hint="default"/>
      </w:rPr>
    </w:lvl>
    <w:lvl w:ilvl="2">
      <w:start w:val="0"/>
      <w:numFmt w:val="bullet"/>
      <w:lvlText w:val="•"/>
      <w:lvlJc w:val="left"/>
      <w:pPr>
        <w:ind w:left="2172" w:hanging="273"/>
      </w:pPr>
      <w:rPr>
        <w:rFonts w:hint="default"/>
      </w:rPr>
    </w:lvl>
    <w:lvl w:ilvl="3">
      <w:start w:val="0"/>
      <w:numFmt w:val="bullet"/>
      <w:lvlText w:val="•"/>
      <w:lvlJc w:val="left"/>
      <w:pPr>
        <w:ind w:left="3068" w:hanging="273"/>
      </w:pPr>
      <w:rPr>
        <w:rFonts w:hint="default"/>
      </w:rPr>
    </w:lvl>
    <w:lvl w:ilvl="4">
      <w:start w:val="0"/>
      <w:numFmt w:val="bullet"/>
      <w:lvlText w:val="•"/>
      <w:lvlJc w:val="left"/>
      <w:pPr>
        <w:ind w:left="3964" w:hanging="273"/>
      </w:pPr>
      <w:rPr>
        <w:rFonts w:hint="default"/>
      </w:rPr>
    </w:lvl>
    <w:lvl w:ilvl="5">
      <w:start w:val="0"/>
      <w:numFmt w:val="bullet"/>
      <w:lvlText w:val="•"/>
      <w:lvlJc w:val="left"/>
      <w:pPr>
        <w:ind w:left="4860" w:hanging="273"/>
      </w:pPr>
      <w:rPr>
        <w:rFonts w:hint="default"/>
      </w:rPr>
    </w:lvl>
    <w:lvl w:ilvl="6">
      <w:start w:val="0"/>
      <w:numFmt w:val="bullet"/>
      <w:lvlText w:val="•"/>
      <w:lvlJc w:val="left"/>
      <w:pPr>
        <w:ind w:left="5756" w:hanging="273"/>
      </w:pPr>
      <w:rPr>
        <w:rFonts w:hint="default"/>
      </w:rPr>
    </w:lvl>
    <w:lvl w:ilvl="7">
      <w:start w:val="0"/>
      <w:numFmt w:val="bullet"/>
      <w:lvlText w:val="•"/>
      <w:lvlJc w:val="left"/>
      <w:pPr>
        <w:ind w:left="6652" w:hanging="273"/>
      </w:pPr>
      <w:rPr>
        <w:rFonts w:hint="default"/>
      </w:rPr>
    </w:lvl>
    <w:lvl w:ilvl="8">
      <w:start w:val="0"/>
      <w:numFmt w:val="bullet"/>
      <w:lvlText w:val="•"/>
      <w:lvlJc w:val="left"/>
      <w:pPr>
        <w:ind w:left="7548" w:hanging="273"/>
      </w:pPr>
      <w:rPr>
        <w:rFonts w:hint="default"/>
      </w:rPr>
    </w:lvl>
  </w:abstractNum>
  <w:abstractNum w:abstractNumId="16">
    <w:multiLevelType w:val="hybridMultilevel"/>
    <w:lvl w:ilvl="0">
      <w:start w:val="1"/>
      <w:numFmt w:val="lowerLetter"/>
      <w:lvlText w:val="(%1)"/>
      <w:lvlJc w:val="left"/>
      <w:pPr>
        <w:ind w:left="379" w:hanging="260"/>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278" w:hanging="260"/>
      </w:pPr>
      <w:rPr>
        <w:rFonts w:hint="default"/>
      </w:rPr>
    </w:lvl>
    <w:lvl w:ilvl="2">
      <w:start w:val="0"/>
      <w:numFmt w:val="bullet"/>
      <w:lvlText w:val="•"/>
      <w:lvlJc w:val="left"/>
      <w:pPr>
        <w:ind w:left="2176" w:hanging="260"/>
      </w:pPr>
      <w:rPr>
        <w:rFonts w:hint="default"/>
      </w:rPr>
    </w:lvl>
    <w:lvl w:ilvl="3">
      <w:start w:val="0"/>
      <w:numFmt w:val="bullet"/>
      <w:lvlText w:val="•"/>
      <w:lvlJc w:val="left"/>
      <w:pPr>
        <w:ind w:left="3074" w:hanging="260"/>
      </w:pPr>
      <w:rPr>
        <w:rFonts w:hint="default"/>
      </w:rPr>
    </w:lvl>
    <w:lvl w:ilvl="4">
      <w:start w:val="0"/>
      <w:numFmt w:val="bullet"/>
      <w:lvlText w:val="•"/>
      <w:lvlJc w:val="left"/>
      <w:pPr>
        <w:ind w:left="3972" w:hanging="260"/>
      </w:pPr>
      <w:rPr>
        <w:rFonts w:hint="default"/>
      </w:rPr>
    </w:lvl>
    <w:lvl w:ilvl="5">
      <w:start w:val="0"/>
      <w:numFmt w:val="bullet"/>
      <w:lvlText w:val="•"/>
      <w:lvlJc w:val="left"/>
      <w:pPr>
        <w:ind w:left="4870" w:hanging="260"/>
      </w:pPr>
      <w:rPr>
        <w:rFonts w:hint="default"/>
      </w:rPr>
    </w:lvl>
    <w:lvl w:ilvl="6">
      <w:start w:val="0"/>
      <w:numFmt w:val="bullet"/>
      <w:lvlText w:val="•"/>
      <w:lvlJc w:val="left"/>
      <w:pPr>
        <w:ind w:left="5768" w:hanging="260"/>
      </w:pPr>
      <w:rPr>
        <w:rFonts w:hint="default"/>
      </w:rPr>
    </w:lvl>
    <w:lvl w:ilvl="7">
      <w:start w:val="0"/>
      <w:numFmt w:val="bullet"/>
      <w:lvlText w:val="•"/>
      <w:lvlJc w:val="left"/>
      <w:pPr>
        <w:ind w:left="6666" w:hanging="260"/>
      </w:pPr>
      <w:rPr>
        <w:rFonts w:hint="default"/>
      </w:rPr>
    </w:lvl>
    <w:lvl w:ilvl="8">
      <w:start w:val="0"/>
      <w:numFmt w:val="bullet"/>
      <w:lvlText w:val="•"/>
      <w:lvlJc w:val="left"/>
      <w:pPr>
        <w:ind w:left="7564" w:hanging="260"/>
      </w:pPr>
      <w:rPr>
        <w:rFonts w:hint="default"/>
      </w:rPr>
    </w:lvl>
  </w:abstractNum>
  <w:abstractNum w:abstractNumId="15">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56" w:hanging="273"/>
      </w:pPr>
      <w:rPr>
        <w:rFonts w:hint="default"/>
      </w:rPr>
    </w:lvl>
    <w:lvl w:ilvl="2">
      <w:start w:val="0"/>
      <w:numFmt w:val="bullet"/>
      <w:lvlText w:val="•"/>
      <w:lvlJc w:val="left"/>
      <w:pPr>
        <w:ind w:left="1992" w:hanging="273"/>
      </w:pPr>
      <w:rPr>
        <w:rFonts w:hint="default"/>
      </w:rPr>
    </w:lvl>
    <w:lvl w:ilvl="3">
      <w:start w:val="0"/>
      <w:numFmt w:val="bullet"/>
      <w:lvlText w:val="•"/>
      <w:lvlJc w:val="left"/>
      <w:pPr>
        <w:ind w:left="2928" w:hanging="273"/>
      </w:pPr>
      <w:rPr>
        <w:rFonts w:hint="default"/>
      </w:rPr>
    </w:lvl>
    <w:lvl w:ilvl="4">
      <w:start w:val="0"/>
      <w:numFmt w:val="bullet"/>
      <w:lvlText w:val="•"/>
      <w:lvlJc w:val="left"/>
      <w:pPr>
        <w:ind w:left="3864" w:hanging="273"/>
      </w:pPr>
      <w:rPr>
        <w:rFonts w:hint="default"/>
      </w:rPr>
    </w:lvl>
    <w:lvl w:ilvl="5">
      <w:start w:val="0"/>
      <w:numFmt w:val="bullet"/>
      <w:lvlText w:val="•"/>
      <w:lvlJc w:val="left"/>
      <w:pPr>
        <w:ind w:left="4800" w:hanging="273"/>
      </w:pPr>
      <w:rPr>
        <w:rFonts w:hint="default"/>
      </w:rPr>
    </w:lvl>
    <w:lvl w:ilvl="6">
      <w:start w:val="0"/>
      <w:numFmt w:val="bullet"/>
      <w:lvlText w:val="•"/>
      <w:lvlJc w:val="left"/>
      <w:pPr>
        <w:ind w:left="573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608" w:hanging="273"/>
      </w:pPr>
      <w:rPr>
        <w:rFonts w:hint="default"/>
      </w:rPr>
    </w:lvl>
  </w:abstractNum>
  <w:abstractNum w:abstractNumId="14">
    <w:multiLevelType w:val="hybridMultilevel"/>
    <w:lvl w:ilvl="0">
      <w:start w:val="1"/>
      <w:numFmt w:val="lowerLetter"/>
      <w:lvlText w:val="(%1)"/>
      <w:lvlJc w:val="left"/>
      <w:pPr>
        <w:ind w:left="2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816" w:hanging="273"/>
      </w:pPr>
      <w:rPr>
        <w:rFonts w:hint="default"/>
      </w:rPr>
    </w:lvl>
    <w:lvl w:ilvl="2">
      <w:start w:val="0"/>
      <w:numFmt w:val="bullet"/>
      <w:lvlText w:val="•"/>
      <w:lvlJc w:val="left"/>
      <w:pPr>
        <w:ind w:left="1352" w:hanging="273"/>
      </w:pPr>
      <w:rPr>
        <w:rFonts w:hint="default"/>
      </w:rPr>
    </w:lvl>
    <w:lvl w:ilvl="3">
      <w:start w:val="0"/>
      <w:numFmt w:val="bullet"/>
      <w:lvlText w:val="•"/>
      <w:lvlJc w:val="left"/>
      <w:pPr>
        <w:ind w:left="1888" w:hanging="273"/>
      </w:pPr>
      <w:rPr>
        <w:rFonts w:hint="default"/>
      </w:rPr>
    </w:lvl>
    <w:lvl w:ilvl="4">
      <w:start w:val="0"/>
      <w:numFmt w:val="bullet"/>
      <w:lvlText w:val="•"/>
      <w:lvlJc w:val="left"/>
      <w:pPr>
        <w:ind w:left="2424" w:hanging="273"/>
      </w:pPr>
      <w:rPr>
        <w:rFonts w:hint="default"/>
      </w:rPr>
    </w:lvl>
    <w:lvl w:ilvl="5">
      <w:start w:val="0"/>
      <w:numFmt w:val="bullet"/>
      <w:lvlText w:val="•"/>
      <w:lvlJc w:val="left"/>
      <w:pPr>
        <w:ind w:left="2960" w:hanging="273"/>
      </w:pPr>
      <w:rPr>
        <w:rFonts w:hint="default"/>
      </w:rPr>
    </w:lvl>
    <w:lvl w:ilvl="6">
      <w:start w:val="0"/>
      <w:numFmt w:val="bullet"/>
      <w:lvlText w:val="•"/>
      <w:lvlJc w:val="left"/>
      <w:pPr>
        <w:ind w:left="3496" w:hanging="273"/>
      </w:pPr>
      <w:rPr>
        <w:rFonts w:hint="default"/>
      </w:rPr>
    </w:lvl>
    <w:lvl w:ilvl="7">
      <w:start w:val="0"/>
      <w:numFmt w:val="bullet"/>
      <w:lvlText w:val="•"/>
      <w:lvlJc w:val="left"/>
      <w:pPr>
        <w:ind w:left="4032" w:hanging="273"/>
      </w:pPr>
      <w:rPr>
        <w:rFonts w:hint="default"/>
      </w:rPr>
    </w:lvl>
    <w:lvl w:ilvl="8">
      <w:start w:val="0"/>
      <w:numFmt w:val="bullet"/>
      <w:lvlText w:val="•"/>
      <w:lvlJc w:val="left"/>
      <w:pPr>
        <w:ind w:left="4568" w:hanging="273"/>
      </w:pPr>
      <w:rPr>
        <w:rFonts w:hint="default"/>
      </w:rPr>
    </w:lvl>
  </w:abstractNum>
  <w:abstractNum w:abstractNumId="13">
    <w:multiLevelType w:val="hybridMultilevel"/>
    <w:lvl w:ilvl="0">
      <w:start w:val="7"/>
      <w:numFmt w:val="decimal"/>
      <w:lvlText w:val="%1."/>
      <w:lvlJc w:val="left"/>
      <w:pPr>
        <w:ind w:left="340" w:hanging="220"/>
        <w:jc w:val="left"/>
      </w:pPr>
      <w:rPr>
        <w:rFonts w:hint="default" w:ascii="Times New Roman" w:hAnsi="Times New Roman" w:eastAsia="Times New Roman" w:cs="Times New Roman"/>
        <w:b/>
        <w:bCs/>
        <w:color w:val="231F20"/>
        <w:w w:val="99"/>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12">
    <w:multiLevelType w:val="hybridMultilevel"/>
    <w:lvl w:ilvl="0">
      <w:start w:val="1"/>
      <w:numFmt w:val="lowerLetter"/>
      <w:lvlText w:val="(%1)"/>
      <w:lvlJc w:val="left"/>
      <w:pPr>
        <w:ind w:left="419"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314" w:hanging="299"/>
      </w:pPr>
      <w:rPr>
        <w:rFonts w:hint="default"/>
      </w:rPr>
    </w:lvl>
    <w:lvl w:ilvl="2">
      <w:start w:val="0"/>
      <w:numFmt w:val="bullet"/>
      <w:lvlText w:val="•"/>
      <w:lvlJc w:val="left"/>
      <w:pPr>
        <w:ind w:left="2208" w:hanging="299"/>
      </w:pPr>
      <w:rPr>
        <w:rFonts w:hint="default"/>
      </w:rPr>
    </w:lvl>
    <w:lvl w:ilvl="3">
      <w:start w:val="0"/>
      <w:numFmt w:val="bullet"/>
      <w:lvlText w:val="•"/>
      <w:lvlJc w:val="left"/>
      <w:pPr>
        <w:ind w:left="3102" w:hanging="299"/>
      </w:pPr>
      <w:rPr>
        <w:rFonts w:hint="default"/>
      </w:rPr>
    </w:lvl>
    <w:lvl w:ilvl="4">
      <w:start w:val="0"/>
      <w:numFmt w:val="bullet"/>
      <w:lvlText w:val="•"/>
      <w:lvlJc w:val="left"/>
      <w:pPr>
        <w:ind w:left="3996" w:hanging="299"/>
      </w:pPr>
      <w:rPr>
        <w:rFonts w:hint="default"/>
      </w:rPr>
    </w:lvl>
    <w:lvl w:ilvl="5">
      <w:start w:val="0"/>
      <w:numFmt w:val="bullet"/>
      <w:lvlText w:val="•"/>
      <w:lvlJc w:val="left"/>
      <w:pPr>
        <w:ind w:left="4890" w:hanging="299"/>
      </w:pPr>
      <w:rPr>
        <w:rFonts w:hint="default"/>
      </w:rPr>
    </w:lvl>
    <w:lvl w:ilvl="6">
      <w:start w:val="0"/>
      <w:numFmt w:val="bullet"/>
      <w:lvlText w:val="•"/>
      <w:lvlJc w:val="left"/>
      <w:pPr>
        <w:ind w:left="5784" w:hanging="299"/>
      </w:pPr>
      <w:rPr>
        <w:rFonts w:hint="default"/>
      </w:rPr>
    </w:lvl>
    <w:lvl w:ilvl="7">
      <w:start w:val="0"/>
      <w:numFmt w:val="bullet"/>
      <w:lvlText w:val="•"/>
      <w:lvlJc w:val="left"/>
      <w:pPr>
        <w:ind w:left="6678" w:hanging="299"/>
      </w:pPr>
      <w:rPr>
        <w:rFonts w:hint="default"/>
      </w:rPr>
    </w:lvl>
    <w:lvl w:ilvl="8">
      <w:start w:val="0"/>
      <w:numFmt w:val="bullet"/>
      <w:lvlText w:val="•"/>
      <w:lvlJc w:val="left"/>
      <w:pPr>
        <w:ind w:left="7572" w:hanging="299"/>
      </w:pPr>
      <w:rPr>
        <w:rFonts w:hint="default"/>
      </w:rPr>
    </w:lvl>
  </w:abstractNum>
  <w:abstractNum w:abstractNumId="11">
    <w:multiLevelType w:val="hybridMultilevel"/>
    <w:lvl w:ilvl="0">
      <w:start w:val="1"/>
      <w:numFmt w:val="lowerLetter"/>
      <w:lvlText w:val="(%1)"/>
      <w:lvlJc w:val="left"/>
      <w:pPr>
        <w:ind w:left="120" w:hanging="331"/>
        <w:jc w:val="left"/>
      </w:pPr>
      <w:rPr>
        <w:rFonts w:hint="default"/>
        <w:w w:val="100"/>
      </w:rPr>
    </w:lvl>
    <w:lvl w:ilvl="1">
      <w:start w:val="0"/>
      <w:numFmt w:val="bullet"/>
      <w:lvlText w:val="•"/>
      <w:lvlJc w:val="left"/>
      <w:pPr>
        <w:ind w:left="1044" w:hanging="331"/>
      </w:pPr>
      <w:rPr>
        <w:rFonts w:hint="default"/>
      </w:rPr>
    </w:lvl>
    <w:lvl w:ilvl="2">
      <w:start w:val="0"/>
      <w:numFmt w:val="bullet"/>
      <w:lvlText w:val="•"/>
      <w:lvlJc w:val="left"/>
      <w:pPr>
        <w:ind w:left="1968" w:hanging="331"/>
      </w:pPr>
      <w:rPr>
        <w:rFonts w:hint="default"/>
      </w:rPr>
    </w:lvl>
    <w:lvl w:ilvl="3">
      <w:start w:val="0"/>
      <w:numFmt w:val="bullet"/>
      <w:lvlText w:val="•"/>
      <w:lvlJc w:val="left"/>
      <w:pPr>
        <w:ind w:left="2892" w:hanging="331"/>
      </w:pPr>
      <w:rPr>
        <w:rFonts w:hint="default"/>
      </w:rPr>
    </w:lvl>
    <w:lvl w:ilvl="4">
      <w:start w:val="0"/>
      <w:numFmt w:val="bullet"/>
      <w:lvlText w:val="•"/>
      <w:lvlJc w:val="left"/>
      <w:pPr>
        <w:ind w:left="3816" w:hanging="331"/>
      </w:pPr>
      <w:rPr>
        <w:rFonts w:hint="default"/>
      </w:rPr>
    </w:lvl>
    <w:lvl w:ilvl="5">
      <w:start w:val="0"/>
      <w:numFmt w:val="bullet"/>
      <w:lvlText w:val="•"/>
      <w:lvlJc w:val="left"/>
      <w:pPr>
        <w:ind w:left="4740" w:hanging="331"/>
      </w:pPr>
      <w:rPr>
        <w:rFonts w:hint="default"/>
      </w:rPr>
    </w:lvl>
    <w:lvl w:ilvl="6">
      <w:start w:val="0"/>
      <w:numFmt w:val="bullet"/>
      <w:lvlText w:val="•"/>
      <w:lvlJc w:val="left"/>
      <w:pPr>
        <w:ind w:left="5664" w:hanging="331"/>
      </w:pPr>
      <w:rPr>
        <w:rFonts w:hint="default"/>
      </w:rPr>
    </w:lvl>
    <w:lvl w:ilvl="7">
      <w:start w:val="0"/>
      <w:numFmt w:val="bullet"/>
      <w:lvlText w:val="•"/>
      <w:lvlJc w:val="left"/>
      <w:pPr>
        <w:ind w:left="6588" w:hanging="331"/>
      </w:pPr>
      <w:rPr>
        <w:rFonts w:hint="default"/>
      </w:rPr>
    </w:lvl>
    <w:lvl w:ilvl="8">
      <w:start w:val="0"/>
      <w:numFmt w:val="bullet"/>
      <w:lvlText w:val="•"/>
      <w:lvlJc w:val="left"/>
      <w:pPr>
        <w:ind w:left="7512" w:hanging="331"/>
      </w:pPr>
      <w:rPr>
        <w:rFonts w:hint="default"/>
      </w:rPr>
    </w:lvl>
  </w:abstractNum>
  <w:abstractNum w:abstractNumId="10">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9">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500" w:hanging="400"/>
      </w:pPr>
      <w:rPr>
        <w:rFonts w:hint="default"/>
      </w:rPr>
    </w:lvl>
    <w:lvl w:ilvl="2">
      <w:start w:val="0"/>
      <w:numFmt w:val="bullet"/>
      <w:lvlText w:val="•"/>
      <w:lvlJc w:val="left"/>
      <w:pPr>
        <w:ind w:left="528" w:hanging="400"/>
      </w:pPr>
      <w:rPr>
        <w:rFonts w:hint="default"/>
      </w:rPr>
    </w:lvl>
    <w:lvl w:ilvl="3">
      <w:start w:val="0"/>
      <w:numFmt w:val="bullet"/>
      <w:lvlText w:val="•"/>
      <w:lvlJc w:val="left"/>
      <w:pPr>
        <w:ind w:left="557" w:hanging="400"/>
      </w:pPr>
      <w:rPr>
        <w:rFonts w:hint="default"/>
      </w:rPr>
    </w:lvl>
    <w:lvl w:ilvl="4">
      <w:start w:val="0"/>
      <w:numFmt w:val="bullet"/>
      <w:lvlText w:val="•"/>
      <w:lvlJc w:val="left"/>
      <w:pPr>
        <w:ind w:left="586" w:hanging="400"/>
      </w:pPr>
      <w:rPr>
        <w:rFonts w:hint="default"/>
      </w:rPr>
    </w:lvl>
    <w:lvl w:ilvl="5">
      <w:start w:val="0"/>
      <w:numFmt w:val="bullet"/>
      <w:lvlText w:val="•"/>
      <w:lvlJc w:val="left"/>
      <w:pPr>
        <w:ind w:left="614" w:hanging="400"/>
      </w:pPr>
      <w:rPr>
        <w:rFonts w:hint="default"/>
      </w:rPr>
    </w:lvl>
    <w:lvl w:ilvl="6">
      <w:start w:val="0"/>
      <w:numFmt w:val="bullet"/>
      <w:lvlText w:val="•"/>
      <w:lvlJc w:val="left"/>
      <w:pPr>
        <w:ind w:left="643" w:hanging="400"/>
      </w:pPr>
      <w:rPr>
        <w:rFonts w:hint="default"/>
      </w:rPr>
    </w:lvl>
    <w:lvl w:ilvl="7">
      <w:start w:val="0"/>
      <w:numFmt w:val="bullet"/>
      <w:lvlText w:val="•"/>
      <w:lvlJc w:val="left"/>
      <w:pPr>
        <w:ind w:left="672" w:hanging="400"/>
      </w:pPr>
      <w:rPr>
        <w:rFonts w:hint="default"/>
      </w:rPr>
    </w:lvl>
    <w:lvl w:ilvl="8">
      <w:start w:val="0"/>
      <w:numFmt w:val="bullet"/>
      <w:lvlText w:val="•"/>
      <w:lvlJc w:val="left"/>
      <w:pPr>
        <w:ind w:left="700" w:hanging="400"/>
      </w:pPr>
      <w:rPr>
        <w:rFonts w:hint="default"/>
      </w:rPr>
    </w:lvl>
  </w:abstractNum>
  <w:abstractNum w:abstractNumId="8">
    <w:multiLevelType w:val="hybridMultilevel"/>
    <w:lvl w:ilvl="0">
      <w:start w:val="1"/>
      <w:numFmt w:val="decimal"/>
      <w:lvlText w:val="(%1)"/>
      <w:lvlJc w:val="left"/>
      <w:pPr>
        <w:ind w:left="100" w:hanging="291"/>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373" w:hanging="273"/>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375" w:hanging="273"/>
      </w:pPr>
      <w:rPr>
        <w:rFonts w:hint="default"/>
      </w:rPr>
    </w:lvl>
    <w:lvl w:ilvl="3">
      <w:start w:val="0"/>
      <w:numFmt w:val="bullet"/>
      <w:lvlText w:val="•"/>
      <w:lvlJc w:val="left"/>
      <w:pPr>
        <w:ind w:left="2371" w:hanging="273"/>
      </w:pPr>
      <w:rPr>
        <w:rFonts w:hint="default"/>
      </w:rPr>
    </w:lvl>
    <w:lvl w:ilvl="4">
      <w:start w:val="0"/>
      <w:numFmt w:val="bullet"/>
      <w:lvlText w:val="•"/>
      <w:lvlJc w:val="left"/>
      <w:pPr>
        <w:ind w:left="3366" w:hanging="273"/>
      </w:pPr>
      <w:rPr>
        <w:rFonts w:hint="default"/>
      </w:rPr>
    </w:lvl>
    <w:lvl w:ilvl="5">
      <w:start w:val="0"/>
      <w:numFmt w:val="bullet"/>
      <w:lvlText w:val="•"/>
      <w:lvlJc w:val="left"/>
      <w:pPr>
        <w:ind w:left="4362" w:hanging="273"/>
      </w:pPr>
      <w:rPr>
        <w:rFonts w:hint="default"/>
      </w:rPr>
    </w:lvl>
    <w:lvl w:ilvl="6">
      <w:start w:val="0"/>
      <w:numFmt w:val="bullet"/>
      <w:lvlText w:val="•"/>
      <w:lvlJc w:val="left"/>
      <w:pPr>
        <w:ind w:left="5357" w:hanging="273"/>
      </w:pPr>
      <w:rPr>
        <w:rFonts w:hint="default"/>
      </w:rPr>
    </w:lvl>
    <w:lvl w:ilvl="7">
      <w:start w:val="0"/>
      <w:numFmt w:val="bullet"/>
      <w:lvlText w:val="•"/>
      <w:lvlJc w:val="left"/>
      <w:pPr>
        <w:ind w:left="6353" w:hanging="273"/>
      </w:pPr>
      <w:rPr>
        <w:rFonts w:hint="default"/>
      </w:rPr>
    </w:lvl>
    <w:lvl w:ilvl="8">
      <w:start w:val="0"/>
      <w:numFmt w:val="bullet"/>
      <w:lvlText w:val="•"/>
      <w:lvlJc w:val="left"/>
      <w:pPr>
        <w:ind w:left="7348" w:hanging="273"/>
      </w:pPr>
      <w:rPr>
        <w:rFonts w:hint="default"/>
      </w:rPr>
    </w:lvl>
  </w:abstractNum>
  <w:abstractNum w:abstractNumId="7">
    <w:multiLevelType w:val="hybridMultilevel"/>
    <w:lvl w:ilvl="0">
      <w:start w:val="1"/>
      <w:numFmt w:val="decimal"/>
      <w:lvlText w:val="(%1)"/>
      <w:lvlJc w:val="left"/>
      <w:pPr>
        <w:ind w:left="100" w:hanging="312"/>
        <w:jc w:val="left"/>
      </w:pPr>
      <w:rPr>
        <w:rFonts w:hint="default" w:ascii="Times New Roman" w:hAnsi="Times New Roman" w:eastAsia="Times New Roman" w:cs="Times New Roman"/>
        <w:color w:val="231F20"/>
        <w:spacing w:val="-24"/>
        <w:w w:val="99"/>
        <w:sz w:val="20"/>
        <w:szCs w:val="20"/>
      </w:rPr>
    </w:lvl>
    <w:lvl w:ilvl="1">
      <w:start w:val="0"/>
      <w:numFmt w:val="bullet"/>
      <w:lvlText w:val="•"/>
      <w:lvlJc w:val="left"/>
      <w:pPr>
        <w:ind w:left="1028" w:hanging="312"/>
      </w:pPr>
      <w:rPr>
        <w:rFonts w:hint="default"/>
      </w:rPr>
    </w:lvl>
    <w:lvl w:ilvl="2">
      <w:start w:val="0"/>
      <w:numFmt w:val="bullet"/>
      <w:lvlText w:val="•"/>
      <w:lvlJc w:val="left"/>
      <w:pPr>
        <w:ind w:left="1956" w:hanging="312"/>
      </w:pPr>
      <w:rPr>
        <w:rFonts w:hint="default"/>
      </w:rPr>
    </w:lvl>
    <w:lvl w:ilvl="3">
      <w:start w:val="0"/>
      <w:numFmt w:val="bullet"/>
      <w:lvlText w:val="•"/>
      <w:lvlJc w:val="left"/>
      <w:pPr>
        <w:ind w:left="2884" w:hanging="312"/>
      </w:pPr>
      <w:rPr>
        <w:rFonts w:hint="default"/>
      </w:rPr>
    </w:lvl>
    <w:lvl w:ilvl="4">
      <w:start w:val="0"/>
      <w:numFmt w:val="bullet"/>
      <w:lvlText w:val="•"/>
      <w:lvlJc w:val="left"/>
      <w:pPr>
        <w:ind w:left="3812" w:hanging="312"/>
      </w:pPr>
      <w:rPr>
        <w:rFonts w:hint="default"/>
      </w:rPr>
    </w:lvl>
    <w:lvl w:ilvl="5">
      <w:start w:val="0"/>
      <w:numFmt w:val="bullet"/>
      <w:lvlText w:val="•"/>
      <w:lvlJc w:val="left"/>
      <w:pPr>
        <w:ind w:left="4740" w:hanging="312"/>
      </w:pPr>
      <w:rPr>
        <w:rFonts w:hint="default"/>
      </w:rPr>
    </w:lvl>
    <w:lvl w:ilvl="6">
      <w:start w:val="0"/>
      <w:numFmt w:val="bullet"/>
      <w:lvlText w:val="•"/>
      <w:lvlJc w:val="left"/>
      <w:pPr>
        <w:ind w:left="5668" w:hanging="312"/>
      </w:pPr>
      <w:rPr>
        <w:rFonts w:hint="default"/>
      </w:rPr>
    </w:lvl>
    <w:lvl w:ilvl="7">
      <w:start w:val="0"/>
      <w:numFmt w:val="bullet"/>
      <w:lvlText w:val="•"/>
      <w:lvlJc w:val="left"/>
      <w:pPr>
        <w:ind w:left="6596" w:hanging="312"/>
      </w:pPr>
      <w:rPr>
        <w:rFonts w:hint="default"/>
      </w:rPr>
    </w:lvl>
    <w:lvl w:ilvl="8">
      <w:start w:val="0"/>
      <w:numFmt w:val="bullet"/>
      <w:lvlText w:val="•"/>
      <w:lvlJc w:val="left"/>
      <w:pPr>
        <w:ind w:left="7524" w:hanging="312"/>
      </w:pPr>
      <w:rPr>
        <w:rFonts w:hint="default"/>
      </w:rPr>
    </w:lvl>
  </w:abstractNum>
  <w:abstractNum w:abstractNumId="6">
    <w:multiLevelType w:val="hybridMultilevel"/>
    <w:lvl w:ilvl="0">
      <w:start w:val="7"/>
      <w:numFmt w:val="decimal"/>
      <w:lvlText w:val="%1"/>
      <w:lvlJc w:val="left"/>
      <w:pPr>
        <w:ind w:left="120" w:hanging="338"/>
        <w:jc w:val="left"/>
      </w:pPr>
      <w:rPr>
        <w:rFonts w:hint="default"/>
      </w:rPr>
    </w:lvl>
    <w:lvl w:ilvl="1">
      <w:start w:val="2"/>
      <w:numFmt w:val="decimal"/>
      <w:lvlText w:val="%1.%2"/>
      <w:lvlJc w:val="left"/>
      <w:pPr>
        <w:ind w:left="120" w:hanging="338"/>
        <w:jc w:val="left"/>
      </w:pPr>
      <w:rPr>
        <w:rFonts w:hint="default" w:ascii="Times New Roman" w:hAnsi="Times New Roman" w:eastAsia="Times New Roman" w:cs="Times New Roman"/>
        <w:color w:val="231F20"/>
        <w:w w:val="100"/>
        <w:sz w:val="22"/>
        <w:szCs w:val="22"/>
      </w:rPr>
    </w:lvl>
    <w:lvl w:ilvl="2">
      <w:start w:val="0"/>
      <w:numFmt w:val="bullet"/>
      <w:lvlText w:val="•"/>
      <w:lvlJc w:val="left"/>
      <w:pPr>
        <w:ind w:left="900" w:hanging="400"/>
      </w:pPr>
      <w:rPr>
        <w:rFonts w:hint="default"/>
        <w:w w:val="99"/>
      </w:rPr>
    </w:lvl>
    <w:lvl w:ilvl="3">
      <w:start w:val="0"/>
      <w:numFmt w:val="bullet"/>
      <w:lvlText w:val="•"/>
      <w:lvlJc w:val="left"/>
      <w:pPr>
        <w:ind w:left="2775" w:hanging="400"/>
      </w:pPr>
      <w:rPr>
        <w:rFonts w:hint="default"/>
      </w:rPr>
    </w:lvl>
    <w:lvl w:ilvl="4">
      <w:start w:val="0"/>
      <w:numFmt w:val="bullet"/>
      <w:lvlText w:val="•"/>
      <w:lvlJc w:val="left"/>
      <w:pPr>
        <w:ind w:left="3713" w:hanging="400"/>
      </w:pPr>
      <w:rPr>
        <w:rFonts w:hint="default"/>
      </w:rPr>
    </w:lvl>
    <w:lvl w:ilvl="5">
      <w:start w:val="0"/>
      <w:numFmt w:val="bullet"/>
      <w:lvlText w:val="•"/>
      <w:lvlJc w:val="left"/>
      <w:pPr>
        <w:ind w:left="4651" w:hanging="400"/>
      </w:pPr>
      <w:rPr>
        <w:rFonts w:hint="default"/>
      </w:rPr>
    </w:lvl>
    <w:lvl w:ilvl="6">
      <w:start w:val="0"/>
      <w:numFmt w:val="bullet"/>
      <w:lvlText w:val="•"/>
      <w:lvlJc w:val="left"/>
      <w:pPr>
        <w:ind w:left="5588" w:hanging="400"/>
      </w:pPr>
      <w:rPr>
        <w:rFonts w:hint="default"/>
      </w:rPr>
    </w:lvl>
    <w:lvl w:ilvl="7">
      <w:start w:val="0"/>
      <w:numFmt w:val="bullet"/>
      <w:lvlText w:val="•"/>
      <w:lvlJc w:val="left"/>
      <w:pPr>
        <w:ind w:left="6526" w:hanging="400"/>
      </w:pPr>
      <w:rPr>
        <w:rFonts w:hint="default"/>
      </w:rPr>
    </w:lvl>
    <w:lvl w:ilvl="8">
      <w:start w:val="0"/>
      <w:numFmt w:val="bullet"/>
      <w:lvlText w:val="•"/>
      <w:lvlJc w:val="left"/>
      <w:pPr>
        <w:ind w:left="7464" w:hanging="400"/>
      </w:pPr>
      <w:rPr>
        <w:rFonts w:hint="default"/>
      </w:rPr>
    </w:lvl>
  </w:abstractNum>
  <w:abstractNum w:abstractNumId="5">
    <w:multiLevelType w:val="hybridMultilevel"/>
    <w:lvl w:ilvl="0">
      <w:start w:val="1"/>
      <w:numFmt w:val="decimal"/>
      <w:lvlText w:val="(%1)"/>
      <w:lvlJc w:val="left"/>
      <w:pPr>
        <w:ind w:left="700" w:hanging="600"/>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500" w:hanging="320"/>
        <w:jc w:val="right"/>
      </w:pPr>
      <w:rPr>
        <w:rFonts w:hint="default" w:ascii="Times New Roman" w:hAnsi="Times New Roman" w:eastAsia="Times New Roman" w:cs="Times New Roman"/>
        <w:color w:val="231F20"/>
        <w:spacing w:val="-18"/>
        <w:w w:val="99"/>
        <w:sz w:val="16"/>
        <w:szCs w:val="16"/>
      </w:rPr>
    </w:lvl>
    <w:lvl w:ilvl="2">
      <w:start w:val="1"/>
      <w:numFmt w:val="lowerLetter"/>
      <w:lvlText w:val="(%3)"/>
      <w:lvlJc w:val="left"/>
      <w:pPr>
        <w:ind w:left="345" w:hanging="245"/>
        <w:jc w:val="left"/>
      </w:pPr>
      <w:rPr>
        <w:rFonts w:hint="default" w:ascii="Times New Roman" w:hAnsi="Times New Roman" w:eastAsia="Times New Roman" w:cs="Times New Roman"/>
        <w:color w:val="231F20"/>
        <w:w w:val="100"/>
        <w:sz w:val="18"/>
        <w:szCs w:val="18"/>
      </w:rPr>
    </w:lvl>
    <w:lvl w:ilvl="3">
      <w:start w:val="1"/>
      <w:numFmt w:val="decimal"/>
      <w:lvlText w:val="(%4)"/>
      <w:lvlJc w:val="left"/>
      <w:pPr>
        <w:ind w:left="100" w:hanging="284"/>
        <w:jc w:val="left"/>
      </w:pPr>
      <w:rPr>
        <w:rFonts w:hint="default" w:ascii="Times New Roman" w:hAnsi="Times New Roman" w:eastAsia="Times New Roman" w:cs="Times New Roman"/>
        <w:color w:val="231F20"/>
        <w:spacing w:val="-1"/>
        <w:w w:val="99"/>
        <w:sz w:val="20"/>
        <w:szCs w:val="20"/>
      </w:rPr>
    </w:lvl>
    <w:lvl w:ilvl="4">
      <w:start w:val="0"/>
      <w:numFmt w:val="bullet"/>
      <w:lvlText w:val="•"/>
      <w:lvlJc w:val="left"/>
      <w:pPr>
        <w:ind w:left="1934" w:hanging="284"/>
      </w:pPr>
      <w:rPr>
        <w:rFonts w:hint="default"/>
      </w:rPr>
    </w:lvl>
    <w:lvl w:ilvl="5">
      <w:start w:val="0"/>
      <w:numFmt w:val="bullet"/>
      <w:lvlText w:val="•"/>
      <w:lvlJc w:val="left"/>
      <w:pPr>
        <w:ind w:left="3168" w:hanging="284"/>
      </w:pPr>
      <w:rPr>
        <w:rFonts w:hint="default"/>
      </w:rPr>
    </w:lvl>
    <w:lvl w:ilvl="6">
      <w:start w:val="0"/>
      <w:numFmt w:val="bullet"/>
      <w:lvlText w:val="•"/>
      <w:lvlJc w:val="left"/>
      <w:pPr>
        <w:ind w:left="4402" w:hanging="284"/>
      </w:pPr>
      <w:rPr>
        <w:rFonts w:hint="default"/>
      </w:rPr>
    </w:lvl>
    <w:lvl w:ilvl="7">
      <w:start w:val="0"/>
      <w:numFmt w:val="bullet"/>
      <w:lvlText w:val="•"/>
      <w:lvlJc w:val="left"/>
      <w:pPr>
        <w:ind w:left="5637" w:hanging="284"/>
      </w:pPr>
      <w:rPr>
        <w:rFonts w:hint="default"/>
      </w:rPr>
    </w:lvl>
    <w:lvl w:ilvl="8">
      <w:start w:val="0"/>
      <w:numFmt w:val="bullet"/>
      <w:lvlText w:val="•"/>
      <w:lvlJc w:val="left"/>
      <w:pPr>
        <w:ind w:left="6871" w:hanging="284"/>
      </w:pPr>
      <w:rPr>
        <w:rFonts w:hint="default"/>
      </w:rPr>
    </w:lvl>
  </w:abstractNum>
  <w:abstractNum w:abstractNumId="4">
    <w:multiLevelType w:val="hybridMultilevel"/>
    <w:lvl w:ilvl="0">
      <w:start w:val="1"/>
      <w:numFmt w:val="lowerLetter"/>
      <w:lvlText w:val="(%1)"/>
      <w:lvlJc w:val="left"/>
      <w:pPr>
        <w:ind w:left="3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78" w:hanging="273"/>
      </w:pPr>
      <w:rPr>
        <w:rFonts w:hint="default"/>
      </w:rPr>
    </w:lvl>
    <w:lvl w:ilvl="2">
      <w:start w:val="0"/>
      <w:numFmt w:val="bullet"/>
      <w:lvlText w:val="•"/>
      <w:lvlJc w:val="left"/>
      <w:pPr>
        <w:ind w:left="2176" w:hanging="273"/>
      </w:pPr>
      <w:rPr>
        <w:rFonts w:hint="default"/>
      </w:rPr>
    </w:lvl>
    <w:lvl w:ilvl="3">
      <w:start w:val="0"/>
      <w:numFmt w:val="bullet"/>
      <w:lvlText w:val="•"/>
      <w:lvlJc w:val="left"/>
      <w:pPr>
        <w:ind w:left="3074" w:hanging="273"/>
      </w:pPr>
      <w:rPr>
        <w:rFonts w:hint="default"/>
      </w:rPr>
    </w:lvl>
    <w:lvl w:ilvl="4">
      <w:start w:val="0"/>
      <w:numFmt w:val="bullet"/>
      <w:lvlText w:val="•"/>
      <w:lvlJc w:val="left"/>
      <w:pPr>
        <w:ind w:left="3972" w:hanging="273"/>
      </w:pPr>
      <w:rPr>
        <w:rFonts w:hint="default"/>
      </w:rPr>
    </w:lvl>
    <w:lvl w:ilvl="5">
      <w:start w:val="0"/>
      <w:numFmt w:val="bullet"/>
      <w:lvlText w:val="•"/>
      <w:lvlJc w:val="left"/>
      <w:pPr>
        <w:ind w:left="4870" w:hanging="273"/>
      </w:pPr>
      <w:rPr>
        <w:rFonts w:hint="default"/>
      </w:rPr>
    </w:lvl>
    <w:lvl w:ilvl="6">
      <w:start w:val="0"/>
      <w:numFmt w:val="bullet"/>
      <w:lvlText w:val="•"/>
      <w:lvlJc w:val="left"/>
      <w:pPr>
        <w:ind w:left="5768" w:hanging="273"/>
      </w:pPr>
      <w:rPr>
        <w:rFonts w:hint="default"/>
      </w:rPr>
    </w:lvl>
    <w:lvl w:ilvl="7">
      <w:start w:val="0"/>
      <w:numFmt w:val="bullet"/>
      <w:lvlText w:val="•"/>
      <w:lvlJc w:val="left"/>
      <w:pPr>
        <w:ind w:left="6666" w:hanging="273"/>
      </w:pPr>
      <w:rPr>
        <w:rFonts w:hint="default"/>
      </w:rPr>
    </w:lvl>
    <w:lvl w:ilvl="8">
      <w:start w:val="0"/>
      <w:numFmt w:val="bullet"/>
      <w:lvlText w:val="•"/>
      <w:lvlJc w:val="left"/>
      <w:pPr>
        <w:ind w:left="7564" w:hanging="273"/>
      </w:pPr>
      <w:rPr>
        <w:rFonts w:hint="default"/>
      </w:rPr>
    </w:lvl>
  </w:abstractNum>
  <w:abstractNum w:abstractNumId="3">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2">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1">
    <w:multiLevelType w:val="hybridMultilevel"/>
    <w:lvl w:ilvl="0">
      <w:start w:val="21"/>
      <w:numFmt w:val="upperLetter"/>
      <w:lvlText w:val="%1"/>
      <w:lvlJc w:val="left"/>
      <w:pPr>
        <w:ind w:left="100" w:hanging="472"/>
        <w:jc w:val="left"/>
      </w:pPr>
      <w:rPr>
        <w:rFonts w:hint="default"/>
      </w:rPr>
    </w:lvl>
    <w:lvl w:ilvl="1">
      <w:start w:val="19"/>
      <w:numFmt w:val="upperLetter"/>
      <w:lvlText w:val="%1.%2."/>
      <w:lvlJc w:val="left"/>
      <w:pPr>
        <w:ind w:left="100" w:hanging="472"/>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0">
    <w:multiLevelType w:val="hybridMultilevel"/>
    <w:lvl w:ilvl="0">
      <w:start w:val="0"/>
      <w:numFmt w:val="bullet"/>
      <w:lvlText w:val="•"/>
      <w:lvlJc w:val="left"/>
      <w:pPr>
        <w:ind w:left="1000" w:hanging="440"/>
      </w:pPr>
      <w:rPr>
        <w:rFonts w:hint="default" w:ascii="Times New Roman" w:hAnsi="Times New Roman" w:eastAsia="Times New Roman" w:cs="Times New Roman"/>
        <w:color w:val="231F20"/>
        <w:w w:val="99"/>
        <w:sz w:val="22"/>
        <w:szCs w:val="22"/>
      </w:rPr>
    </w:lvl>
    <w:lvl w:ilvl="1">
      <w:start w:val="0"/>
      <w:numFmt w:val="bullet"/>
      <w:lvlText w:val="•"/>
      <w:lvlJc w:val="left"/>
      <w:pPr>
        <w:ind w:left="1836" w:hanging="440"/>
      </w:pPr>
      <w:rPr>
        <w:rFonts w:hint="default"/>
      </w:rPr>
    </w:lvl>
    <w:lvl w:ilvl="2">
      <w:start w:val="0"/>
      <w:numFmt w:val="bullet"/>
      <w:lvlText w:val="•"/>
      <w:lvlJc w:val="left"/>
      <w:pPr>
        <w:ind w:left="2672" w:hanging="440"/>
      </w:pPr>
      <w:rPr>
        <w:rFonts w:hint="default"/>
      </w:rPr>
    </w:lvl>
    <w:lvl w:ilvl="3">
      <w:start w:val="0"/>
      <w:numFmt w:val="bullet"/>
      <w:lvlText w:val="•"/>
      <w:lvlJc w:val="left"/>
      <w:pPr>
        <w:ind w:left="3508" w:hanging="440"/>
      </w:pPr>
      <w:rPr>
        <w:rFonts w:hint="default"/>
      </w:rPr>
    </w:lvl>
    <w:lvl w:ilvl="4">
      <w:start w:val="0"/>
      <w:numFmt w:val="bullet"/>
      <w:lvlText w:val="•"/>
      <w:lvlJc w:val="left"/>
      <w:pPr>
        <w:ind w:left="4344" w:hanging="440"/>
      </w:pPr>
      <w:rPr>
        <w:rFonts w:hint="default"/>
      </w:rPr>
    </w:lvl>
    <w:lvl w:ilvl="5">
      <w:start w:val="0"/>
      <w:numFmt w:val="bullet"/>
      <w:lvlText w:val="•"/>
      <w:lvlJc w:val="left"/>
      <w:pPr>
        <w:ind w:left="5180" w:hanging="440"/>
      </w:pPr>
      <w:rPr>
        <w:rFonts w:hint="default"/>
      </w:rPr>
    </w:lvl>
    <w:lvl w:ilvl="6">
      <w:start w:val="0"/>
      <w:numFmt w:val="bullet"/>
      <w:lvlText w:val="•"/>
      <w:lvlJc w:val="left"/>
      <w:pPr>
        <w:ind w:left="6016" w:hanging="440"/>
      </w:pPr>
      <w:rPr>
        <w:rFonts w:hint="default"/>
      </w:rPr>
    </w:lvl>
    <w:lvl w:ilvl="7">
      <w:start w:val="0"/>
      <w:numFmt w:val="bullet"/>
      <w:lvlText w:val="•"/>
      <w:lvlJc w:val="left"/>
      <w:pPr>
        <w:ind w:left="6852" w:hanging="440"/>
      </w:pPr>
      <w:rPr>
        <w:rFonts w:hint="default"/>
      </w:rPr>
    </w:lvl>
    <w:lvl w:ilvl="8">
      <w:start w:val="0"/>
      <w:numFmt w:val="bullet"/>
      <w:lvlText w:val="•"/>
      <w:lvlJc w:val="left"/>
      <w:pPr>
        <w:ind w:left="7688" w:hanging="44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980" w:hanging="44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oter" Target="footer5.xml"/><Relationship Id="rId39"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outhwest.com/citizenship" TargetMode="External"/><Relationship Id="rId42" Type="http://schemas.openxmlformats.org/officeDocument/2006/relationships/image" Target="media/image23.png"/><Relationship Id="rId47" Type="http://schemas.openxmlformats.org/officeDocument/2006/relationships/customXml" Target="../customXml/item2.xml"/><Relationship Id="rId7" Type="http://schemas.openxmlformats.org/officeDocument/2006/relationships/image" Target="media/image3.png"/><Relationship Id="rId2" Type="http://schemas.openxmlformats.org/officeDocument/2006/relationships/fontTable" Target="fontTable.xml"/><Relationship Id="rId16" Type="http://schemas.openxmlformats.org/officeDocument/2006/relationships/footer" Target="footer1.xml"/><Relationship Id="rId29" Type="http://schemas.openxmlformats.org/officeDocument/2006/relationships/footer" Target="footer8.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3.xml"/><Relationship Id="rId32" Type="http://schemas.openxmlformats.org/officeDocument/2006/relationships/footer" Target="footer11.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numbering" Target="numbering.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oter" Target="footer2.xml"/><Relationship Id="rId28" Type="http://schemas.openxmlformats.org/officeDocument/2006/relationships/footer" Target="footer7.xml"/><Relationship Id="rId36"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oter" Target="footer10.xm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oter" Target="footer6.xml"/><Relationship Id="rId30" Type="http://schemas.openxmlformats.org/officeDocument/2006/relationships/footer" Target="footer9.xml"/><Relationship Id="rId35" Type="http://schemas.openxmlformats.org/officeDocument/2006/relationships/hyperlink" Target="http://investors.southwest.com/" TargetMode="External"/><Relationship Id="rId43" Type="http://schemas.openxmlformats.org/officeDocument/2006/relationships/image" Target="media/image24.png"/><Relationship Id="rId48" Type="http://schemas.openxmlformats.org/officeDocument/2006/relationships/customXml" Target="../customXml/item3.xml"/><Relationship Id="rId8" Type="http://schemas.openxmlformats.org/officeDocument/2006/relationships/image" Target="media/image4.png"/><Relationship Id="rId3" Type="http://schemas.openxmlformats.org/officeDocument/2006/relationships/theme" Target="theme/theme1.xml"/><Relationship Id="rId12" Type="http://schemas.openxmlformats.org/officeDocument/2006/relationships/image" Target="media/image8.png"/><Relationship Id="rId17" Type="http://schemas.openxmlformats.org/officeDocument/2006/relationships/hyperlink" Target="http://www.southwest.com/" TargetMode="External"/><Relationship Id="rId25" Type="http://schemas.openxmlformats.org/officeDocument/2006/relationships/footer" Target="footer4.xml"/><Relationship Id="rId33" Type="http://schemas.openxmlformats.org/officeDocument/2006/relationships/hyperlink" Target="http://www.shareowneronline.com/" TargetMode="External"/><Relationship Id="rId38" Type="http://schemas.openxmlformats.org/officeDocument/2006/relationships/image" Target="media/image19.png"/><Relationship Id="rId46" Type="http://schemas.openxmlformats.org/officeDocument/2006/relationships/customXml" Target="../customXml/item1.xml"/><Relationship Id="rId20" Type="http://schemas.openxmlformats.org/officeDocument/2006/relationships/image" Target="media/image14.png"/><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5DC8B-4FCC-4994-949C-FAAC5623F5C3}"/>
</file>

<file path=customXml/itemProps2.xml><?xml version="1.0" encoding="utf-8"?>
<ds:datastoreItem xmlns:ds="http://schemas.openxmlformats.org/officeDocument/2006/customXml" ds:itemID="{562C4F5A-364A-4988-804F-EC6C932810FA}"/>
</file>

<file path=customXml/itemProps3.xml><?xml version="1.0" encoding="utf-8"?>
<ds:datastoreItem xmlns:ds="http://schemas.openxmlformats.org/officeDocument/2006/customXml" ds:itemID="{760E3D8C-4B51-423E-8ABF-4CC1885E7FC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2018-01-03T22:52:25Z</dcterms:created>
  <dcterms:modified xsi:type="dcterms:W3CDTF">2018-01-03T22:52:25Z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